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This section presents the results of the Bill of Materials (BOM) for ongoing projects at the University of Waterloo and Hamilton Health Sciences. The BOM details essential components and costs related to post-tension testing and structural assessments. For example, the Juravinski Concession Garage's five-year post-tension testing plan outlines various testing methods and their implementation years, with costs specified for each year from 2026 to 2030 [C3]. Additionally, the service tunnel review at the University of Waterloo highlights the need for restoration design services for over 500 meters of underground tunnels [C2]. More information is available in the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