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r>
        <w:t>While our documentation offers insights into post-tensioned structures, it does not cover specific floating slab projects or methodologies. Standard practice in floating slab construction emphasizes moisture protection and detailing around expansion joints to prevent water infiltration, which is vital for structural integrity. Floating slabs are designed to accommodate soil movement and provide stable foundations, particularly in areas with expansive soils or frost heave concerns. Key considerations include effective waterproofing membranes, proper drainage systems, and regular maintenance to address potential water ingress. Advanced materials and techniques, such as encapsulated post-tensioning systems, can further enhance durability and reduce water-related damage risks.</w:t>
      </w:r>
    </w:p>
    <w:p>
      <w:r>
        <w:t># Document</w:t>
      </w:r>
    </w:p>
    <w:p>
      <w:r>
        <w:t>Generated content for: Untitled</w:t>
      </w:r>
    </w:p>
    <w:p>
      <w:r>
        <w:t>While design specifications and construction methods for floating slab foundations are not fully detailed, standard practices involve a reinforced concrete slab on granular material to allow movement and reduce stress. Typical specifications include a slab thickness of 4 to 6 inches, steel reinforcement for tensile strength, and proper drainage to prevent water accumulation. Floating slab foundations generally utilize concrete, steel reinforcement, and waterproofing membranes to guard against moisture. Reinforcement often includes rebar in a grid pattern, particularly in high-load areas. Construction methods typically involve site excavation, drainage layer installation, reinforcement placement, and concrete pouring, with proper curing and finishing being crucial for durability.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