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7184" w14:textId="72E5F3EB" w:rsidR="00350FB7" w:rsidRDefault="00000000">
      <w:pPr>
        <w:pStyle w:val="Title"/>
      </w:pPr>
      <w:r>
        <w:t>Finance</w:t>
      </w:r>
      <w:r w:rsidR="00C66E37">
        <w:t xml:space="preserve"> </w:t>
      </w:r>
      <w:r>
        <w:t>Reality Algebra (FRA): An Algebraic Framework for Real and Financial Duality</w:t>
      </w:r>
    </w:p>
    <w:p w14:paraId="35397CBE" w14:textId="77777777" w:rsidR="00350FB7" w:rsidRDefault="00000000">
      <w:pPr>
        <w:pStyle w:val="Heading1"/>
      </w:pPr>
      <w:r>
        <w:t>Abstract</w:t>
      </w:r>
    </w:p>
    <w:p w14:paraId="797349CE" w14:textId="77777777" w:rsidR="00350FB7" w:rsidRDefault="00000000">
      <w:r>
        <w:t>This paper introduces Finance–Reality Algebra (FRA), an algebraic framework for representing economic objects as paired states of real and financial components. Each element is defined as E = R + Vi, where R encodes physical attributes of goods and services, V denotes financial valuation, and i indexes the valuation axis. FRA supports addition, scalar multiplication, and a multiplication law analogous to complex numbers. From these axioms, conservation of flows corresponds to double-entry bookkeeping, rotations represent revaluations, inner products capture diversification, and pure-financial states model bubbles and instability. FRA aligns with Post-Keynesian and Marxian theories while challenging neoclassical neutrality of money.</w:t>
      </w:r>
    </w:p>
    <w:p w14:paraId="56E35A4C" w14:textId="77777777" w:rsidR="00350FB7" w:rsidRDefault="00000000">
      <w:pPr>
        <w:pStyle w:val="Heading1"/>
      </w:pPr>
      <w:r>
        <w:t>Introduction</w:t>
      </w:r>
    </w:p>
    <w:p w14:paraId="6B0BF631" w14:textId="6BE05DDA" w:rsidR="00350FB7" w:rsidRDefault="00000000">
      <w:r>
        <w:t>Economic systems have long exhibited a dual character: tangible goods and services, and symbolic financial valuations. Traditional economic theory often privileges one or abstracts the other. This paper proposes Finance</w:t>
      </w:r>
      <w:r w:rsidR="00C66E37">
        <w:t xml:space="preserve"> </w:t>
      </w:r>
      <w:r>
        <w:t>Reality Algebra (FRA), an algebraic representation that encodes both aspects as orthogonal components of a single element. FRA provides a geometric and algebraic structure for analyzing valuation, conservation, and instability.</w:t>
      </w:r>
    </w:p>
    <w:p w14:paraId="44F094CF" w14:textId="77777777" w:rsidR="00350FB7" w:rsidRDefault="00000000">
      <w:pPr>
        <w:pStyle w:val="Heading1"/>
      </w:pPr>
      <w:r>
        <w:t>Related Work</w:t>
      </w:r>
    </w:p>
    <w:p w14:paraId="5C89AF53" w14:textId="77777777" w:rsidR="00350FB7" w:rsidRDefault="00000000">
      <w:r>
        <w:t>The use of complex numbers in financial analysis has precedent. Osborne and Turner (1993) and later Osborne (2000) applied the complex plane to internal rate of return (IRR), bond duration, and the convergence of cash-flow functions. In their formulation, complex arithmetic provided a convenient analytic and visual tool, but these applications did not attribute substantive economic meaning to the real and imaginary axes. They treated the complex plane as a computational space, not as an ontological model of the economy.</w:t>
      </w:r>
      <w:r>
        <w:br/>
      </w:r>
      <w:r>
        <w:br/>
        <w:t>FRA differs fundamentally. FRA interprets the real axis as tangible assets and flows, and the imaginary axis as symbolic or financial valuations established in markets. Transactions and balance sheets are represented as elements in this paired space, with conservation, rotation, and instability emerging as algebraic properties. Whereas Osborne’s use of complex numbers is instrumental, FRA is structural: it embeds the duality of real versus financial directly into the algebra, making the axes themselves economically meaningful.</w:t>
      </w:r>
    </w:p>
    <w:p w14:paraId="2917F319" w14:textId="4B9AF1E1" w:rsidR="00350FB7" w:rsidRDefault="00000000">
      <w:pPr>
        <w:pStyle w:val="Heading1"/>
      </w:pPr>
      <w:r>
        <w:lastRenderedPageBreak/>
        <w:t>Finance</w:t>
      </w:r>
      <w:r w:rsidR="00C66E37">
        <w:t xml:space="preserve"> - </w:t>
      </w:r>
      <w:r>
        <w:t>Reality Algebra: Definition</w:t>
      </w:r>
    </w:p>
    <w:p w14:paraId="16D5C7CC" w14:textId="77777777" w:rsidR="00350FB7" w:rsidRDefault="00000000">
      <w:r>
        <w:t>An element in FRA is defined as:</w:t>
      </w:r>
      <w:r>
        <w:br/>
        <w:t>E = R + Vi</w:t>
      </w:r>
      <w:r>
        <w:br/>
        <w:t>where R represents physical (real) components and V represents financial valuation.</w:t>
      </w:r>
      <w:r>
        <w:br/>
      </w:r>
      <w:r>
        <w:br/>
        <w:t>Axioms:</w:t>
      </w:r>
      <w:r>
        <w:br/>
        <w:t>• Addition: (R1+V1i) + (R2+V2i) = (R1+R2) + (V1+V2)i</w:t>
      </w:r>
      <w:r>
        <w:br/>
        <w:t>• Scalar multiplication: α(R+Vi) = (αR) + (αV)i</w:t>
      </w:r>
      <w:r>
        <w:br/>
        <w:t>• Negatives: −(R+Vi) = (−R) + (−V)i</w:t>
      </w:r>
      <w:r>
        <w:br/>
        <w:t>• Multiplication: (R1+V1i)(R2+V2i) = (R1R2 − V1V2) + (R1V2 + R2V1)i</w:t>
      </w:r>
      <w:r>
        <w:br/>
      </w:r>
    </w:p>
    <w:p w14:paraId="225E9C0D" w14:textId="77777777" w:rsidR="00350FB7" w:rsidRDefault="00000000">
      <w:pPr>
        <w:pStyle w:val="Heading1"/>
      </w:pPr>
      <w:r>
        <w:t>Derived Laws and Interpretations</w:t>
      </w:r>
    </w:p>
    <w:p w14:paraId="72C9FF71" w14:textId="6A0C6BA6" w:rsidR="00A73CB8" w:rsidRDefault="002A7EE1" w:rsidP="00A73CB8">
      <w:r>
        <w:t>T</w:t>
      </w:r>
      <w:r w:rsidR="002D6053">
        <w:t>O</w:t>
      </w:r>
      <w:r>
        <w:t xml:space="preserve"> DO</w:t>
      </w:r>
    </w:p>
    <w:p w14:paraId="22E57BA2" w14:textId="5D467381" w:rsidR="00A73CB8" w:rsidRPr="00A73CB8" w:rsidRDefault="00000000" w:rsidP="00A73CB8">
      <w:pPr>
        <w:rPr>
          <w:b/>
          <w:bCs/>
          <w:lang w:val="en-AU"/>
        </w:rPr>
      </w:pPr>
      <w:r>
        <w:t>•</w:t>
      </w:r>
      <w:r w:rsidR="00A73CB8">
        <w:t xml:space="preserve"> </w:t>
      </w:r>
      <w:r w:rsidR="00A73CB8" w:rsidRPr="00A73CB8">
        <w:rPr>
          <w:b/>
          <w:bCs/>
          <w:lang w:val="en-AU"/>
        </w:rPr>
        <w:t>Conservation law = double entry</w:t>
      </w:r>
    </w:p>
    <w:p w14:paraId="58C4AECC" w14:textId="0CC0954E" w:rsidR="00A73CB8" w:rsidRPr="00A73CB8" w:rsidRDefault="00A73CB8" w:rsidP="00A73CB8">
      <w:pPr>
        <w:rPr>
          <w:lang w:val="en-AU"/>
        </w:rPr>
      </w:pPr>
      <w:r w:rsidRPr="00A73CB8">
        <w:rPr>
          <w:lang w:val="en-AU"/>
        </w:rPr>
        <w:t>∑E=0</w:t>
      </w:r>
      <w:r>
        <w:rPr>
          <w:lang w:val="en-AU"/>
        </w:rPr>
        <w:t xml:space="preserve"> </w:t>
      </w:r>
      <w:r w:rsidRPr="00A73CB8">
        <w:rPr>
          <w:lang w:val="en-AU"/>
        </w:rPr>
        <w:t>across parties is enforced by algebra. Transactions cannot escape balance. This mirrors real accounting but here it is an intrinsic law, not a convention.</w:t>
      </w:r>
    </w:p>
    <w:p w14:paraId="22956861" w14:textId="2EF8DE86" w:rsidR="00350FB7" w:rsidRDefault="00000000">
      <w:r>
        <w:br/>
        <w:t>• Rotation: E' = Ee^{iθ} models inflation, deflation, or preference shifts.</w:t>
      </w:r>
      <w:r>
        <w:br/>
        <w:t>• Orthogonality: ⟨E1, E2⟩ = R1R2 + V1V2. If zero, portfolio elements are uncorrelated.</w:t>
      </w:r>
      <w:r>
        <w:br/>
        <w:t>• Imaginary drift: states with R≈0, V≠0 amplify fragility, modeling bubbles or leverage.</w:t>
      </w:r>
      <w:r>
        <w:br/>
      </w:r>
    </w:p>
    <w:p w14:paraId="58D219EB" w14:textId="77777777" w:rsidR="00350FB7" w:rsidRDefault="00000000">
      <w:pPr>
        <w:pStyle w:val="Heading1"/>
      </w:pPr>
      <w:r>
        <w:t>Applications</w:t>
      </w:r>
    </w:p>
    <w:p w14:paraId="12B7153E" w14:textId="37025435" w:rsidR="005564FC" w:rsidRPr="00EA228C" w:rsidRDefault="00000000" w:rsidP="005564FC">
      <w:pPr>
        <w:rPr>
          <w:rFonts w:asciiTheme="majorHAnsi" w:hAnsiTheme="majorHAnsi" w:cstheme="majorHAnsi"/>
          <w:b/>
          <w:bCs/>
          <w:sz w:val="28"/>
          <w:szCs w:val="28"/>
        </w:rPr>
      </w:pPr>
      <w:r>
        <w:br/>
      </w:r>
      <w:r w:rsidR="005564FC" w:rsidRPr="00EA228C">
        <w:rPr>
          <w:rFonts w:asciiTheme="majorHAnsi" w:hAnsiTheme="majorHAnsi" w:cstheme="majorHAnsi"/>
          <w:b/>
          <w:bCs/>
          <w:sz w:val="28"/>
          <w:szCs w:val="28"/>
        </w:rPr>
        <w:t xml:space="preserve">Conventional vs FRA </w:t>
      </w:r>
      <w:r w:rsidR="00EA228C" w:rsidRPr="00EA228C">
        <w:rPr>
          <w:rFonts w:asciiTheme="majorHAnsi" w:hAnsiTheme="majorHAnsi" w:cstheme="majorHAnsi"/>
          <w:b/>
          <w:bCs/>
          <w:sz w:val="28"/>
          <w:szCs w:val="28"/>
        </w:rPr>
        <w:t>methods</w:t>
      </w:r>
    </w:p>
    <w:p w14:paraId="14B6A812" w14:textId="77777777" w:rsidR="005564FC" w:rsidRPr="004D12D8" w:rsidRDefault="005564FC" w:rsidP="005564FC">
      <w:pPr>
        <w:numPr>
          <w:ilvl w:val="0"/>
          <w:numId w:val="10"/>
        </w:numPr>
        <w:spacing w:after="160" w:line="278" w:lineRule="auto"/>
      </w:pPr>
      <w:r w:rsidRPr="004D12D8">
        <w:t>Price revaluation of inventory</w:t>
      </w:r>
      <w:r w:rsidRPr="004D12D8">
        <w:br/>
        <w:t>Conventional: mark-to-market per SKU, recompute totals.</w:t>
      </w:r>
      <w:r w:rsidRPr="004D12D8">
        <w:br/>
      </w:r>
      <w:r>
        <w:t>FRA</w:t>
      </w:r>
      <w:r w:rsidRPr="004D12D8">
        <w:t>: E = R + Vi. New price regime = multiply by e^{iθ}. Choose θ to match new V′ while preserving combined size |E| if you assume pure revaluation. Portfolio updates in one step: E′ = E e^{iθ}.</w:t>
      </w:r>
    </w:p>
    <w:p w14:paraId="3E5A6506" w14:textId="77777777" w:rsidR="005564FC" w:rsidRPr="004D12D8" w:rsidRDefault="005564FC" w:rsidP="005564FC">
      <w:pPr>
        <w:numPr>
          <w:ilvl w:val="0"/>
          <w:numId w:val="10"/>
        </w:numPr>
        <w:spacing w:after="160" w:line="278" w:lineRule="auto"/>
      </w:pPr>
      <w:r w:rsidRPr="004D12D8">
        <w:t>Leverage cycle and de-risking</w:t>
      </w:r>
      <w:r w:rsidRPr="004D12D8">
        <w:br/>
        <w:t>Conventional: track gross and net exposures, simulate scenarios.</w:t>
      </w:r>
      <w:r w:rsidRPr="004D12D8">
        <w:br/>
      </w:r>
      <w:r>
        <w:t>FRA</w:t>
      </w:r>
      <w:r w:rsidRPr="004D12D8">
        <w:t xml:space="preserve">: separate real vs financial load. High imaginary share flags fragility. Pure finance interaction: </w:t>
      </w:r>
      <m:oMath>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i</m:t>
            </m:r>
          </m:e>
        </m:d>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i</m:t>
            </m:r>
          </m:e>
        </m:d>
        <m:r>
          <w:rPr>
            <w:rFonts w:ascii="Cambria Math" w:hAnsi="Cambria Math"/>
          </w:rPr>
          <m:t>= -</m:t>
        </m:r>
        <m:sSub>
          <m:sSubPr>
            <m:ctrlPr>
              <w:rPr>
                <w:rFonts w:ascii="Cambria Math" w:hAnsi="Cambria Math"/>
                <w:i/>
              </w:rPr>
            </m:ctrlPr>
          </m:sSubPr>
          <m:e>
            <m:r>
              <w:rPr>
                <w:rFonts w:ascii="Cambria Math" w:hAnsi="Cambria Math"/>
              </w:rPr>
              <m:t>V</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oMath>
      <w:r w:rsidRPr="004D12D8">
        <w:rPr>
          <w:rFonts w:ascii="Arial" w:hAnsi="Arial" w:cs="Arial"/>
        </w:rPr>
        <w:t>​</w:t>
      </w:r>
      <w:r>
        <w:t xml:space="preserve"> </w:t>
      </w:r>
      <w:r w:rsidRPr="004D12D8">
        <w:t>reduces effective real part. De-risking is rotation toward real axis plus norm reduction: E′ = α E e^{−iφ}.</w:t>
      </w:r>
    </w:p>
    <w:p w14:paraId="2CE270A5" w14:textId="77777777" w:rsidR="005564FC" w:rsidRPr="004D12D8" w:rsidRDefault="005564FC" w:rsidP="005564FC">
      <w:pPr>
        <w:numPr>
          <w:ilvl w:val="0"/>
          <w:numId w:val="10"/>
        </w:numPr>
        <w:spacing w:after="160" w:line="278" w:lineRule="auto"/>
      </w:pPr>
      <w:r w:rsidRPr="004D12D8">
        <w:lastRenderedPageBreak/>
        <w:t>Double-entry integrity and consolidation</w:t>
      </w:r>
      <w:r w:rsidRPr="004D12D8">
        <w:br/>
        <w:t>Conventional: intercompany eliminations, manual checks.</w:t>
      </w:r>
      <w:r w:rsidRPr="004D12D8">
        <w:br/>
      </w:r>
      <w:r>
        <w:t>FRA</w:t>
      </w:r>
      <w:r w:rsidRPr="004D12D8">
        <w:t>: transactions are pairs that sum to zero in E. For consolidation, sum all E across entities. Any imbalance signals missing legs or timing issues. One identity check replaces many reconciliations: Σ E = 0 at each event and period.</w:t>
      </w:r>
    </w:p>
    <w:p w14:paraId="06083F24" w14:textId="77777777" w:rsidR="005564FC" w:rsidRPr="004D12D8" w:rsidRDefault="005564FC" w:rsidP="005564FC">
      <w:pPr>
        <w:numPr>
          <w:ilvl w:val="0"/>
          <w:numId w:val="10"/>
        </w:numPr>
        <w:spacing w:after="160" w:line="278" w:lineRule="auto"/>
      </w:pPr>
      <w:r w:rsidRPr="004D12D8">
        <w:t>Hedging and diversification</w:t>
      </w:r>
      <w:r w:rsidRPr="004D12D8">
        <w:br/>
        <w:t>Conventional: covariance matrix of returns.</w:t>
      </w:r>
      <w:r w:rsidRPr="004D12D8">
        <w:br/>
      </w:r>
      <w:r>
        <w:t>FRA</w:t>
      </w:r>
      <w:r w:rsidRPr="004D12D8">
        <w:t xml:space="preserve">: define inner product </w:t>
      </w:r>
      <m:oMath>
        <m:r>
          <w:rPr>
            <w:rFonts w:ascii="Cambria Math" w:hAnsi="Cambria Math"/>
          </w:rPr>
          <m:t>&lt;</m:t>
        </m:r>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b</m:t>
            </m:r>
          </m:sub>
        </m:sSub>
        <m:r>
          <w:rPr>
            <w:rFonts w:ascii="Cambria Math" w:hAnsi="Cambria Math"/>
          </w:rPr>
          <m:t xml:space="preserve">&gt; = </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a</m:t>
            </m:r>
          </m:sub>
        </m:sSub>
        <m:sSub>
          <m:sSubPr>
            <m:ctrlPr>
              <w:rPr>
                <w:rFonts w:ascii="Cambria Math" w:hAnsi="Cambria Math"/>
                <w:i/>
              </w:rPr>
            </m:ctrlPr>
          </m:sSubPr>
          <m:e>
            <m:r>
              <w:rPr>
                <w:rFonts w:ascii="Cambria Math" w:hAnsi="Cambria Math"/>
              </w:rPr>
              <m:t>V</m:t>
            </m:r>
          </m:e>
          <m:sub>
            <m:r>
              <w:rPr>
                <w:rFonts w:ascii="Cambria Math" w:hAnsi="Cambria Math"/>
              </w:rPr>
              <m:t>b</m:t>
            </m:r>
          </m:sub>
        </m:sSub>
      </m:oMath>
      <w:r w:rsidRPr="004D12D8">
        <w:t xml:space="preserve">. Hedge ratio h solves </w:t>
      </w:r>
      <w:r>
        <w:t xml:space="preserve"> </w:t>
      </w:r>
      <m:oMath>
        <m:r>
          <w:rPr>
            <w:rFonts w:ascii="Cambria Math" w:hAnsi="Cambria Math"/>
          </w:rPr>
          <m:t>&lt;</m:t>
        </m:r>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 h</m:t>
        </m:r>
        <m:sSub>
          <m:sSubPr>
            <m:ctrlPr>
              <w:rPr>
                <w:rFonts w:ascii="Cambria Math" w:hAnsi="Cambria Math"/>
                <w:i/>
              </w:rPr>
            </m:ctrlPr>
          </m:sSubPr>
          <m:e>
            <m:r>
              <w:rPr>
                <w:rFonts w:ascii="Cambria Math" w:hAnsi="Cambria Math"/>
              </w:rPr>
              <m:t>E</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b</m:t>
            </m:r>
          </m:sub>
        </m:sSub>
        <m:r>
          <w:rPr>
            <w:rFonts w:ascii="Cambria Math" w:hAnsi="Cambria Math"/>
          </w:rPr>
          <m:t>&gt; = 0</m:t>
        </m:r>
      </m:oMath>
      <w:r w:rsidRPr="004D12D8">
        <w:t>, giving orthogonality directly. Choose constituents so pairwise inner products approach zero to minimize portfolio variance.</w:t>
      </w:r>
    </w:p>
    <w:p w14:paraId="056AE95A" w14:textId="77777777" w:rsidR="005564FC" w:rsidRPr="004D12D8" w:rsidRDefault="005564FC" w:rsidP="005564FC">
      <w:pPr>
        <w:numPr>
          <w:ilvl w:val="0"/>
          <w:numId w:val="10"/>
        </w:numPr>
        <w:spacing w:after="160" w:line="278" w:lineRule="auto"/>
      </w:pPr>
      <w:r w:rsidRPr="004D12D8">
        <w:t>Inflation and currency shocks</w:t>
      </w:r>
      <w:r w:rsidRPr="004D12D8">
        <w:br/>
        <w:t>Conventional: CPI deflation, FX translation, layered adjustments.</w:t>
      </w:r>
      <w:r w:rsidRPr="004D12D8">
        <w:br/>
      </w:r>
      <w:r>
        <w:t>FRA</w:t>
      </w:r>
      <w:r w:rsidRPr="004D12D8">
        <w:t>: model systematic price level or FX shift as rotation by θ plus possible scaling α if real quantities change. Apply once to the whole book: E′ = α E e^{iθ}. Report real share Re(E′) and value share Im(E′) cleanly before and after.</w:t>
      </w:r>
    </w:p>
    <w:p w14:paraId="7186C7AE" w14:textId="77777777" w:rsidR="005564FC" w:rsidRPr="004D12D8" w:rsidRDefault="005564FC" w:rsidP="005564FC">
      <w:pPr>
        <w:numPr>
          <w:ilvl w:val="0"/>
          <w:numId w:val="10"/>
        </w:numPr>
        <w:spacing w:after="160" w:line="278" w:lineRule="auto"/>
      </w:pPr>
      <w:r w:rsidRPr="004D12D8">
        <w:t>Supply shock and substitution</w:t>
      </w:r>
      <w:r w:rsidRPr="004D12D8">
        <w:br/>
        <w:t>Conventional: input–output tables, local linearizations.</w:t>
      </w:r>
      <w:r w:rsidRPr="004D12D8">
        <w:br/>
      </w:r>
      <w:r>
        <w:t>FRA</w:t>
      </w:r>
      <w:r w:rsidRPr="004D12D8">
        <w:t>: encode each product’s physical vector R with attributes. A supply shock is attenuation on affected R components and a rotation that raises V. Substitution appears as a linear map M on R, then revaluation: E′ = (M R) + V i, then E″ = E′ e^{iθ}.</w:t>
      </w:r>
    </w:p>
    <w:p w14:paraId="5AA761EF" w14:textId="77777777" w:rsidR="005564FC" w:rsidRPr="004D12D8" w:rsidRDefault="005564FC" w:rsidP="005564FC">
      <w:pPr>
        <w:numPr>
          <w:ilvl w:val="0"/>
          <w:numId w:val="10"/>
        </w:numPr>
        <w:spacing w:after="160" w:line="278" w:lineRule="auto"/>
      </w:pPr>
      <w:r w:rsidRPr="004D12D8">
        <w:t>Project valuation with real options</w:t>
      </w:r>
      <w:r w:rsidRPr="004D12D8">
        <w:br/>
        <w:t>Conventional: DCF plus option overlays.</w:t>
      </w:r>
      <w:r w:rsidRPr="004D12D8">
        <w:br/>
      </w:r>
      <w:r>
        <w:t>FRA</w:t>
      </w:r>
      <w:r w:rsidRPr="004D12D8">
        <w:t xml:space="preserve">: cashflow states map to V, capacity buildout maps to R. Managerial flexibility is controlled rotation and scaling over time:  </w:t>
      </w:r>
      <m:oMath>
        <m:sSub>
          <m:sSubPr>
            <m:ctrlPr>
              <w:rPr>
                <w:rFonts w:ascii="Cambria Math" w:hAnsi="Cambria Math"/>
              </w:rPr>
            </m:ctrlPr>
          </m:sSubPr>
          <m:e>
            <m:r>
              <m:rPr>
                <m:sty m:val="p"/>
              </m:rPr>
              <w:rPr>
                <w:rFonts w:ascii="Cambria Math" w:hAnsi="Cambria Math"/>
              </w:rPr>
              <m:t>E</m:t>
            </m:r>
          </m:e>
          <m:sub>
            <m:d>
              <m:dPr>
                <m:begChr m:val="{"/>
                <m:endChr m:val="}"/>
                <m:ctrlPr>
                  <w:rPr>
                    <w:rFonts w:ascii="Cambria Math" w:hAnsi="Cambria Math"/>
                  </w:rPr>
                </m:ctrlPr>
              </m:dPr>
              <m:e>
                <m:r>
                  <m:rPr>
                    <m:sty m:val="p"/>
                  </m:rPr>
                  <w:rPr>
                    <w:rFonts w:ascii="Cambria Math" w:hAnsi="Cambria Math"/>
                  </w:rPr>
                  <m:t>t+1</m:t>
                </m:r>
              </m:e>
            </m:d>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t</m:t>
                    </m:r>
                  </m:sub>
                </m:sSub>
              </m:e>
            </m:d>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E</m:t>
            </m:r>
          </m:e>
          <m:sub>
            <m:r>
              <m:rPr>
                <m:sty m:val="p"/>
              </m:rPr>
              <w:rPr>
                <w:rFonts w:ascii="Cambria Math" w:hAnsi="Cambria Math"/>
              </w:rPr>
              <m:t>t</m:t>
            </m:r>
          </m:sub>
        </m:sSub>
        <m:sSup>
          <m:sSupPr>
            <m:ctrlPr>
              <w:rPr>
                <w:rFonts w:ascii="Cambria Math" w:hAnsi="Cambria Math"/>
              </w:rPr>
            </m:ctrlPr>
          </m:sSupPr>
          <m:e>
            <m:r>
              <m:rPr>
                <m:sty m:val="p"/>
              </m:rPr>
              <w:rPr>
                <w:rFonts w:ascii="Cambria Math" w:hAnsi="Cambria Math"/>
              </w:rPr>
              <m:t>e</m:t>
            </m:r>
          </m:e>
          <m:sup>
            <m:d>
              <m:dPr>
                <m:begChr m:val="{"/>
                <m:endChr m:val="}"/>
                <m:ctrlPr>
                  <w:rPr>
                    <w:rFonts w:ascii="Cambria Math" w:hAnsi="Cambria Math"/>
                  </w:rPr>
                </m:ctrlPr>
              </m:dPr>
              <m:e>
                <m:r>
                  <m:rPr>
                    <m:sty m:val="p"/>
                  </m:rPr>
                  <w:rPr>
                    <w:rFonts w:ascii="Cambria Math" w:hAnsi="Cambria Math"/>
                  </w:rPr>
                  <m:t>i</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t</m:t>
                    </m:r>
                  </m:sub>
                </m:sSub>
              </m:e>
            </m:d>
          </m:sup>
        </m:sSup>
      </m:oMath>
      <w:r>
        <w:t xml:space="preserve"> </w:t>
      </w:r>
      <w:r w:rsidRPr="004D12D8">
        <w:t>Option exercise is a discrete jump in θ that increases V while constraining R. Optimize the path {α_t, θ_t} to maximize terminal |E_T| subject to risk limits on imaginary share.</w:t>
      </w:r>
    </w:p>
    <w:p w14:paraId="6264F440" w14:textId="77777777" w:rsidR="005564FC" w:rsidRPr="004D12D8" w:rsidRDefault="005564FC" w:rsidP="005564FC">
      <w:pPr>
        <w:numPr>
          <w:ilvl w:val="0"/>
          <w:numId w:val="10"/>
        </w:numPr>
        <w:spacing w:after="160" w:line="278" w:lineRule="auto"/>
      </w:pPr>
      <w:r w:rsidRPr="004D12D8">
        <w:t>Inventory financing and collateral tracking</w:t>
      </w:r>
      <w:r w:rsidRPr="004D12D8">
        <w:br/>
        <w:t>Conventional: separate collateral files, advance rates, periodic haircuts.</w:t>
      </w:r>
      <w:r w:rsidRPr="004D12D8">
        <w:br/>
      </w:r>
      <w:r>
        <w:t>FRA</w:t>
      </w:r>
      <w:r w:rsidRPr="004D12D8">
        <w:t xml:space="preserve">: secured lending represented by splitting E into pledgor and lender components that sum to original E. Haircut is rotation that increases V liability side relative to R collateral side. Breach triggers when </w:t>
      </w:r>
      <m:oMath>
        <m:r>
          <m:rPr>
            <m:sty m:val="p"/>
          </m:rPr>
          <w:rPr>
            <w:rFonts w:ascii="Cambria Math" w:hAnsi="Cambria Math"/>
          </w:rPr>
          <m:t>Im</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liability</m:t>
                </m:r>
              </m:sub>
            </m:sSub>
          </m:e>
        </m:d>
      </m:oMath>
      <w:r>
        <w:t xml:space="preserve"> </w:t>
      </w:r>
      <w:r w:rsidRPr="004D12D8">
        <w:t xml:space="preserve">exceeds agreed fraction of </w:t>
      </w:r>
      <m:oMath>
        <m:r>
          <m:rPr>
            <m:sty m:val="p"/>
          </m:rPr>
          <w:rPr>
            <w:rFonts w:ascii="Cambria Math" w:hAnsi="Cambria Math"/>
          </w:rPr>
          <m:t>Re</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collateral</m:t>
                </m:r>
              </m:sub>
            </m:sSub>
          </m:e>
        </m:d>
      </m:oMath>
      <w:r w:rsidRPr="004D12D8">
        <w:t>.</w:t>
      </w:r>
    </w:p>
    <w:p w14:paraId="4426D65F" w14:textId="77777777" w:rsidR="00EA228C" w:rsidRDefault="00EA228C"/>
    <w:p w14:paraId="7295C884" w14:textId="5A59DAAC" w:rsidR="005564FC" w:rsidRPr="00EA228C" w:rsidRDefault="00EA228C">
      <w:pPr>
        <w:rPr>
          <w:rFonts w:asciiTheme="majorHAnsi" w:hAnsiTheme="majorHAnsi" w:cstheme="majorHAnsi"/>
          <w:b/>
          <w:bCs/>
          <w:color w:val="4F81BD" w:themeColor="accent1"/>
          <w:sz w:val="28"/>
          <w:szCs w:val="28"/>
        </w:rPr>
      </w:pPr>
      <w:r w:rsidRPr="00EA228C">
        <w:rPr>
          <w:rFonts w:asciiTheme="majorHAnsi" w:hAnsiTheme="majorHAnsi" w:cstheme="majorHAnsi"/>
          <w:b/>
          <w:bCs/>
          <w:color w:val="4F81BD" w:themeColor="accent1"/>
          <w:sz w:val="28"/>
          <w:szCs w:val="28"/>
        </w:rPr>
        <w:t>Examples</w:t>
      </w:r>
    </w:p>
    <w:p w14:paraId="4FF126F0" w14:textId="77777777" w:rsidR="002E13E8" w:rsidRDefault="00EA228C" w:rsidP="002E13E8">
      <w:pPr>
        <w:pStyle w:val="ListParagraph"/>
        <w:numPr>
          <w:ilvl w:val="0"/>
          <w:numId w:val="12"/>
        </w:numPr>
      </w:pPr>
      <w:r>
        <w:t>FX revaluations: Microsoft’s constant-currency vs reported revenue differences as rotations.</w:t>
      </w:r>
    </w:p>
    <w:p w14:paraId="16AC5AD3" w14:textId="77777777" w:rsidR="002E13E8" w:rsidRDefault="00EA228C" w:rsidP="002E13E8">
      <w:pPr>
        <w:pStyle w:val="ListParagraph"/>
        <w:numPr>
          <w:ilvl w:val="0"/>
          <w:numId w:val="12"/>
        </w:numPr>
      </w:pPr>
      <w:r>
        <w:lastRenderedPageBreak/>
        <w:t>Margin compression: Tesla’s delivery growth vs revenue per unit as downward rotation.</w:t>
      </w:r>
    </w:p>
    <w:p w14:paraId="324E68E7" w14:textId="77777777" w:rsidR="002E13E8" w:rsidRDefault="00EA228C" w:rsidP="002E13E8">
      <w:pPr>
        <w:pStyle w:val="ListParagraph"/>
        <w:numPr>
          <w:ilvl w:val="0"/>
          <w:numId w:val="12"/>
        </w:numPr>
      </w:pPr>
      <w:r>
        <w:t>Leverage shocks: Archegos as multiplication of pure-financial positions converting to real losses.</w:t>
      </w:r>
    </w:p>
    <w:p w14:paraId="2A0A0581" w14:textId="29FC788C" w:rsidR="00EA228C" w:rsidRDefault="00EA228C" w:rsidP="002E13E8">
      <w:pPr>
        <w:pStyle w:val="ListParagraph"/>
        <w:numPr>
          <w:ilvl w:val="0"/>
          <w:numId w:val="12"/>
        </w:numPr>
      </w:pPr>
      <w:r>
        <w:t>Commodities: WTI negative prices as rotations beyond 90° when financial claims exceeded storage.</w:t>
      </w:r>
      <w:r>
        <w:br/>
        <w:t>5. Portfolio diversification: orthogonality aligns with modern portfolio theory.</w:t>
      </w:r>
    </w:p>
    <w:p w14:paraId="19E35C90" w14:textId="77777777" w:rsidR="00F74A59" w:rsidRDefault="00F74A59" w:rsidP="00F74A59">
      <w:pPr>
        <w:pStyle w:val="ListParagraph"/>
      </w:pPr>
    </w:p>
    <w:p w14:paraId="075565D6" w14:textId="77777777" w:rsidR="00F74A59" w:rsidRDefault="00F74A59" w:rsidP="00F74A59">
      <w:pPr>
        <w:pStyle w:val="ListParagraph"/>
      </w:pPr>
    </w:p>
    <w:p w14:paraId="16D6ACE7" w14:textId="77777777" w:rsidR="005564FC" w:rsidRDefault="005564FC"/>
    <w:p w14:paraId="1F956A9E" w14:textId="77777777" w:rsidR="00350FB7" w:rsidRDefault="00000000">
      <w:pPr>
        <w:pStyle w:val="Heading1"/>
      </w:pPr>
      <w:r>
        <w:t>Conclusion</w:t>
      </w:r>
    </w:p>
    <w:p w14:paraId="4227F48F" w14:textId="77777777" w:rsidR="00350FB7" w:rsidRDefault="00000000">
      <w:r>
        <w:t>Finance–Reality Algebra offers a unified algebraic representation of real and financial dimensions of economic systems. By interpreting economic elements as complex-like pairs, FRA naturally encodes conservation, valuation shifts, diversification, and instability. This distinguishes it from prior uses of complex numbers in finance, which were computational rather than structural. FRA aligns with heterodox theories of monetary fragility while challenging neoclassical neutrality of money. Future research may explore empirical estimation of rotation angles θ as early-warning indicators of instability in firms and markets.</w:t>
      </w:r>
    </w:p>
    <w:p w14:paraId="11DDDE87" w14:textId="77777777" w:rsidR="00350FB7" w:rsidRDefault="00000000">
      <w:pPr>
        <w:pStyle w:val="Heading1"/>
      </w:pPr>
      <w:r>
        <w:t>References</w:t>
      </w:r>
    </w:p>
    <w:p w14:paraId="07AEACF3" w14:textId="5C914D3C" w:rsidR="00350FB7" w:rsidRDefault="00000000">
      <w:r>
        <w:t>Osborne, M.F.M. &amp; Turner, A. (1993). The Complex Rate of Return. Working Paper.</w:t>
      </w:r>
      <w:r>
        <w:br/>
        <w:t>Osborne, M.F.M. (2000). Visualising Financial Concepts in the Complex Plane. Computers in Higher Education Economics Review.</w:t>
      </w:r>
      <w:r>
        <w:br/>
        <w:t xml:space="preserve">Tesla, Inc. SEC filings (2022–2025). </w:t>
      </w:r>
      <w:r>
        <w:br/>
        <w:t>Microsoft Corporation. Investor Relations</w:t>
      </w:r>
      <w:r>
        <w:br/>
        <w:t>Nvidia Corporation. Investor Relations.</w:t>
      </w:r>
    </w:p>
    <w:sectPr w:rsidR="00350F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F92401"/>
    <w:multiLevelType w:val="multilevel"/>
    <w:tmpl w:val="E320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A02708"/>
    <w:multiLevelType w:val="hybridMultilevel"/>
    <w:tmpl w:val="D6CCF9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101056D"/>
    <w:multiLevelType w:val="hybridMultilevel"/>
    <w:tmpl w:val="7A7E8EFE"/>
    <w:lvl w:ilvl="0" w:tplc="D55E1D18">
      <w:start w:val="1"/>
      <w:numFmt w:val="decimal"/>
      <w:lvlText w:val="%1."/>
      <w:lvlJc w:val="left"/>
      <w:pPr>
        <w:ind w:left="765" w:hanging="360"/>
      </w:pPr>
      <w:rPr>
        <w:rFonts w:hint="default"/>
      </w:rPr>
    </w:lvl>
    <w:lvl w:ilvl="1" w:tplc="0C090019" w:tentative="1">
      <w:start w:val="1"/>
      <w:numFmt w:val="lowerLetter"/>
      <w:lvlText w:val="%2."/>
      <w:lvlJc w:val="left"/>
      <w:pPr>
        <w:ind w:left="1485" w:hanging="360"/>
      </w:pPr>
    </w:lvl>
    <w:lvl w:ilvl="2" w:tplc="0C09001B" w:tentative="1">
      <w:start w:val="1"/>
      <w:numFmt w:val="lowerRoman"/>
      <w:lvlText w:val="%3."/>
      <w:lvlJc w:val="right"/>
      <w:pPr>
        <w:ind w:left="2205" w:hanging="180"/>
      </w:pPr>
    </w:lvl>
    <w:lvl w:ilvl="3" w:tplc="0C09000F" w:tentative="1">
      <w:start w:val="1"/>
      <w:numFmt w:val="decimal"/>
      <w:lvlText w:val="%4."/>
      <w:lvlJc w:val="left"/>
      <w:pPr>
        <w:ind w:left="2925" w:hanging="360"/>
      </w:pPr>
    </w:lvl>
    <w:lvl w:ilvl="4" w:tplc="0C090019" w:tentative="1">
      <w:start w:val="1"/>
      <w:numFmt w:val="lowerLetter"/>
      <w:lvlText w:val="%5."/>
      <w:lvlJc w:val="left"/>
      <w:pPr>
        <w:ind w:left="3645" w:hanging="360"/>
      </w:pPr>
    </w:lvl>
    <w:lvl w:ilvl="5" w:tplc="0C09001B" w:tentative="1">
      <w:start w:val="1"/>
      <w:numFmt w:val="lowerRoman"/>
      <w:lvlText w:val="%6."/>
      <w:lvlJc w:val="right"/>
      <w:pPr>
        <w:ind w:left="4365" w:hanging="180"/>
      </w:pPr>
    </w:lvl>
    <w:lvl w:ilvl="6" w:tplc="0C09000F" w:tentative="1">
      <w:start w:val="1"/>
      <w:numFmt w:val="decimal"/>
      <w:lvlText w:val="%7."/>
      <w:lvlJc w:val="left"/>
      <w:pPr>
        <w:ind w:left="5085" w:hanging="360"/>
      </w:pPr>
    </w:lvl>
    <w:lvl w:ilvl="7" w:tplc="0C090019" w:tentative="1">
      <w:start w:val="1"/>
      <w:numFmt w:val="lowerLetter"/>
      <w:lvlText w:val="%8."/>
      <w:lvlJc w:val="left"/>
      <w:pPr>
        <w:ind w:left="5805" w:hanging="360"/>
      </w:pPr>
    </w:lvl>
    <w:lvl w:ilvl="8" w:tplc="0C09001B" w:tentative="1">
      <w:start w:val="1"/>
      <w:numFmt w:val="lowerRoman"/>
      <w:lvlText w:val="%9."/>
      <w:lvlJc w:val="right"/>
      <w:pPr>
        <w:ind w:left="6525" w:hanging="180"/>
      </w:pPr>
    </w:lvl>
  </w:abstractNum>
  <w:num w:numId="1" w16cid:durableId="2144224621">
    <w:abstractNumId w:val="8"/>
  </w:num>
  <w:num w:numId="2" w16cid:durableId="2127431053">
    <w:abstractNumId w:val="6"/>
  </w:num>
  <w:num w:numId="3" w16cid:durableId="1423843347">
    <w:abstractNumId w:val="5"/>
  </w:num>
  <w:num w:numId="4" w16cid:durableId="1100031246">
    <w:abstractNumId w:val="4"/>
  </w:num>
  <w:num w:numId="5" w16cid:durableId="1529755019">
    <w:abstractNumId w:val="7"/>
  </w:num>
  <w:num w:numId="6" w16cid:durableId="61681426">
    <w:abstractNumId w:val="3"/>
  </w:num>
  <w:num w:numId="7" w16cid:durableId="702443061">
    <w:abstractNumId w:val="2"/>
  </w:num>
  <w:num w:numId="8" w16cid:durableId="1696925343">
    <w:abstractNumId w:val="1"/>
  </w:num>
  <w:num w:numId="9" w16cid:durableId="1657759792">
    <w:abstractNumId w:val="0"/>
  </w:num>
  <w:num w:numId="10" w16cid:durableId="1721173236">
    <w:abstractNumId w:val="9"/>
  </w:num>
  <w:num w:numId="11" w16cid:durableId="116070036">
    <w:abstractNumId w:val="10"/>
  </w:num>
  <w:num w:numId="12" w16cid:durableId="8417765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228"/>
    <w:rsid w:val="0015074B"/>
    <w:rsid w:val="0028568E"/>
    <w:rsid w:val="0029639D"/>
    <w:rsid w:val="002A7EE1"/>
    <w:rsid w:val="002D6053"/>
    <w:rsid w:val="002E13E8"/>
    <w:rsid w:val="00326F90"/>
    <w:rsid w:val="00350FB7"/>
    <w:rsid w:val="00450916"/>
    <w:rsid w:val="005564FC"/>
    <w:rsid w:val="00565215"/>
    <w:rsid w:val="005D4B74"/>
    <w:rsid w:val="00A73CB8"/>
    <w:rsid w:val="00AA1D8D"/>
    <w:rsid w:val="00B47730"/>
    <w:rsid w:val="00C66E37"/>
    <w:rsid w:val="00CB0664"/>
    <w:rsid w:val="00D66B96"/>
    <w:rsid w:val="00D76793"/>
    <w:rsid w:val="00EA228C"/>
    <w:rsid w:val="00F74A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F5492"/>
  <w14:defaultImageDpi w14:val="300"/>
  <w15:docId w15:val="{8A2C98C8-0645-4F5F-80B4-518FBD5D5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1120</Words>
  <Characters>6386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Dmitri Rytsk</cp:lastModifiedBy>
  <cp:revision>15</cp:revision>
  <dcterms:created xsi:type="dcterms:W3CDTF">2013-12-23T23:15:00Z</dcterms:created>
  <dcterms:modified xsi:type="dcterms:W3CDTF">2025-09-09T00:41:00Z</dcterms:modified>
  <cp:category/>
</cp:coreProperties>
</file>