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37B7" w14:textId="5AF097FE" w:rsidR="004D12D8" w:rsidRPr="004D12D8" w:rsidRDefault="00097809" w:rsidP="004D12D8">
      <w:r>
        <w:t>P</w:t>
      </w:r>
      <w:r w:rsidR="004D12D8" w:rsidRPr="004D12D8">
        <w:t xml:space="preserve">ractical applications, </w:t>
      </w:r>
      <w:r w:rsidRPr="004D12D8">
        <w:t>Conventional</w:t>
      </w:r>
      <w:r>
        <w:t xml:space="preserve"> and FRA</w:t>
      </w:r>
      <w:r w:rsidR="004D12D8" w:rsidRPr="004D12D8">
        <w:t>.</w:t>
      </w:r>
    </w:p>
    <w:p w14:paraId="12135242" w14:textId="41CFFE8A" w:rsidR="004D12D8" w:rsidRPr="004D12D8" w:rsidRDefault="004D12D8" w:rsidP="00D542B0">
      <w:pPr>
        <w:numPr>
          <w:ilvl w:val="0"/>
          <w:numId w:val="1"/>
        </w:numPr>
        <w:rPr>
          <w:rFonts w:eastAsiaTheme="minorEastAsia"/>
        </w:rPr>
      </w:pPr>
      <w:r w:rsidRPr="004D12D8">
        <w:t>Price revaluation of inventory</w:t>
      </w:r>
      <w:r w:rsidRPr="004D12D8">
        <w:br/>
        <w:t>Conventional: mark-to-market per SKU, recompute totals.</w:t>
      </w:r>
      <w:r w:rsidRPr="004D12D8">
        <w:br/>
      </w:r>
      <w:r w:rsidR="00097809">
        <w:t>FRA</w:t>
      </w:r>
      <w:r w:rsidRPr="004D12D8">
        <w:t>: E = R + Vi. New price regime = multiply by e^{</w:t>
      </w:r>
      <w:proofErr w:type="spellStart"/>
      <w:r w:rsidRPr="004D12D8">
        <w:t>iθ</w:t>
      </w:r>
      <w:proofErr w:type="spellEnd"/>
      <w:r w:rsidRPr="004D12D8">
        <w:t>}. Choose θ to match new V′ while preserving combined size |E| if you assume pure revaluation. Portfolio updates in one step: E′ = E e^{iθ}.</w:t>
      </w:r>
    </w:p>
    <w:p w14:paraId="0A475B3D" w14:textId="2F10462E" w:rsidR="004D12D8" w:rsidRPr="004D12D8" w:rsidRDefault="004D12D8" w:rsidP="004D12D8">
      <w:pPr>
        <w:numPr>
          <w:ilvl w:val="0"/>
          <w:numId w:val="1"/>
        </w:numPr>
        <w:rPr>
          <w:rFonts w:eastAsiaTheme="minorEastAsia"/>
        </w:rPr>
      </w:pPr>
      <w:r w:rsidRPr="004D12D8">
        <w:t>Leverage cycle and de-risking</w:t>
      </w:r>
      <w:r w:rsidRPr="004D12D8">
        <w:br/>
        <w:t>Conventional: track gross and net exposures, simulate scenarios.</w:t>
      </w:r>
      <w:r w:rsidRPr="004D12D8">
        <w:br/>
      </w:r>
      <w:r w:rsidR="00097809">
        <w:t>FRA</w:t>
      </w:r>
      <w:r w:rsidRPr="004D12D8">
        <w:t xml:space="preserve">: separate real vs financial load. High imaginary share flags fragility. Pure finance interaction: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i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 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D12D8">
        <w:rPr>
          <w:rFonts w:ascii="Arial" w:hAnsi="Arial" w:cs="Arial"/>
        </w:rPr>
        <w:t>​</w:t>
      </w:r>
      <w:r>
        <w:t xml:space="preserve"> </w:t>
      </w:r>
      <w:r w:rsidRPr="004D12D8">
        <w:t>reduces effective real part. De-risking is rotation toward real axis plus norm reduction: E′ = α E e^{−</w:t>
      </w:r>
      <w:proofErr w:type="spellStart"/>
      <w:r w:rsidRPr="004D12D8">
        <w:t>iφ</w:t>
      </w:r>
      <w:proofErr w:type="spellEnd"/>
      <w:r w:rsidRPr="004D12D8">
        <w:t>}.</w:t>
      </w:r>
    </w:p>
    <w:p w14:paraId="6E83DB8B" w14:textId="0E958A51" w:rsidR="004D12D8" w:rsidRPr="004D12D8" w:rsidRDefault="004D12D8" w:rsidP="004D12D8">
      <w:pPr>
        <w:numPr>
          <w:ilvl w:val="0"/>
          <w:numId w:val="1"/>
        </w:numPr>
      </w:pPr>
      <w:r w:rsidRPr="004D12D8">
        <w:t>Double-entry integrity and consolidation</w:t>
      </w:r>
      <w:r w:rsidRPr="004D12D8">
        <w:br/>
        <w:t>Conventional: intercompany eliminations, manual checks.</w:t>
      </w:r>
      <w:r w:rsidRPr="004D12D8">
        <w:br/>
      </w:r>
      <w:r w:rsidR="00097809">
        <w:t>FRA</w:t>
      </w:r>
      <w:r w:rsidRPr="004D12D8">
        <w:t>: transactions are pairs that sum to zero in E. For consolidation, sum all E across entities. Any imbalance signals missing legs or timing issues. One identity check replaces many reconciliations: Σ E = 0 at each event and period.</w:t>
      </w:r>
    </w:p>
    <w:p w14:paraId="538A6007" w14:textId="71E5D75D" w:rsidR="004D12D8" w:rsidRPr="004D12D8" w:rsidRDefault="004D12D8" w:rsidP="00D542B0">
      <w:pPr>
        <w:numPr>
          <w:ilvl w:val="0"/>
          <w:numId w:val="1"/>
        </w:numPr>
        <w:rPr>
          <w:rFonts w:eastAsiaTheme="minorEastAsia"/>
        </w:rPr>
      </w:pPr>
      <w:r w:rsidRPr="004D12D8">
        <w:t>Hedging and diversification</w:t>
      </w:r>
      <w:r w:rsidRPr="004D12D8">
        <w:br/>
        <w:t>Conventional: covariance matrix of returns.</w:t>
      </w:r>
      <w:r w:rsidRPr="004D12D8">
        <w:br/>
      </w:r>
      <w:r w:rsidR="00097809">
        <w:t>FRA</w:t>
      </w:r>
      <w:r w:rsidRPr="004D12D8">
        <w:t xml:space="preserve">: define inner product 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&gt;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4D12D8">
        <w:t xml:space="preserve">. Hedge ratio h solves </w:t>
      </w:r>
      <w:r>
        <w:t xml:space="preserve"> 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 h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&gt; = 0</m:t>
        </m:r>
      </m:oMath>
      <w:r w:rsidRPr="004D12D8">
        <w:t>, giving orthogonality directly. Choose constituents so pairwise inner products approach zero to minimize portfolio variance.</w:t>
      </w:r>
    </w:p>
    <w:p w14:paraId="7E92C22F" w14:textId="7A305772" w:rsidR="004D12D8" w:rsidRPr="004D12D8" w:rsidRDefault="004D12D8" w:rsidP="004D12D8">
      <w:pPr>
        <w:numPr>
          <w:ilvl w:val="0"/>
          <w:numId w:val="1"/>
        </w:numPr>
      </w:pPr>
      <w:r w:rsidRPr="004D12D8">
        <w:t>Inflation and currency shocks</w:t>
      </w:r>
      <w:r w:rsidRPr="004D12D8">
        <w:br/>
        <w:t>Conventional: CPI deflation, FX translation, layered adjustments.</w:t>
      </w:r>
      <w:r w:rsidRPr="004D12D8">
        <w:br/>
      </w:r>
      <w:r w:rsidR="00097809">
        <w:t>FRA</w:t>
      </w:r>
      <w:r w:rsidRPr="004D12D8">
        <w:t>: model systematic price level or FX shift as rotation by θ plus possible scaling α if real quantities change. Apply once to the whole book: E′ = α E e^{</w:t>
      </w:r>
      <w:proofErr w:type="spellStart"/>
      <w:r w:rsidRPr="004D12D8">
        <w:t>iθ</w:t>
      </w:r>
      <w:proofErr w:type="spellEnd"/>
      <w:r w:rsidRPr="004D12D8">
        <w:t xml:space="preserve">}. Report real share Re(E′) and value share </w:t>
      </w:r>
      <w:proofErr w:type="spellStart"/>
      <w:r w:rsidRPr="004D12D8">
        <w:t>Im</w:t>
      </w:r>
      <w:proofErr w:type="spellEnd"/>
      <w:r w:rsidRPr="004D12D8">
        <w:t>(E′) cleanly before and after.</w:t>
      </w:r>
    </w:p>
    <w:p w14:paraId="5F307684" w14:textId="75738E50" w:rsidR="004D12D8" w:rsidRPr="004D12D8" w:rsidRDefault="004D12D8" w:rsidP="004D12D8">
      <w:pPr>
        <w:numPr>
          <w:ilvl w:val="0"/>
          <w:numId w:val="1"/>
        </w:numPr>
      </w:pPr>
      <w:r w:rsidRPr="004D12D8">
        <w:t>Supply shock and substitution</w:t>
      </w:r>
      <w:r w:rsidRPr="004D12D8">
        <w:br/>
        <w:t xml:space="preserve">Conventional: input–output tables, local </w:t>
      </w:r>
      <w:proofErr w:type="spellStart"/>
      <w:r w:rsidRPr="004D12D8">
        <w:t>linearizations</w:t>
      </w:r>
      <w:proofErr w:type="spellEnd"/>
      <w:r w:rsidRPr="004D12D8">
        <w:t>.</w:t>
      </w:r>
      <w:r w:rsidRPr="004D12D8">
        <w:br/>
      </w:r>
      <w:r w:rsidR="00097809">
        <w:t>FRA</w:t>
      </w:r>
      <w:r w:rsidRPr="004D12D8">
        <w:t xml:space="preserve">: encode each product’s physical vector R with attributes. A supply shock is attenuation on affected R components and a rotation that raises V. Substitution appears as a linear map M on R, then revaluation: E′ = (M R) + V </w:t>
      </w:r>
      <w:proofErr w:type="spellStart"/>
      <w:r w:rsidRPr="004D12D8">
        <w:t>i</w:t>
      </w:r>
      <w:proofErr w:type="spellEnd"/>
      <w:r w:rsidRPr="004D12D8">
        <w:t>, then E″ = E′ e^{</w:t>
      </w:r>
      <w:proofErr w:type="spellStart"/>
      <w:r w:rsidRPr="004D12D8">
        <w:t>iθ</w:t>
      </w:r>
      <w:proofErr w:type="spellEnd"/>
      <w:r w:rsidRPr="004D12D8">
        <w:t>}.</w:t>
      </w:r>
    </w:p>
    <w:p w14:paraId="613F8017" w14:textId="1FFC240A" w:rsidR="004D12D8" w:rsidRPr="004D12D8" w:rsidRDefault="004D12D8" w:rsidP="00D542B0">
      <w:pPr>
        <w:numPr>
          <w:ilvl w:val="0"/>
          <w:numId w:val="1"/>
        </w:numPr>
        <w:rPr>
          <w:rFonts w:eastAsiaTheme="minorEastAsia"/>
        </w:rPr>
      </w:pPr>
      <w:r w:rsidRPr="004D12D8">
        <w:t>Project valuation with real options</w:t>
      </w:r>
      <w:r w:rsidRPr="004D12D8">
        <w:br/>
        <w:t>Conventional: DCF plus option overlays.</w:t>
      </w:r>
      <w:r w:rsidRPr="004D12D8">
        <w:br/>
      </w:r>
      <w:r w:rsidR="00097809">
        <w:t>FRA</w:t>
      </w:r>
      <w:r w:rsidRPr="004D12D8">
        <w:t xml:space="preserve">: cashflow states map to V, capacity buildout maps to R. Managerial flexibility is controlled rotation and scaling over time: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t+1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sup>
        </m:sSup>
      </m:oMath>
      <w:r w:rsidR="00D542B0">
        <w:rPr>
          <w:rFonts w:eastAsiaTheme="minorEastAsia"/>
        </w:rPr>
        <w:t xml:space="preserve"> </w:t>
      </w:r>
      <w:r w:rsidRPr="004D12D8">
        <w:t xml:space="preserve">Option exercise is a discrete jump in θ that increases V while constraining R. </w:t>
      </w:r>
      <w:r w:rsidRPr="004D12D8">
        <w:lastRenderedPageBreak/>
        <w:t>Optimize the path {α_t, θ_t} to maximize terminal |E_T| subject to risk limits on imaginary share.</w:t>
      </w:r>
    </w:p>
    <w:p w14:paraId="5C21DFE6" w14:textId="2C7FB604" w:rsidR="004D12D8" w:rsidRPr="004D12D8" w:rsidRDefault="004D12D8" w:rsidP="00DF71A9">
      <w:pPr>
        <w:numPr>
          <w:ilvl w:val="0"/>
          <w:numId w:val="1"/>
        </w:numPr>
        <w:rPr>
          <w:rFonts w:eastAsiaTheme="minorEastAsia"/>
        </w:rPr>
      </w:pPr>
      <w:r w:rsidRPr="004D12D8">
        <w:t>Inventory financing and collateral tracking</w:t>
      </w:r>
      <w:r w:rsidRPr="004D12D8">
        <w:br/>
        <w:t>Conventional: separate collateral files, advance rates, periodic haircuts.</w:t>
      </w:r>
      <w:r w:rsidRPr="004D12D8">
        <w:br/>
      </w:r>
      <w:r w:rsidR="00097809">
        <w:t>FRA</w:t>
      </w:r>
      <w:r w:rsidRPr="004D12D8">
        <w:t xml:space="preserve">: secured lending represented by splitting E into pledgor and lender components that sum to original E. Haircut is rotation that increases V liability side relative to R collateral side. Breach triggers when </w:t>
      </w:r>
      <m:oMath>
        <m:r>
          <m:rPr>
            <m:sty m:val="p"/>
          </m:rP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liability</m:t>
                </m:r>
              </m:sub>
            </m:sSub>
          </m:e>
        </m:d>
      </m:oMath>
      <w:r w:rsidR="00DF71A9">
        <w:rPr>
          <w:rFonts w:eastAsiaTheme="minorEastAsia"/>
        </w:rPr>
        <w:t xml:space="preserve"> </w:t>
      </w:r>
      <w:r w:rsidRPr="004D12D8">
        <w:t xml:space="preserve">exceeds agreed fraction of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collateral</m:t>
                </m:r>
              </m:sub>
            </m:sSub>
          </m:e>
        </m:d>
      </m:oMath>
      <w:r w:rsidRPr="004D12D8">
        <w:t>.</w:t>
      </w:r>
    </w:p>
    <w:p w14:paraId="1B05293B" w14:textId="77777777" w:rsidR="00D72173" w:rsidRDefault="00D72173"/>
    <w:sectPr w:rsidR="00D7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2401"/>
    <w:multiLevelType w:val="multilevel"/>
    <w:tmpl w:val="E320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17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BC"/>
    <w:rsid w:val="00097809"/>
    <w:rsid w:val="000B43BC"/>
    <w:rsid w:val="004D12D8"/>
    <w:rsid w:val="009B1ED4"/>
    <w:rsid w:val="00D542B0"/>
    <w:rsid w:val="00D72173"/>
    <w:rsid w:val="00D76793"/>
    <w:rsid w:val="00D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0982"/>
  <w15:chartTrackingRefBased/>
  <w15:docId w15:val="{A7E8D9F6-ADEC-4A57-94E9-2DF73207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D12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Rytsk</dc:creator>
  <cp:keywords/>
  <dc:description/>
  <cp:lastModifiedBy>Dmitri Rytsk</cp:lastModifiedBy>
  <cp:revision>3</cp:revision>
  <dcterms:created xsi:type="dcterms:W3CDTF">2025-09-08T22:00:00Z</dcterms:created>
  <dcterms:modified xsi:type="dcterms:W3CDTF">2025-09-08T22:52:00Z</dcterms:modified>
</cp:coreProperties>
</file>