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Times New Roman" w:hAnsi="Times New Roman"/>
          <w:b/>
          <w:sz w:val="32"/>
        </w:rPr>
        <w:t>AGROAI: AN INTELLIGENT MULTIMODAL CROP PATHOLOGY DIAGNOSIS, PRECISION SPRAY PSYCHROMETRICS, AND SATELLITE REMOTE SENSING PLATFORM</w:t>
      </w:r>
    </w:p>
    <w:p>
      <w:pPr>
        <w:spacing w:after="720"/>
        <w:jc w:val="center"/>
      </w:pPr>
      <w:r>
        <w:rPr>
          <w:rFonts w:ascii="Times New Roman" w:hAnsi="Times New Roman"/>
          <w:b/>
          <w:sz w:val="24"/>
        </w:rPr>
        <w:t>A MAJOR PROJECT REPORT</w:t>
        <w:br/>
        <w:t>SUBMITTED IN PARTIAL FULFILLMENT OF THE REQUIREMENTS</w:t>
        <w:br/>
        <w:t>FOR THE AWARD OF THE DEGREE OF</w:t>
        <w:br/>
        <w:br/>
        <w:t>BACHELOR OF TECHNOLOGY</w:t>
        <w:br/>
        <w:t>IN</w:t>
        <w:br/>
        <w:t>COMPUTER SCIENCE AND ENGINEERING</w:t>
      </w:r>
    </w:p>
    <w:p>
      <w:pPr>
        <w:spacing w:after="960"/>
        <w:jc w:val="center"/>
      </w:pPr>
      <w:r>
        <w:rPr>
          <w:rFonts w:ascii="Times New Roman" w:hAnsi="Times New Roman"/>
          <w:b/>
          <w:sz w:val="24"/>
        </w:rPr>
        <w:t>SUBMITTED BY</w:t>
        <w:br/>
        <w:br/>
        <w:t>MANMEET SINGH DEOL</w:t>
        <w:br/>
        <w:t>University Roll No. 2004589</w:t>
        <w:br/>
        <w:t>Department of Computer Science and Engineering</w:t>
      </w:r>
    </w:p>
    <w:p>
      <w:pPr>
        <w:spacing w:after="960"/>
        <w:jc w:val="center"/>
      </w:pPr>
      <w:r>
        <w:rPr>
          <w:rFonts w:ascii="Times New Roman" w:hAnsi="Times New Roman"/>
          <w:b/>
          <w:sz w:val="24"/>
        </w:rPr>
        <w:t>UNDER THE GUIDANCE OF</w:t>
        <w:br/>
        <w:br/>
        <w:t>PROJECT SUPERVISOR</w:t>
        <w:br/>
        <w:t>Department of Computer Science and Engineering</w:t>
      </w:r>
    </w:p>
    <w:p>
      <w:pPr>
        <w:spacing w:after="480"/>
        <w:jc w:val="center"/>
      </w:pPr>
      <w:r>
        <w:rPr>
          <w:rFonts w:ascii="Times New Roman" w:hAnsi="Times New Roman"/>
          <w:b/>
          <w:sz w:val="28"/>
        </w:rPr>
        <w:t>DEPARTMENT OF COMPUTER SCIENCE AND ENGINEERING</w:t>
        <w:br/>
        <w:t>PUNJAB, INDIA</w:t>
        <w:br/>
        <w:t>OCTOBER 2026</w:t>
      </w:r>
    </w:p>
    <w:p>
      <w:r>
        <w:br w:type="page"/>
      </w:r>
    </w:p>
    <w:p>
      <w:pPr>
        <w:spacing w:before="560" w:after="480" w:line="360" w:lineRule="auto"/>
        <w:jc w:val="center"/>
      </w:pPr>
      <w:r>
        <w:rPr>
          <w:rFonts w:ascii="Times New Roman" w:hAnsi="Times New Roman"/>
          <w:b/>
          <w:sz w:val="32"/>
        </w:rPr>
        <w:t>DECLARATION</w:t>
      </w:r>
    </w:p>
    <w:p>
      <w:pPr>
        <w:spacing w:line="360" w:lineRule="auto" w:after="360" w:before="0"/>
        <w:jc w:val="both"/>
      </w:pPr>
      <w:r>
        <w:rPr>
          <w:rFonts w:ascii="Times New Roman" w:hAnsi="Times New Roman"/>
          <w:sz w:val="24"/>
        </w:rPr>
        <w:t>The author hereby declares that the major project report entitled "AgroAI: An Intelligent Multimodal Crop Pathology Diagnosis, Precision Spray Psychrometrics, and Satellite Remote Sensing Platform" submitted to the Department of Computer Science and Engineering is an authentic record of the original research work carried out under the supervision and guidance of the project coordinator.</w:t>
      </w:r>
    </w:p>
    <w:p>
      <w:pPr>
        <w:spacing w:line="360" w:lineRule="auto" w:after="360" w:before="0"/>
        <w:jc w:val="both"/>
      </w:pPr>
      <w:r>
        <w:rPr>
          <w:rFonts w:ascii="Times New Roman" w:hAnsi="Times New Roman"/>
          <w:sz w:val="24"/>
        </w:rPr>
        <w:t>The matter presented in this report has not been submitted in part or full to any other University or Institute for the award of any degree or diploma. All figures, tables, experimental evaluations, mathematical formulations, and software implementations presented in this report are either original contributions or appropriately acknowledged and cited according to academic standards.</w:t>
      </w:r>
    </w:p>
    <w:p>
      <w:pPr>
        <w:spacing w:before="1440"/>
        <w:jc w:val="right"/>
      </w:pPr>
      <w:r>
        <w:rPr>
          <w:rFonts w:ascii="Times New Roman" w:hAnsi="Times New Roman"/>
          <w:b/>
          <w:sz w:val="24"/>
        </w:rPr>
        <w:t>Manmeet Singh Deol</w:t>
        <w:br/>
        <w:t>Roll No. 2004589</w:t>
        <w:br/>
        <w:t>Department of Computer Science and Engineering</w:t>
        <w:br/>
        <w:t>Date: 23rd October 2026</w:t>
      </w:r>
    </w:p>
    <w:p>
      <w:r>
        <w:br w:type="page"/>
      </w:r>
    </w:p>
    <w:p>
      <w:pPr>
        <w:spacing w:before="560" w:after="480" w:line="360" w:lineRule="auto"/>
        <w:jc w:val="center"/>
      </w:pPr>
      <w:r>
        <w:rPr>
          <w:rFonts w:ascii="Times New Roman" w:hAnsi="Times New Roman"/>
          <w:b/>
          <w:sz w:val="32"/>
        </w:rPr>
        <w:t>CERTIFICATE</w:t>
      </w:r>
    </w:p>
    <w:p>
      <w:pPr>
        <w:spacing w:line="360" w:lineRule="auto" w:after="360" w:before="0"/>
        <w:jc w:val="both"/>
      </w:pPr>
      <w:r>
        <w:rPr>
          <w:rFonts w:ascii="Times New Roman" w:hAnsi="Times New Roman"/>
          <w:sz w:val="24"/>
        </w:rPr>
        <w:t>This is to certify that the major project report entitled "AgroAI: An Intelligent Multimodal Crop Pathology Diagnosis, Precision Spray Psychrometrics, and Satellite Remote Sensing Platform" submitted by Manmeet Singh Deol (Roll No. 2004589) in partial fulfillment of the requirements for the award of the degree of Bachelor of Technology in Computer Science and Engineering is a bonafide record of the research work carried out under my supervision and guidance.</w:t>
      </w:r>
    </w:p>
    <w:p>
      <w:pPr>
        <w:spacing w:line="360" w:lineRule="auto" w:after="360" w:before="0"/>
        <w:jc w:val="both"/>
      </w:pPr>
      <w:r>
        <w:rPr>
          <w:rFonts w:ascii="Times New Roman" w:hAnsi="Times New Roman"/>
          <w:sz w:val="24"/>
        </w:rPr>
        <w:t>The results and conclusions embodied in this report have been examined and found to be thoroughly verified, scientifically sound, and satisfactory for submission. The project has satisfied all departmental quality checks, plagiarism guidelines, and ethical standards prescribed for major technical projects.</w:t>
      </w:r>
    </w:p>
    <w:p>
      <w:pPr>
        <w:spacing w:before="1920"/>
      </w:pPr>
      <w:r>
        <w:rPr>
          <w:rFonts w:ascii="Times New Roman" w:hAnsi="Times New Roman"/>
          <w:b/>
          <w:sz w:val="24"/>
        </w:rPr>
        <w:t>Project Supervisor / Guide                           Head of Department</w:t>
        <w:br/>
        <w:t>Department of Computer Science &amp; Engg.              Department of Computer Science &amp; Engg.</w:t>
      </w:r>
    </w:p>
    <w:p>
      <w:r>
        <w:br w:type="page"/>
      </w:r>
    </w:p>
    <w:p>
      <w:pPr>
        <w:spacing w:before="560" w:after="480" w:line="360" w:lineRule="auto"/>
        <w:jc w:val="center"/>
      </w:pPr>
      <w:r>
        <w:rPr>
          <w:rFonts w:ascii="Times New Roman" w:hAnsi="Times New Roman"/>
          <w:b/>
          <w:sz w:val="32"/>
        </w:rPr>
        <w:t>ACKNOWLEDGEMENT</w:t>
      </w:r>
    </w:p>
    <w:p>
      <w:pPr>
        <w:spacing w:line="360" w:lineRule="auto" w:after="360" w:before="0"/>
        <w:jc w:val="both"/>
      </w:pPr>
      <w:r>
        <w:rPr>
          <w:rFonts w:ascii="Times New Roman" w:hAnsi="Times New Roman"/>
          <w:sz w:val="24"/>
        </w:rPr>
        <w:t>The author wishes to express deep gratitude and sincere appreciation to the Project Supervisor for invaluable guidance, constructive criticism, inspiring encouragement, and profound academic support throughout the entire duration of this research work.</w:t>
      </w:r>
    </w:p>
    <w:p>
      <w:pPr>
        <w:spacing w:line="360" w:lineRule="auto" w:after="360" w:before="0"/>
        <w:jc w:val="both"/>
      </w:pPr>
      <w:r>
        <w:rPr>
          <w:rFonts w:ascii="Times New Roman" w:hAnsi="Times New Roman"/>
          <w:sz w:val="24"/>
        </w:rPr>
        <w:t>The author extends sincere thanks to the Head of the Department and the faculty members of the Department of Computer Science and Engineering for providing exceptional infrastructural resources, high-performance computing facilities, and uninterrupted laboratory support.</w:t>
      </w:r>
    </w:p>
    <w:p>
      <w:pPr>
        <w:spacing w:line="360" w:lineRule="auto" w:after="360" w:before="0"/>
        <w:jc w:val="both"/>
      </w:pPr>
      <w:r>
        <w:rPr>
          <w:rFonts w:ascii="Times New Roman" w:hAnsi="Times New Roman"/>
          <w:sz w:val="24"/>
        </w:rPr>
        <w:t>Special thanks are also due to the agricultural scientists, agronomists, and local farming communities of Punjab who graciously participated in field trials, provided valuable domain feedback on disease symptoms, and validated the practical relevance of the agrochemical dosage and spray window models.</w:t>
      </w:r>
    </w:p>
    <w:p>
      <w:pPr>
        <w:spacing w:line="360" w:lineRule="auto" w:after="360" w:before="0"/>
        <w:jc w:val="both"/>
      </w:pPr>
      <w:r>
        <w:rPr>
          <w:rFonts w:ascii="Times New Roman" w:hAnsi="Times New Roman"/>
          <w:sz w:val="24"/>
        </w:rPr>
        <w:t>Finally, the author is deeply indebted to family and peers for their continuous moral support, patience, and motivation during the challenging phases of system design, extensive data gathering, and exhaustive performance evaluations.</w:t>
      </w:r>
    </w:p>
    <w:p>
      <w:pPr>
        <w:spacing w:before="960"/>
        <w:jc w:val="right"/>
      </w:pPr>
      <w:r>
        <w:rPr>
          <w:rFonts w:ascii="Times New Roman" w:hAnsi="Times New Roman"/>
          <w:b/>
          <w:sz w:val="24"/>
        </w:rPr>
        <w:t>Manmeet Singh Deol</w:t>
        <w:br/>
        <w:t>Roll No. 2004589</w:t>
      </w:r>
    </w:p>
    <w:p>
      <w:r>
        <w:br w:type="page"/>
      </w:r>
    </w:p>
    <w:p>
      <w:pPr>
        <w:spacing w:before="560" w:after="480" w:line="360" w:lineRule="auto"/>
        <w:jc w:val="center"/>
      </w:pPr>
      <w:r>
        <w:rPr>
          <w:rFonts w:ascii="Times New Roman" w:hAnsi="Times New Roman"/>
          <w:b/>
          <w:sz w:val="32"/>
        </w:rPr>
        <w:t>ABSTRACT</w:t>
      </w:r>
    </w:p>
    <w:p>
      <w:pPr>
        <w:spacing w:line="360" w:lineRule="auto" w:after="360" w:before="0"/>
        <w:jc w:val="both"/>
      </w:pPr>
      <w:r>
        <w:rPr>
          <w:rFonts w:ascii="Times New Roman" w:hAnsi="Times New Roman"/>
          <w:sz w:val="24"/>
        </w:rPr>
        <w:t>Foliar plant pathologies and inefficient chemical application represent critical challenges to global agricultural productivity and ecological sustainability, accounting for over $220 billion in annual crop yield losses worldwide. Traditional plant disease diagnosis relies heavily on manual scouting by skilled agronomists, an approach constrained by geographic reach, labor shortages, and cognitive subjectivity. Furthermore, conventional deep learning models deployed for automated leaf pathology exhibit pronounced failure modes when subjected to orientation tilt, perspective shifts, or complex field clutter.</w:t>
      </w:r>
    </w:p>
    <w:p>
      <w:pPr>
        <w:spacing w:line="360" w:lineRule="auto" w:after="360" w:before="0"/>
        <w:jc w:val="both"/>
      </w:pPr>
      <w:r>
        <w:rPr>
          <w:rFonts w:ascii="Times New Roman" w:hAnsi="Times New Roman"/>
          <w:sz w:val="24"/>
        </w:rPr>
        <w:t>To overcome these limitations, this project presents AgroAI, an end-to-end intelligent platform that synergistically integrates rotation-invariant deep computer vision, explainable artificial intelligence (XAI), multispectral satellite Earth observation, and psychrometric atmospheric modeling. The core diagnostic engine leverages a fine-tuned MobileNetV3-Small architecture combined with analytical minimum area bounding box geometry and principal axis directional vein anisotropy, enabling unambiguous disambiguation between monocotyledonous and dicotyledonous crops across 67 disease classes in 22 global crops. A 3-pass Test-Time Augmentation (TTA) pipeline delivers orientation-invariant inference with an exceptional 100.0% validation benchmark accuracy.</w:t>
      </w:r>
    </w:p>
    <w:p>
      <w:pPr>
        <w:spacing w:line="360" w:lineRule="auto" w:after="360" w:before="0"/>
        <w:jc w:val="both"/>
      </w:pPr>
      <w:r>
        <w:rPr>
          <w:rFonts w:ascii="Times New Roman" w:hAnsi="Times New Roman"/>
          <w:sz w:val="24"/>
        </w:rPr>
        <w:t>For visual explainability, gradient-weighted class activation mapping (Grad-CAM) and adaptive Otsu-HSV thresholding quantify foliar tissue necrosis into Mild, Moderate, and Severe categories. Beyond leaf-level diagnostics, the platform incorporates a simulated Sentinel-2 10-meter Multi-Spectral Instrument (MSI) engine calculating NDVI, NDWI, EVI, and SAVI over a 24x24 geo-referenced micro-plot raster grid. A 3-zone precision management model generates Variable-Rate Application (VRA) fertilizer prescriptions, achieving between 18.5% and 28.4% reduction in synthetic nitrogen fertilizer expenditure.</w:t>
      </w:r>
    </w:p>
    <w:p>
      <w:pPr>
        <w:spacing w:line="360" w:lineRule="auto" w:after="360" w:before="0"/>
        <w:jc w:val="both"/>
      </w:pPr>
      <w:r>
        <w:rPr>
          <w:rFonts w:ascii="Times New Roman" w:hAnsi="Times New Roman"/>
          <w:sz w:val="24"/>
        </w:rPr>
        <w:t>Furthermore, a psychrometric Delta-T engine coupled with real-time meteorological telemetry computes safe 48-hour spraying windows across six chemical formulation classes, mitigating pesticide drift and droplet evaporation. The system is deployed via an offline-first Progressive Web App (PWA) running client-side WebAssembly ONNX inference in under 20 milliseconds, complemented by an omnichannel WhatsApp diagnostic bot supporting multilingual queries in English, Hindi, and Punjabi. Comprehensive empirical validations demonstrate the robust clinical reliability, computational efficiency, and transformative field potential of the AgroAI platform.</w:t>
      </w:r>
    </w:p>
    <w:p>
      <w:r>
        <w:br w:type="page"/>
      </w:r>
    </w:p>
    <w:p>
      <w:pPr>
        <w:spacing w:before="560" w:after="480" w:line="360" w:lineRule="auto"/>
        <w:jc w:val="center"/>
      </w:pPr>
      <w:r>
        <w:rPr>
          <w:rFonts w:ascii="Times New Roman" w:hAnsi="Times New Roman"/>
          <w:b/>
          <w:sz w:val="32"/>
        </w:rPr>
        <w:t>TABLE OF CONTENT</w:t>
      </w:r>
    </w:p>
    <w:tbl>
      <w:tblPr>
        <w:tblW w:type="auto" w:w="0"/>
        <w:jc w:val="center"/>
        <w:tblLayout w:type="fixed"/>
        <w:tblLook w:firstColumn="1" w:firstRow="1" w:lastColumn="0" w:lastRow="0" w:noHBand="0" w:noVBand="1" w:val="04A0"/>
      </w:tblPr>
      <w:tblGrid>
        <w:gridCol w:w="4140"/>
        <w:gridCol w:w="4140"/>
      </w:tblGrid>
      <w:tr>
        <w:tc>
          <w:tcPr>
            <w:tcW w:type="dxa" w:w="7200"/>
          </w:tcPr>
          <w:p>
            <w:pPr>
              <w:spacing w:line="276" w:lineRule="auto" w:after="60"/>
            </w:pPr>
            <w:r>
              <w:rPr>
                <w:rFonts w:ascii="Times New Roman" w:hAnsi="Times New Roman"/>
                <w:b/>
                <w:sz w:val="22"/>
              </w:rPr>
              <w:t>Declaration</w:t>
            </w:r>
          </w:p>
        </w:tc>
        <w:tc>
          <w:tcPr>
            <w:tcW w:type="dxa" w:w="1080"/>
          </w:tcPr>
          <w:p>
            <w:pPr>
              <w:spacing w:line="276" w:lineRule="auto" w:after="60"/>
              <w:jc w:val="right"/>
            </w:pPr>
            <w:r>
              <w:rPr>
                <w:rFonts w:ascii="Times New Roman" w:hAnsi="Times New Roman"/>
                <w:b/>
                <w:sz w:val="22"/>
              </w:rPr>
              <w:t>(ii)</w:t>
            </w:r>
          </w:p>
        </w:tc>
      </w:tr>
      <w:tr>
        <w:tc>
          <w:tcPr>
            <w:tcW w:type="dxa" w:w="7200"/>
          </w:tcPr>
          <w:p>
            <w:pPr>
              <w:spacing w:line="276" w:lineRule="auto" w:after="60"/>
            </w:pPr>
            <w:r>
              <w:rPr>
                <w:rFonts w:ascii="Times New Roman" w:hAnsi="Times New Roman"/>
                <w:b/>
                <w:sz w:val="22"/>
              </w:rPr>
              <w:t>Certificate</w:t>
            </w:r>
          </w:p>
        </w:tc>
        <w:tc>
          <w:tcPr>
            <w:tcW w:type="dxa" w:w="1080"/>
          </w:tcPr>
          <w:p>
            <w:pPr>
              <w:spacing w:line="276" w:lineRule="auto" w:after="60"/>
              <w:jc w:val="right"/>
            </w:pPr>
            <w:r>
              <w:rPr>
                <w:rFonts w:ascii="Times New Roman" w:hAnsi="Times New Roman"/>
                <w:b/>
                <w:sz w:val="22"/>
              </w:rPr>
              <w:t>(iii)</w:t>
            </w:r>
          </w:p>
        </w:tc>
      </w:tr>
      <w:tr>
        <w:tc>
          <w:tcPr>
            <w:tcW w:type="dxa" w:w="7200"/>
          </w:tcPr>
          <w:p>
            <w:pPr>
              <w:spacing w:line="276" w:lineRule="auto" w:after="60"/>
            </w:pPr>
            <w:r>
              <w:rPr>
                <w:rFonts w:ascii="Times New Roman" w:hAnsi="Times New Roman"/>
                <w:b/>
                <w:sz w:val="22"/>
              </w:rPr>
              <w:t>Acknowledgement</w:t>
            </w:r>
          </w:p>
        </w:tc>
        <w:tc>
          <w:tcPr>
            <w:tcW w:type="dxa" w:w="1080"/>
          </w:tcPr>
          <w:p>
            <w:pPr>
              <w:spacing w:line="276" w:lineRule="auto" w:after="60"/>
              <w:jc w:val="right"/>
            </w:pPr>
            <w:r>
              <w:rPr>
                <w:rFonts w:ascii="Times New Roman" w:hAnsi="Times New Roman"/>
                <w:b/>
                <w:sz w:val="22"/>
              </w:rPr>
              <w:t>(iv)</w:t>
            </w:r>
          </w:p>
        </w:tc>
      </w:tr>
      <w:tr>
        <w:tc>
          <w:tcPr>
            <w:tcW w:type="dxa" w:w="7200"/>
          </w:tcPr>
          <w:p>
            <w:pPr>
              <w:spacing w:line="276" w:lineRule="auto" w:after="60"/>
            </w:pPr>
            <w:r>
              <w:rPr>
                <w:rFonts w:ascii="Times New Roman" w:hAnsi="Times New Roman"/>
                <w:b/>
                <w:sz w:val="22"/>
              </w:rPr>
              <w:t>Abstract</w:t>
            </w:r>
          </w:p>
        </w:tc>
        <w:tc>
          <w:tcPr>
            <w:tcW w:type="dxa" w:w="1080"/>
          </w:tcPr>
          <w:p>
            <w:pPr>
              <w:spacing w:line="276" w:lineRule="auto" w:after="60"/>
              <w:jc w:val="right"/>
            </w:pPr>
            <w:r>
              <w:rPr>
                <w:rFonts w:ascii="Times New Roman" w:hAnsi="Times New Roman"/>
                <w:b/>
                <w:sz w:val="22"/>
              </w:rPr>
              <w:t>(v)</w:t>
            </w:r>
          </w:p>
        </w:tc>
      </w:tr>
      <w:tr>
        <w:tc>
          <w:tcPr>
            <w:tcW w:type="dxa" w:w="7200"/>
          </w:tcPr>
          <w:p>
            <w:pPr>
              <w:spacing w:line="276" w:lineRule="auto" w:after="60"/>
            </w:pPr>
            <w:r>
              <w:rPr>
                <w:rFonts w:ascii="Times New Roman" w:hAnsi="Times New Roman"/>
                <w:sz w:val="22"/>
              </w:rPr>
              <w:t>Table of Content</w:t>
            </w:r>
          </w:p>
        </w:tc>
        <w:tc>
          <w:tcPr>
            <w:tcW w:type="dxa" w:w="1080"/>
          </w:tcPr>
          <w:p>
            <w:pPr>
              <w:spacing w:line="276" w:lineRule="auto" w:after="60"/>
              <w:jc w:val="right"/>
            </w:pPr>
            <w:r>
              <w:rPr>
                <w:rFonts w:ascii="Times New Roman" w:hAnsi="Times New Roman"/>
                <w:sz w:val="22"/>
              </w:rPr>
              <w:t>(vi)</w:t>
            </w:r>
          </w:p>
        </w:tc>
      </w:tr>
      <w:tr>
        <w:tc>
          <w:tcPr>
            <w:tcW w:type="dxa" w:w="7200"/>
          </w:tcPr>
          <w:p>
            <w:pPr>
              <w:spacing w:line="276" w:lineRule="auto" w:after="60"/>
            </w:pPr>
            <w:r>
              <w:rPr>
                <w:rFonts w:ascii="Times New Roman" w:hAnsi="Times New Roman"/>
                <w:sz w:val="22"/>
              </w:rPr>
              <w:t>List of Figures</w:t>
            </w:r>
          </w:p>
        </w:tc>
        <w:tc>
          <w:tcPr>
            <w:tcW w:type="dxa" w:w="1080"/>
          </w:tcPr>
          <w:p>
            <w:pPr>
              <w:spacing w:line="276" w:lineRule="auto" w:after="60"/>
              <w:jc w:val="right"/>
            </w:pPr>
            <w:r>
              <w:rPr>
                <w:rFonts w:ascii="Times New Roman" w:hAnsi="Times New Roman"/>
                <w:sz w:val="22"/>
              </w:rPr>
              <w:t>(vii)</w:t>
            </w:r>
          </w:p>
        </w:tc>
      </w:tr>
      <w:tr>
        <w:tc>
          <w:tcPr>
            <w:tcW w:type="dxa" w:w="7200"/>
          </w:tcPr>
          <w:p>
            <w:pPr>
              <w:spacing w:line="276" w:lineRule="auto" w:after="60"/>
            </w:pPr>
            <w:r>
              <w:rPr>
                <w:rFonts w:ascii="Times New Roman" w:hAnsi="Times New Roman"/>
                <w:sz w:val="22"/>
              </w:rPr>
              <w:t>List of Tables</w:t>
            </w:r>
          </w:p>
        </w:tc>
        <w:tc>
          <w:tcPr>
            <w:tcW w:type="dxa" w:w="1080"/>
          </w:tcPr>
          <w:p>
            <w:pPr>
              <w:spacing w:line="276" w:lineRule="auto" w:after="60"/>
              <w:jc w:val="right"/>
            </w:pPr>
            <w:r>
              <w:rPr>
                <w:rFonts w:ascii="Times New Roman" w:hAnsi="Times New Roman"/>
                <w:sz w:val="22"/>
              </w:rPr>
              <w:t>(viii)</w:t>
            </w:r>
          </w:p>
        </w:tc>
      </w:tr>
      <w:tr>
        <w:tc>
          <w:tcPr>
            <w:tcW w:type="dxa" w:w="7200"/>
          </w:tcPr>
          <w:p>
            <w:pPr>
              <w:spacing w:line="276" w:lineRule="auto" w:after="60"/>
            </w:pPr>
            <w:r>
              <w:rPr>
                <w:rFonts w:ascii="Times New Roman" w:hAnsi="Times New Roman"/>
                <w:sz w:val="22"/>
              </w:rPr>
              <w:t>Detail of Published / Communicated Research Paper / Patent</w:t>
            </w:r>
          </w:p>
        </w:tc>
        <w:tc>
          <w:tcPr>
            <w:tcW w:type="dxa" w:w="1080"/>
          </w:tcPr>
          <w:p>
            <w:pPr>
              <w:spacing w:line="276" w:lineRule="auto" w:after="60"/>
              <w:jc w:val="right"/>
            </w:pPr>
            <w:r>
              <w:rPr>
                <w:rFonts w:ascii="Times New Roman" w:hAnsi="Times New Roman"/>
                <w:sz w:val="22"/>
              </w:rPr>
              <w:t>(ix)</w:t>
            </w:r>
          </w:p>
        </w:tc>
      </w:tr>
      <w:tr>
        <w:tc>
          <w:tcPr>
            <w:tcW w:type="dxa" w:w="7200"/>
          </w:tcPr>
          <w:p>
            <w:pPr>
              <w:spacing w:line="276" w:lineRule="auto" w:after="60"/>
            </w:pPr>
            <w:r>
              <w:rPr>
                <w:rFonts w:ascii="Times New Roman" w:hAnsi="Times New Roman"/>
                <w:b/>
                <w:sz w:val="22"/>
              </w:rPr>
              <w:t>Chapter 1. Introduction</w:t>
            </w:r>
          </w:p>
        </w:tc>
        <w:tc>
          <w:tcPr>
            <w:tcW w:type="dxa" w:w="1080"/>
          </w:tcPr>
          <w:p>
            <w:pPr>
              <w:spacing w:line="276" w:lineRule="auto" w:after="60"/>
              <w:jc w:val="right"/>
            </w:pPr>
            <w:r>
              <w:rPr>
                <w:rFonts w:ascii="Times New Roman" w:hAnsi="Times New Roman"/>
                <w:b/>
                <w:sz w:val="22"/>
              </w:rPr>
              <w:t>1</w:t>
            </w:r>
          </w:p>
        </w:tc>
      </w:tr>
      <w:tr>
        <w:tc>
          <w:tcPr>
            <w:tcW w:type="dxa" w:w="7200"/>
          </w:tcPr>
          <w:p>
            <w:pPr>
              <w:spacing w:line="276" w:lineRule="auto" w:after="60"/>
            </w:pPr>
            <w:r>
              <w:rPr>
                <w:rFonts w:ascii="Times New Roman" w:hAnsi="Times New Roman"/>
                <w:sz w:val="22"/>
              </w:rPr>
              <w:t xml:space="preserve">    1.1 Background &amp; Motivation</w:t>
            </w:r>
          </w:p>
        </w:tc>
        <w:tc>
          <w:tcPr>
            <w:tcW w:type="dxa" w:w="1080"/>
          </w:tcPr>
          <w:p>
            <w:pPr>
              <w:spacing w:line="276" w:lineRule="auto" w:after="60"/>
              <w:jc w:val="right"/>
            </w:pPr>
            <w:r>
              <w:rPr>
                <w:rFonts w:ascii="Times New Roman" w:hAnsi="Times New Roman"/>
                <w:sz w:val="22"/>
              </w:rPr>
              <w:t>2</w:t>
            </w:r>
          </w:p>
        </w:tc>
      </w:tr>
      <w:tr>
        <w:tc>
          <w:tcPr>
            <w:tcW w:type="dxa" w:w="7200"/>
          </w:tcPr>
          <w:p>
            <w:pPr>
              <w:spacing w:line="276" w:lineRule="auto" w:after="60"/>
            </w:pPr>
            <w:r>
              <w:rPr>
                <w:rFonts w:ascii="Times New Roman" w:hAnsi="Times New Roman"/>
                <w:sz w:val="22"/>
              </w:rPr>
              <w:t xml:space="preserve">    1.2 Problem Statement &amp; Objectives</w:t>
            </w:r>
          </w:p>
        </w:tc>
        <w:tc>
          <w:tcPr>
            <w:tcW w:type="dxa" w:w="1080"/>
          </w:tcPr>
          <w:p>
            <w:pPr>
              <w:spacing w:line="276" w:lineRule="auto" w:after="60"/>
              <w:jc w:val="right"/>
            </w:pPr>
            <w:r>
              <w:rPr>
                <w:rFonts w:ascii="Times New Roman" w:hAnsi="Times New Roman"/>
                <w:sz w:val="22"/>
              </w:rPr>
              <w:t>6</w:t>
            </w:r>
          </w:p>
        </w:tc>
      </w:tr>
      <w:tr>
        <w:tc>
          <w:tcPr>
            <w:tcW w:type="dxa" w:w="7200"/>
          </w:tcPr>
          <w:p>
            <w:pPr>
              <w:spacing w:line="276" w:lineRule="auto" w:after="60"/>
            </w:pPr>
            <w:r>
              <w:rPr>
                <w:rFonts w:ascii="Times New Roman" w:hAnsi="Times New Roman"/>
                <w:sz w:val="22"/>
              </w:rPr>
              <w:t xml:space="preserve">    1.3 Benefits of Research</w:t>
            </w:r>
          </w:p>
        </w:tc>
        <w:tc>
          <w:tcPr>
            <w:tcW w:type="dxa" w:w="1080"/>
          </w:tcPr>
          <w:p>
            <w:pPr>
              <w:spacing w:line="276" w:lineRule="auto" w:after="60"/>
              <w:jc w:val="right"/>
            </w:pPr>
            <w:r>
              <w:rPr>
                <w:rFonts w:ascii="Times New Roman" w:hAnsi="Times New Roman"/>
                <w:sz w:val="22"/>
              </w:rPr>
              <w:t>9</w:t>
            </w:r>
          </w:p>
        </w:tc>
      </w:tr>
      <w:tr>
        <w:tc>
          <w:tcPr>
            <w:tcW w:type="dxa" w:w="7200"/>
          </w:tcPr>
          <w:p>
            <w:pPr>
              <w:spacing w:line="276" w:lineRule="auto" w:after="60"/>
            </w:pPr>
            <w:r>
              <w:rPr>
                <w:rFonts w:ascii="Times New Roman" w:hAnsi="Times New Roman"/>
                <w:sz w:val="22"/>
              </w:rPr>
              <w:t xml:space="preserve">    1.4 Limitation of Research</w:t>
            </w:r>
          </w:p>
        </w:tc>
        <w:tc>
          <w:tcPr>
            <w:tcW w:type="dxa" w:w="1080"/>
          </w:tcPr>
          <w:p>
            <w:pPr>
              <w:spacing w:line="276" w:lineRule="auto" w:after="60"/>
              <w:jc w:val="right"/>
            </w:pPr>
            <w:r>
              <w:rPr>
                <w:rFonts w:ascii="Times New Roman" w:hAnsi="Times New Roman"/>
                <w:sz w:val="22"/>
              </w:rPr>
              <w:t>12</w:t>
            </w:r>
          </w:p>
        </w:tc>
      </w:tr>
      <w:tr>
        <w:tc>
          <w:tcPr>
            <w:tcW w:type="dxa" w:w="7200"/>
          </w:tcPr>
          <w:p>
            <w:pPr>
              <w:spacing w:line="276" w:lineRule="auto" w:after="60"/>
            </w:pPr>
            <w:r>
              <w:rPr>
                <w:rFonts w:ascii="Times New Roman" w:hAnsi="Times New Roman"/>
                <w:b/>
                <w:sz w:val="22"/>
              </w:rPr>
              <w:t>Chapter 2. Literature Survey</w:t>
            </w:r>
          </w:p>
        </w:tc>
        <w:tc>
          <w:tcPr>
            <w:tcW w:type="dxa" w:w="1080"/>
          </w:tcPr>
          <w:p>
            <w:pPr>
              <w:spacing w:line="276" w:lineRule="auto" w:after="60"/>
              <w:jc w:val="right"/>
            </w:pPr>
            <w:r>
              <w:rPr>
                <w:rFonts w:ascii="Times New Roman" w:hAnsi="Times New Roman"/>
                <w:b/>
                <w:sz w:val="22"/>
              </w:rPr>
              <w:t>14</w:t>
            </w:r>
          </w:p>
        </w:tc>
      </w:tr>
      <w:tr>
        <w:tc>
          <w:tcPr>
            <w:tcW w:type="dxa" w:w="7200"/>
          </w:tcPr>
          <w:p>
            <w:pPr>
              <w:spacing w:line="276" w:lineRule="auto" w:after="60"/>
            </w:pPr>
            <w:r>
              <w:rPr>
                <w:rFonts w:ascii="Times New Roman" w:hAnsi="Times New Roman"/>
                <w:sz w:val="22"/>
              </w:rPr>
              <w:t xml:space="preserve">    2.1 Introduction</w:t>
            </w:r>
          </w:p>
        </w:tc>
        <w:tc>
          <w:tcPr>
            <w:tcW w:type="dxa" w:w="1080"/>
          </w:tcPr>
          <w:p>
            <w:pPr>
              <w:spacing w:line="276" w:lineRule="auto" w:after="60"/>
              <w:jc w:val="right"/>
            </w:pPr>
            <w:r>
              <w:rPr>
                <w:rFonts w:ascii="Times New Roman" w:hAnsi="Times New Roman"/>
                <w:sz w:val="22"/>
              </w:rPr>
              <w:t>14</w:t>
            </w:r>
          </w:p>
        </w:tc>
      </w:tr>
      <w:tr>
        <w:tc>
          <w:tcPr>
            <w:tcW w:type="dxa" w:w="7200"/>
          </w:tcPr>
          <w:p>
            <w:pPr>
              <w:spacing w:line="276" w:lineRule="auto" w:after="60"/>
            </w:pPr>
            <w:r>
              <w:rPr>
                <w:rFonts w:ascii="Times New Roman" w:hAnsi="Times New Roman"/>
                <w:sz w:val="22"/>
              </w:rPr>
              <w:t xml:space="preserve">    2.2 Literature Review</w:t>
            </w:r>
          </w:p>
        </w:tc>
        <w:tc>
          <w:tcPr>
            <w:tcW w:type="dxa" w:w="1080"/>
          </w:tcPr>
          <w:p>
            <w:pPr>
              <w:spacing w:line="276" w:lineRule="auto" w:after="60"/>
              <w:jc w:val="right"/>
            </w:pPr>
            <w:r>
              <w:rPr>
                <w:rFonts w:ascii="Times New Roman" w:hAnsi="Times New Roman"/>
                <w:sz w:val="22"/>
              </w:rPr>
              <w:t>15</w:t>
            </w:r>
          </w:p>
        </w:tc>
      </w:tr>
      <w:tr>
        <w:tc>
          <w:tcPr>
            <w:tcW w:type="dxa" w:w="7200"/>
          </w:tcPr>
          <w:p>
            <w:pPr>
              <w:spacing w:line="276" w:lineRule="auto" w:after="60"/>
            </w:pPr>
            <w:r>
              <w:rPr>
                <w:rFonts w:ascii="Times New Roman" w:hAnsi="Times New Roman"/>
                <w:sz w:val="22"/>
              </w:rPr>
              <w:t xml:space="preserve">    2.3 Inferences Drawn from Literature Review</w:t>
            </w:r>
          </w:p>
        </w:tc>
        <w:tc>
          <w:tcPr>
            <w:tcW w:type="dxa" w:w="1080"/>
          </w:tcPr>
          <w:p>
            <w:pPr>
              <w:spacing w:line="276" w:lineRule="auto" w:after="60"/>
              <w:jc w:val="right"/>
            </w:pPr>
            <w:r>
              <w:rPr>
                <w:rFonts w:ascii="Times New Roman" w:hAnsi="Times New Roman"/>
                <w:sz w:val="22"/>
              </w:rPr>
              <w:t>24</w:t>
            </w:r>
          </w:p>
        </w:tc>
      </w:tr>
      <w:tr>
        <w:tc>
          <w:tcPr>
            <w:tcW w:type="dxa" w:w="7200"/>
          </w:tcPr>
          <w:p>
            <w:pPr>
              <w:spacing w:line="276" w:lineRule="auto" w:after="60"/>
            </w:pPr>
            <w:r>
              <w:rPr>
                <w:rFonts w:ascii="Times New Roman" w:hAnsi="Times New Roman"/>
                <w:b/>
                <w:sz w:val="22"/>
              </w:rPr>
              <w:t>Chapter 3. Proposed Work</w:t>
            </w:r>
          </w:p>
        </w:tc>
        <w:tc>
          <w:tcPr>
            <w:tcW w:type="dxa" w:w="1080"/>
          </w:tcPr>
          <w:p>
            <w:pPr>
              <w:spacing w:line="276" w:lineRule="auto" w:after="60"/>
              <w:jc w:val="right"/>
            </w:pPr>
            <w:r>
              <w:rPr>
                <w:rFonts w:ascii="Times New Roman" w:hAnsi="Times New Roman"/>
                <w:b/>
                <w:sz w:val="22"/>
              </w:rPr>
              <w:t>27</w:t>
            </w:r>
          </w:p>
        </w:tc>
      </w:tr>
      <w:tr>
        <w:tc>
          <w:tcPr>
            <w:tcW w:type="dxa" w:w="7200"/>
          </w:tcPr>
          <w:p>
            <w:pPr>
              <w:spacing w:line="276" w:lineRule="auto" w:after="60"/>
            </w:pPr>
            <w:r>
              <w:rPr>
                <w:rFonts w:ascii="Times New Roman" w:hAnsi="Times New Roman"/>
                <w:sz w:val="22"/>
              </w:rPr>
              <w:t xml:space="preserve">    3.1 Introduction</w:t>
            </w:r>
          </w:p>
        </w:tc>
        <w:tc>
          <w:tcPr>
            <w:tcW w:type="dxa" w:w="1080"/>
          </w:tcPr>
          <w:p>
            <w:pPr>
              <w:spacing w:line="276" w:lineRule="auto" w:after="60"/>
              <w:jc w:val="right"/>
            </w:pPr>
            <w:r>
              <w:rPr>
                <w:rFonts w:ascii="Times New Roman" w:hAnsi="Times New Roman"/>
                <w:sz w:val="22"/>
              </w:rPr>
              <w:t>27</w:t>
            </w:r>
          </w:p>
        </w:tc>
      </w:tr>
      <w:tr>
        <w:tc>
          <w:tcPr>
            <w:tcW w:type="dxa" w:w="7200"/>
          </w:tcPr>
          <w:p>
            <w:pPr>
              <w:spacing w:line="276" w:lineRule="auto" w:after="60"/>
            </w:pPr>
            <w:r>
              <w:rPr>
                <w:rFonts w:ascii="Times New Roman" w:hAnsi="Times New Roman"/>
                <w:sz w:val="22"/>
              </w:rPr>
              <w:t xml:space="preserve">    3.2 Proposed Work</w:t>
            </w:r>
          </w:p>
        </w:tc>
        <w:tc>
          <w:tcPr>
            <w:tcW w:type="dxa" w:w="1080"/>
          </w:tcPr>
          <w:p>
            <w:pPr>
              <w:spacing w:line="276" w:lineRule="auto" w:after="60"/>
              <w:jc w:val="right"/>
            </w:pPr>
            <w:r>
              <w:rPr>
                <w:rFonts w:ascii="Times New Roman" w:hAnsi="Times New Roman"/>
                <w:sz w:val="22"/>
              </w:rPr>
              <w:t>29</w:t>
            </w:r>
          </w:p>
        </w:tc>
      </w:tr>
      <w:tr>
        <w:tc>
          <w:tcPr>
            <w:tcW w:type="dxa" w:w="7200"/>
          </w:tcPr>
          <w:p>
            <w:pPr>
              <w:spacing w:line="276" w:lineRule="auto" w:after="60"/>
            </w:pPr>
            <w:r>
              <w:rPr>
                <w:rFonts w:ascii="Times New Roman" w:hAnsi="Times New Roman"/>
                <w:sz w:val="22"/>
              </w:rPr>
              <w:t xml:space="preserve">        3.2.1 Overall System Architecture &amp; Data Flow</w:t>
            </w:r>
          </w:p>
        </w:tc>
        <w:tc>
          <w:tcPr>
            <w:tcW w:type="dxa" w:w="1080"/>
          </w:tcPr>
          <w:p>
            <w:pPr>
              <w:spacing w:line="276" w:lineRule="auto" w:after="60"/>
              <w:jc w:val="right"/>
            </w:pPr>
            <w:r>
              <w:rPr>
                <w:rFonts w:ascii="Times New Roman" w:hAnsi="Times New Roman"/>
                <w:sz w:val="22"/>
              </w:rPr>
              <w:t>30</w:t>
            </w:r>
          </w:p>
        </w:tc>
      </w:tr>
      <w:tr>
        <w:tc>
          <w:tcPr>
            <w:tcW w:type="dxa" w:w="7200"/>
          </w:tcPr>
          <w:p>
            <w:pPr>
              <w:spacing w:line="276" w:lineRule="auto" w:after="60"/>
            </w:pPr>
            <w:r>
              <w:rPr>
                <w:rFonts w:ascii="Times New Roman" w:hAnsi="Times New Roman"/>
                <w:sz w:val="22"/>
              </w:rPr>
              <w:t xml:space="preserve">        3.2.2 Rotation-Invariant Morphology &amp; Anisotropy Engine</w:t>
            </w:r>
          </w:p>
        </w:tc>
        <w:tc>
          <w:tcPr>
            <w:tcW w:type="dxa" w:w="1080"/>
          </w:tcPr>
          <w:p>
            <w:pPr>
              <w:spacing w:line="276" w:lineRule="auto" w:after="60"/>
              <w:jc w:val="right"/>
            </w:pPr>
            <w:r>
              <w:rPr>
                <w:rFonts w:ascii="Times New Roman" w:hAnsi="Times New Roman"/>
                <w:sz w:val="22"/>
              </w:rPr>
              <w:t>33</w:t>
            </w:r>
          </w:p>
        </w:tc>
      </w:tr>
      <w:tr>
        <w:tc>
          <w:tcPr>
            <w:tcW w:type="dxa" w:w="7200"/>
          </w:tcPr>
          <w:p>
            <w:pPr>
              <w:spacing w:line="276" w:lineRule="auto" w:after="60"/>
            </w:pPr>
            <w:r>
              <w:rPr>
                <w:rFonts w:ascii="Times New Roman" w:hAnsi="Times New Roman"/>
                <w:sz w:val="22"/>
              </w:rPr>
              <w:t xml:space="preserve">        3.2.3 Visual Explainability via Grad-CAM &amp; Severity Quantification</w:t>
            </w:r>
          </w:p>
        </w:tc>
        <w:tc>
          <w:tcPr>
            <w:tcW w:type="dxa" w:w="1080"/>
          </w:tcPr>
          <w:p>
            <w:pPr>
              <w:spacing w:line="276" w:lineRule="auto" w:after="60"/>
              <w:jc w:val="right"/>
            </w:pPr>
            <w:r>
              <w:rPr>
                <w:rFonts w:ascii="Times New Roman" w:hAnsi="Times New Roman"/>
                <w:sz w:val="22"/>
              </w:rPr>
              <w:t>36</w:t>
            </w:r>
          </w:p>
        </w:tc>
      </w:tr>
      <w:tr>
        <w:tc>
          <w:tcPr>
            <w:tcW w:type="dxa" w:w="7200"/>
          </w:tcPr>
          <w:p>
            <w:pPr>
              <w:spacing w:line="276" w:lineRule="auto" w:after="60"/>
            </w:pPr>
            <w:r>
              <w:rPr>
                <w:rFonts w:ascii="Times New Roman" w:hAnsi="Times New Roman"/>
                <w:sz w:val="22"/>
              </w:rPr>
              <w:t xml:space="preserve">        3.2.4 Sentinel-2 Multispectral Remote Sensing &amp; VRA Optimization</w:t>
            </w:r>
          </w:p>
        </w:tc>
        <w:tc>
          <w:tcPr>
            <w:tcW w:type="dxa" w:w="1080"/>
          </w:tcPr>
          <w:p>
            <w:pPr>
              <w:spacing w:line="276" w:lineRule="auto" w:after="60"/>
              <w:jc w:val="right"/>
            </w:pPr>
            <w:r>
              <w:rPr>
                <w:rFonts w:ascii="Times New Roman" w:hAnsi="Times New Roman"/>
                <w:sz w:val="22"/>
              </w:rPr>
              <w:t>39</w:t>
            </w:r>
          </w:p>
        </w:tc>
      </w:tr>
      <w:tr>
        <w:tc>
          <w:tcPr>
            <w:tcW w:type="dxa" w:w="7200"/>
          </w:tcPr>
          <w:p>
            <w:pPr>
              <w:spacing w:line="276" w:lineRule="auto" w:after="60"/>
            </w:pPr>
            <w:r>
              <w:rPr>
                <w:rFonts w:ascii="Times New Roman" w:hAnsi="Times New Roman"/>
                <w:sz w:val="22"/>
              </w:rPr>
              <w:t xml:space="preserve">        3.2.5 Psychrometric Delta-T Spray Window &amp; Rainfastness Modeling</w:t>
            </w:r>
          </w:p>
        </w:tc>
        <w:tc>
          <w:tcPr>
            <w:tcW w:type="dxa" w:w="1080"/>
          </w:tcPr>
          <w:p>
            <w:pPr>
              <w:spacing w:line="276" w:lineRule="auto" w:after="60"/>
              <w:jc w:val="right"/>
            </w:pPr>
            <w:r>
              <w:rPr>
                <w:rFonts w:ascii="Times New Roman" w:hAnsi="Times New Roman"/>
                <w:sz w:val="22"/>
              </w:rPr>
              <w:t>42</w:t>
            </w:r>
          </w:p>
        </w:tc>
      </w:tr>
      <w:tr>
        <w:tc>
          <w:tcPr>
            <w:tcW w:type="dxa" w:w="7200"/>
          </w:tcPr>
          <w:p>
            <w:pPr>
              <w:spacing w:line="276" w:lineRule="auto" w:after="60"/>
            </w:pPr>
            <w:r>
              <w:rPr>
                <w:rFonts w:ascii="Times New Roman" w:hAnsi="Times New Roman"/>
                <w:sz w:val="22"/>
              </w:rPr>
              <w:t xml:space="preserve">        3.2.6 Omnichannel Multilingual Communication Architecture</w:t>
            </w:r>
          </w:p>
        </w:tc>
        <w:tc>
          <w:tcPr>
            <w:tcW w:type="dxa" w:w="1080"/>
          </w:tcPr>
          <w:p>
            <w:pPr>
              <w:spacing w:line="276" w:lineRule="auto" w:after="60"/>
              <w:jc w:val="right"/>
            </w:pPr>
            <w:r>
              <w:rPr>
                <w:rFonts w:ascii="Times New Roman" w:hAnsi="Times New Roman"/>
                <w:sz w:val="22"/>
              </w:rPr>
              <w:t>45</w:t>
            </w:r>
          </w:p>
        </w:tc>
      </w:tr>
      <w:tr>
        <w:tc>
          <w:tcPr>
            <w:tcW w:type="dxa" w:w="7200"/>
          </w:tcPr>
          <w:p>
            <w:pPr>
              <w:spacing w:line="276" w:lineRule="auto" w:after="60"/>
            </w:pPr>
            <w:r>
              <w:rPr>
                <w:rFonts w:ascii="Times New Roman" w:hAnsi="Times New Roman"/>
                <w:b/>
                <w:sz w:val="22"/>
              </w:rPr>
              <w:t>Chapter 4. Methodology</w:t>
            </w:r>
          </w:p>
        </w:tc>
        <w:tc>
          <w:tcPr>
            <w:tcW w:type="dxa" w:w="1080"/>
          </w:tcPr>
          <w:p>
            <w:pPr>
              <w:spacing w:line="276" w:lineRule="auto" w:after="60"/>
              <w:jc w:val="right"/>
            </w:pPr>
            <w:r>
              <w:rPr>
                <w:rFonts w:ascii="Times New Roman" w:hAnsi="Times New Roman"/>
                <w:b/>
                <w:sz w:val="22"/>
              </w:rPr>
              <w:t>48</w:t>
            </w:r>
          </w:p>
        </w:tc>
      </w:tr>
      <w:tr>
        <w:tc>
          <w:tcPr>
            <w:tcW w:type="dxa" w:w="7200"/>
          </w:tcPr>
          <w:p>
            <w:pPr>
              <w:spacing w:line="276" w:lineRule="auto" w:after="60"/>
            </w:pPr>
            <w:r>
              <w:rPr>
                <w:rFonts w:ascii="Times New Roman" w:hAnsi="Times New Roman"/>
                <w:sz w:val="22"/>
              </w:rPr>
              <w:t xml:space="preserve">    4.1 Introduction</w:t>
            </w:r>
          </w:p>
        </w:tc>
        <w:tc>
          <w:tcPr>
            <w:tcW w:type="dxa" w:w="1080"/>
          </w:tcPr>
          <w:p>
            <w:pPr>
              <w:spacing w:line="276" w:lineRule="auto" w:after="60"/>
              <w:jc w:val="right"/>
            </w:pPr>
            <w:r>
              <w:rPr>
                <w:rFonts w:ascii="Times New Roman" w:hAnsi="Times New Roman"/>
                <w:sz w:val="22"/>
              </w:rPr>
              <w:t>48</w:t>
            </w:r>
          </w:p>
        </w:tc>
      </w:tr>
      <w:tr>
        <w:tc>
          <w:tcPr>
            <w:tcW w:type="dxa" w:w="7200"/>
          </w:tcPr>
          <w:p>
            <w:pPr>
              <w:spacing w:line="276" w:lineRule="auto" w:after="60"/>
            </w:pPr>
            <w:r>
              <w:rPr>
                <w:rFonts w:ascii="Times New Roman" w:hAnsi="Times New Roman"/>
                <w:sz w:val="22"/>
              </w:rPr>
              <w:t xml:space="preserve">    4.2 Implementation Strategy (Flowchart, Algorithm etc.)</w:t>
            </w:r>
          </w:p>
        </w:tc>
        <w:tc>
          <w:tcPr>
            <w:tcW w:type="dxa" w:w="1080"/>
          </w:tcPr>
          <w:p>
            <w:pPr>
              <w:spacing w:line="276" w:lineRule="auto" w:after="60"/>
              <w:jc w:val="right"/>
            </w:pPr>
            <w:r>
              <w:rPr>
                <w:rFonts w:ascii="Times New Roman" w:hAnsi="Times New Roman"/>
                <w:sz w:val="22"/>
              </w:rPr>
              <w:t>49</w:t>
            </w:r>
          </w:p>
        </w:tc>
      </w:tr>
      <w:tr>
        <w:tc>
          <w:tcPr>
            <w:tcW w:type="dxa" w:w="7200"/>
          </w:tcPr>
          <w:p>
            <w:pPr>
              <w:spacing w:line="276" w:lineRule="auto" w:after="60"/>
            </w:pPr>
            <w:r>
              <w:rPr>
                <w:rFonts w:ascii="Times New Roman" w:hAnsi="Times New Roman"/>
                <w:sz w:val="22"/>
              </w:rPr>
              <w:t xml:space="preserve">        4.2.1 Mathematical Formulation of MobileNetV3 Bottleneck</w:t>
            </w:r>
          </w:p>
        </w:tc>
        <w:tc>
          <w:tcPr>
            <w:tcW w:type="dxa" w:w="1080"/>
          </w:tcPr>
          <w:p>
            <w:pPr>
              <w:spacing w:line="276" w:lineRule="auto" w:after="60"/>
              <w:jc w:val="right"/>
            </w:pPr>
            <w:r>
              <w:rPr>
                <w:rFonts w:ascii="Times New Roman" w:hAnsi="Times New Roman"/>
                <w:sz w:val="22"/>
              </w:rPr>
              <w:t>49</w:t>
            </w:r>
          </w:p>
        </w:tc>
      </w:tr>
      <w:tr>
        <w:tc>
          <w:tcPr>
            <w:tcW w:type="dxa" w:w="7200"/>
          </w:tcPr>
          <w:p>
            <w:pPr>
              <w:spacing w:line="276" w:lineRule="auto" w:after="60"/>
            </w:pPr>
            <w:r>
              <w:rPr>
                <w:rFonts w:ascii="Times New Roman" w:hAnsi="Times New Roman"/>
                <w:sz w:val="22"/>
              </w:rPr>
              <w:t xml:space="preserve">        4.2.2 Algorithm 4.1 Rotation-Invariant Morphology &amp; Anisotropy</w:t>
            </w:r>
          </w:p>
        </w:tc>
        <w:tc>
          <w:tcPr>
            <w:tcW w:type="dxa" w:w="1080"/>
          </w:tcPr>
          <w:p>
            <w:pPr>
              <w:spacing w:line="276" w:lineRule="auto" w:after="60"/>
              <w:jc w:val="right"/>
            </w:pPr>
            <w:r>
              <w:rPr>
                <w:rFonts w:ascii="Times New Roman" w:hAnsi="Times New Roman"/>
                <w:sz w:val="22"/>
              </w:rPr>
              <w:t>52</w:t>
            </w:r>
          </w:p>
        </w:tc>
      </w:tr>
      <w:tr>
        <w:tc>
          <w:tcPr>
            <w:tcW w:type="dxa" w:w="7200"/>
          </w:tcPr>
          <w:p>
            <w:pPr>
              <w:spacing w:line="276" w:lineRule="auto" w:after="60"/>
            </w:pPr>
            <w:r>
              <w:rPr>
                <w:rFonts w:ascii="Times New Roman" w:hAnsi="Times New Roman"/>
                <w:sz w:val="22"/>
              </w:rPr>
              <w:t xml:space="preserve">        4.2.3 Algorithm 4.2 Grad-CAM Saliency Map Extraction</w:t>
            </w:r>
          </w:p>
        </w:tc>
        <w:tc>
          <w:tcPr>
            <w:tcW w:type="dxa" w:w="1080"/>
          </w:tcPr>
          <w:p>
            <w:pPr>
              <w:spacing w:line="276" w:lineRule="auto" w:after="60"/>
              <w:jc w:val="right"/>
            </w:pPr>
            <w:r>
              <w:rPr>
                <w:rFonts w:ascii="Times New Roman" w:hAnsi="Times New Roman"/>
                <w:sz w:val="22"/>
              </w:rPr>
              <w:t>54</w:t>
            </w:r>
          </w:p>
        </w:tc>
      </w:tr>
      <w:tr>
        <w:tc>
          <w:tcPr>
            <w:tcW w:type="dxa" w:w="7200"/>
          </w:tcPr>
          <w:p>
            <w:pPr>
              <w:spacing w:line="276" w:lineRule="auto" w:after="60"/>
            </w:pPr>
            <w:r>
              <w:rPr>
                <w:rFonts w:ascii="Times New Roman" w:hAnsi="Times New Roman"/>
                <w:sz w:val="22"/>
              </w:rPr>
              <w:t xml:space="preserve">        4.2.4 Algorithm 4.3 Adaptive Otsu Severity Quantification</w:t>
            </w:r>
          </w:p>
        </w:tc>
        <w:tc>
          <w:tcPr>
            <w:tcW w:type="dxa" w:w="1080"/>
          </w:tcPr>
          <w:p>
            <w:pPr>
              <w:spacing w:line="276" w:lineRule="auto" w:after="60"/>
              <w:jc w:val="right"/>
            </w:pPr>
            <w:r>
              <w:rPr>
                <w:rFonts w:ascii="Times New Roman" w:hAnsi="Times New Roman"/>
                <w:sz w:val="22"/>
              </w:rPr>
              <w:t>56</w:t>
            </w:r>
          </w:p>
        </w:tc>
      </w:tr>
      <w:tr>
        <w:tc>
          <w:tcPr>
            <w:tcW w:type="dxa" w:w="7200"/>
          </w:tcPr>
          <w:p>
            <w:pPr>
              <w:spacing w:line="276" w:lineRule="auto" w:after="60"/>
            </w:pPr>
            <w:r>
              <w:rPr>
                <w:rFonts w:ascii="Times New Roman" w:hAnsi="Times New Roman"/>
                <w:sz w:val="22"/>
              </w:rPr>
              <w:t xml:space="preserve">        4.2.5 Algorithm 4.4 Multispectral Raster &amp; 3-Zone VRA Prescription</w:t>
            </w:r>
          </w:p>
        </w:tc>
        <w:tc>
          <w:tcPr>
            <w:tcW w:type="dxa" w:w="1080"/>
          </w:tcPr>
          <w:p>
            <w:pPr>
              <w:spacing w:line="276" w:lineRule="auto" w:after="60"/>
              <w:jc w:val="right"/>
            </w:pPr>
            <w:r>
              <w:rPr>
                <w:rFonts w:ascii="Times New Roman" w:hAnsi="Times New Roman"/>
                <w:sz w:val="22"/>
              </w:rPr>
              <w:t>58</w:t>
            </w:r>
          </w:p>
        </w:tc>
      </w:tr>
      <w:tr>
        <w:tc>
          <w:tcPr>
            <w:tcW w:type="dxa" w:w="7200"/>
          </w:tcPr>
          <w:p>
            <w:pPr>
              <w:spacing w:line="276" w:lineRule="auto" w:after="60"/>
            </w:pPr>
            <w:r>
              <w:rPr>
                <w:rFonts w:ascii="Times New Roman" w:hAnsi="Times New Roman"/>
                <w:sz w:val="22"/>
              </w:rPr>
              <w:t xml:space="preserve">        4.2.6 Algorithm 4.5 Psychrometric Delta-T &amp; Spray Suitability</w:t>
            </w:r>
          </w:p>
        </w:tc>
        <w:tc>
          <w:tcPr>
            <w:tcW w:type="dxa" w:w="1080"/>
          </w:tcPr>
          <w:p>
            <w:pPr>
              <w:spacing w:line="276" w:lineRule="auto" w:after="60"/>
              <w:jc w:val="right"/>
            </w:pPr>
            <w:r>
              <w:rPr>
                <w:rFonts w:ascii="Times New Roman" w:hAnsi="Times New Roman"/>
                <w:sz w:val="22"/>
              </w:rPr>
              <w:t>60</w:t>
            </w:r>
          </w:p>
        </w:tc>
      </w:tr>
      <w:tr>
        <w:tc>
          <w:tcPr>
            <w:tcW w:type="dxa" w:w="7200"/>
          </w:tcPr>
          <w:p>
            <w:pPr>
              <w:spacing w:line="276" w:lineRule="auto" w:after="60"/>
            </w:pPr>
            <w:r>
              <w:rPr>
                <w:rFonts w:ascii="Times New Roman" w:hAnsi="Times New Roman"/>
                <w:sz w:val="22"/>
              </w:rPr>
              <w:t xml:space="preserve">    4.3 Tools / Hardware / Software Requirements</w:t>
            </w:r>
          </w:p>
        </w:tc>
        <w:tc>
          <w:tcPr>
            <w:tcW w:type="dxa" w:w="1080"/>
          </w:tcPr>
          <w:p>
            <w:pPr>
              <w:spacing w:line="276" w:lineRule="auto" w:after="60"/>
              <w:jc w:val="right"/>
            </w:pPr>
            <w:r>
              <w:rPr>
                <w:rFonts w:ascii="Times New Roman" w:hAnsi="Times New Roman"/>
                <w:sz w:val="22"/>
              </w:rPr>
              <w:t>62</w:t>
            </w:r>
          </w:p>
        </w:tc>
      </w:tr>
      <w:tr>
        <w:tc>
          <w:tcPr>
            <w:tcW w:type="dxa" w:w="7200"/>
          </w:tcPr>
          <w:p>
            <w:pPr>
              <w:spacing w:line="276" w:lineRule="auto" w:after="60"/>
            </w:pPr>
            <w:r>
              <w:rPr>
                <w:rFonts w:ascii="Times New Roman" w:hAnsi="Times New Roman"/>
                <w:b/>
                <w:sz w:val="22"/>
              </w:rPr>
              <w:t>Chapter 5. Result &amp; Discussion</w:t>
            </w:r>
          </w:p>
        </w:tc>
        <w:tc>
          <w:tcPr>
            <w:tcW w:type="dxa" w:w="1080"/>
          </w:tcPr>
          <w:p>
            <w:pPr>
              <w:spacing w:line="276" w:lineRule="auto" w:after="60"/>
              <w:jc w:val="right"/>
            </w:pPr>
            <w:r>
              <w:rPr>
                <w:rFonts w:ascii="Times New Roman" w:hAnsi="Times New Roman"/>
                <w:b/>
                <w:sz w:val="22"/>
              </w:rPr>
              <w:t>65</w:t>
            </w:r>
          </w:p>
        </w:tc>
      </w:tr>
      <w:tr>
        <w:tc>
          <w:tcPr>
            <w:tcW w:type="dxa" w:w="7200"/>
          </w:tcPr>
          <w:p>
            <w:pPr>
              <w:spacing w:line="276" w:lineRule="auto" w:after="60"/>
            </w:pPr>
            <w:r>
              <w:rPr>
                <w:rFonts w:ascii="Times New Roman" w:hAnsi="Times New Roman"/>
                <w:sz w:val="22"/>
              </w:rPr>
              <w:t xml:space="preserve">    5.1 Introduction</w:t>
            </w:r>
          </w:p>
        </w:tc>
        <w:tc>
          <w:tcPr>
            <w:tcW w:type="dxa" w:w="1080"/>
          </w:tcPr>
          <w:p>
            <w:pPr>
              <w:spacing w:line="276" w:lineRule="auto" w:after="60"/>
              <w:jc w:val="right"/>
            </w:pPr>
            <w:r>
              <w:rPr>
                <w:rFonts w:ascii="Times New Roman" w:hAnsi="Times New Roman"/>
                <w:sz w:val="22"/>
              </w:rPr>
              <w:t>65</w:t>
            </w:r>
          </w:p>
        </w:tc>
      </w:tr>
      <w:tr>
        <w:tc>
          <w:tcPr>
            <w:tcW w:type="dxa" w:w="7200"/>
          </w:tcPr>
          <w:p>
            <w:pPr>
              <w:spacing w:line="276" w:lineRule="auto" w:after="60"/>
            </w:pPr>
            <w:r>
              <w:rPr>
                <w:rFonts w:ascii="Times New Roman" w:hAnsi="Times New Roman"/>
                <w:sz w:val="22"/>
              </w:rPr>
              <w:t xml:space="preserve">    5.2 Performance Metrics with Detailed Result Analysis</w:t>
            </w:r>
          </w:p>
        </w:tc>
        <w:tc>
          <w:tcPr>
            <w:tcW w:type="dxa" w:w="1080"/>
          </w:tcPr>
          <w:p>
            <w:pPr>
              <w:spacing w:line="276" w:lineRule="auto" w:after="60"/>
              <w:jc w:val="right"/>
            </w:pPr>
            <w:r>
              <w:rPr>
                <w:rFonts w:ascii="Times New Roman" w:hAnsi="Times New Roman"/>
                <w:sz w:val="22"/>
              </w:rPr>
              <w:t>66</w:t>
            </w:r>
          </w:p>
        </w:tc>
      </w:tr>
      <w:tr>
        <w:tc>
          <w:tcPr>
            <w:tcW w:type="dxa" w:w="7200"/>
          </w:tcPr>
          <w:p>
            <w:pPr>
              <w:spacing w:line="276" w:lineRule="auto" w:after="60"/>
            </w:pPr>
            <w:r>
              <w:rPr>
                <w:rFonts w:ascii="Times New Roman" w:hAnsi="Times New Roman"/>
                <w:sz w:val="22"/>
              </w:rPr>
              <w:t xml:space="preserve">        5.2.1 Deep Learning Diagnostic Accuracy Across 67 Classes</w:t>
            </w:r>
          </w:p>
        </w:tc>
        <w:tc>
          <w:tcPr>
            <w:tcW w:type="dxa" w:w="1080"/>
          </w:tcPr>
          <w:p>
            <w:pPr>
              <w:spacing w:line="276" w:lineRule="auto" w:after="60"/>
              <w:jc w:val="right"/>
            </w:pPr>
            <w:r>
              <w:rPr>
                <w:rFonts w:ascii="Times New Roman" w:hAnsi="Times New Roman"/>
                <w:sz w:val="22"/>
              </w:rPr>
              <w:t>66</w:t>
            </w:r>
          </w:p>
        </w:tc>
      </w:tr>
      <w:tr>
        <w:tc>
          <w:tcPr>
            <w:tcW w:type="dxa" w:w="7200"/>
          </w:tcPr>
          <w:p>
            <w:pPr>
              <w:spacing w:line="276" w:lineRule="auto" w:after="60"/>
            </w:pPr>
            <w:r>
              <w:rPr>
                <w:rFonts w:ascii="Times New Roman" w:hAnsi="Times New Roman"/>
                <w:sz w:val="22"/>
              </w:rPr>
              <w:t xml:space="preserve">        5.2.2 Rotation Invariance &amp; Test-Time Augmentation (TTA) Ablation</w:t>
            </w:r>
          </w:p>
        </w:tc>
        <w:tc>
          <w:tcPr>
            <w:tcW w:type="dxa" w:w="1080"/>
          </w:tcPr>
          <w:p>
            <w:pPr>
              <w:spacing w:line="276" w:lineRule="auto" w:after="60"/>
              <w:jc w:val="right"/>
            </w:pPr>
            <w:r>
              <w:rPr>
                <w:rFonts w:ascii="Times New Roman" w:hAnsi="Times New Roman"/>
                <w:sz w:val="22"/>
              </w:rPr>
              <w:t>70</w:t>
            </w:r>
          </w:p>
        </w:tc>
      </w:tr>
      <w:tr>
        <w:tc>
          <w:tcPr>
            <w:tcW w:type="dxa" w:w="7200"/>
          </w:tcPr>
          <w:p>
            <w:pPr>
              <w:spacing w:line="276" w:lineRule="auto" w:after="60"/>
            </w:pPr>
            <w:r>
              <w:rPr>
                <w:rFonts w:ascii="Times New Roman" w:hAnsi="Times New Roman"/>
                <w:sz w:val="22"/>
              </w:rPr>
              <w:t xml:space="preserve">        5.2.3 Grad-CAM Explainability &amp; Agronomic Validation</w:t>
            </w:r>
          </w:p>
        </w:tc>
        <w:tc>
          <w:tcPr>
            <w:tcW w:type="dxa" w:w="1080"/>
          </w:tcPr>
          <w:p>
            <w:pPr>
              <w:spacing w:line="276" w:lineRule="auto" w:after="60"/>
              <w:jc w:val="right"/>
            </w:pPr>
            <w:r>
              <w:rPr>
                <w:rFonts w:ascii="Times New Roman" w:hAnsi="Times New Roman"/>
                <w:sz w:val="22"/>
              </w:rPr>
              <w:t>74</w:t>
            </w:r>
          </w:p>
        </w:tc>
      </w:tr>
      <w:tr>
        <w:tc>
          <w:tcPr>
            <w:tcW w:type="dxa" w:w="7200"/>
          </w:tcPr>
          <w:p>
            <w:pPr>
              <w:spacing w:line="276" w:lineRule="auto" w:after="60"/>
            </w:pPr>
            <w:r>
              <w:rPr>
                <w:rFonts w:ascii="Times New Roman" w:hAnsi="Times New Roman"/>
                <w:sz w:val="22"/>
              </w:rPr>
              <w:t xml:space="preserve">        5.2.4 Infection Severity Quantification Accuracy</w:t>
            </w:r>
          </w:p>
        </w:tc>
        <w:tc>
          <w:tcPr>
            <w:tcW w:type="dxa" w:w="1080"/>
          </w:tcPr>
          <w:p>
            <w:pPr>
              <w:spacing w:line="276" w:lineRule="auto" w:after="60"/>
              <w:jc w:val="right"/>
            </w:pPr>
            <w:r>
              <w:rPr>
                <w:rFonts w:ascii="Times New Roman" w:hAnsi="Times New Roman"/>
                <w:sz w:val="22"/>
              </w:rPr>
              <w:t>77</w:t>
            </w:r>
          </w:p>
        </w:tc>
      </w:tr>
      <w:tr>
        <w:tc>
          <w:tcPr>
            <w:tcW w:type="dxa" w:w="7200"/>
          </w:tcPr>
          <w:p>
            <w:pPr>
              <w:spacing w:line="276" w:lineRule="auto" w:after="60"/>
            </w:pPr>
            <w:r>
              <w:rPr>
                <w:rFonts w:ascii="Times New Roman" w:hAnsi="Times New Roman"/>
                <w:sz w:val="22"/>
              </w:rPr>
              <w:t xml:space="preserve">        5.2.5 Satellite NDVI Zonal Precision &amp; Fertilizer Savings</w:t>
            </w:r>
          </w:p>
        </w:tc>
        <w:tc>
          <w:tcPr>
            <w:tcW w:type="dxa" w:w="1080"/>
          </w:tcPr>
          <w:p>
            <w:pPr>
              <w:spacing w:line="276" w:lineRule="auto" w:after="60"/>
              <w:jc w:val="right"/>
            </w:pPr>
            <w:r>
              <w:rPr>
                <w:rFonts w:ascii="Times New Roman" w:hAnsi="Times New Roman"/>
                <w:sz w:val="22"/>
              </w:rPr>
              <w:t>80</w:t>
            </w:r>
          </w:p>
        </w:tc>
      </w:tr>
      <w:tr>
        <w:tc>
          <w:tcPr>
            <w:tcW w:type="dxa" w:w="7200"/>
          </w:tcPr>
          <w:p>
            <w:pPr>
              <w:spacing w:line="276" w:lineRule="auto" w:after="60"/>
            </w:pPr>
            <w:r>
              <w:rPr>
                <w:rFonts w:ascii="Times New Roman" w:hAnsi="Times New Roman"/>
                <w:sz w:val="22"/>
              </w:rPr>
              <w:t xml:space="preserve">        5.2.6 Microclimate Spray Window &amp; Rainfastness Case Studies</w:t>
            </w:r>
          </w:p>
        </w:tc>
        <w:tc>
          <w:tcPr>
            <w:tcW w:type="dxa" w:w="1080"/>
          </w:tcPr>
          <w:p>
            <w:pPr>
              <w:spacing w:line="276" w:lineRule="auto" w:after="60"/>
              <w:jc w:val="right"/>
            </w:pPr>
            <w:r>
              <w:rPr>
                <w:rFonts w:ascii="Times New Roman" w:hAnsi="Times New Roman"/>
                <w:sz w:val="22"/>
              </w:rPr>
              <w:t>83</w:t>
            </w:r>
          </w:p>
        </w:tc>
      </w:tr>
      <w:tr>
        <w:tc>
          <w:tcPr>
            <w:tcW w:type="dxa" w:w="7200"/>
          </w:tcPr>
          <w:p>
            <w:pPr>
              <w:spacing w:line="276" w:lineRule="auto" w:after="60"/>
            </w:pPr>
            <w:r>
              <w:rPr>
                <w:rFonts w:ascii="Times New Roman" w:hAnsi="Times New Roman"/>
                <w:sz w:val="22"/>
              </w:rPr>
              <w:t xml:space="preserve">        5.2.7 Client-Side Edge Latency &amp; Active Learning Retraining Trajectory</w:t>
            </w:r>
          </w:p>
        </w:tc>
        <w:tc>
          <w:tcPr>
            <w:tcW w:type="dxa" w:w="1080"/>
          </w:tcPr>
          <w:p>
            <w:pPr>
              <w:spacing w:line="276" w:lineRule="auto" w:after="60"/>
              <w:jc w:val="right"/>
            </w:pPr>
            <w:r>
              <w:rPr>
                <w:rFonts w:ascii="Times New Roman" w:hAnsi="Times New Roman"/>
                <w:sz w:val="22"/>
              </w:rPr>
              <w:t>86</w:t>
            </w:r>
          </w:p>
        </w:tc>
      </w:tr>
      <w:tr>
        <w:tc>
          <w:tcPr>
            <w:tcW w:type="dxa" w:w="7200"/>
          </w:tcPr>
          <w:p>
            <w:pPr>
              <w:spacing w:line="276" w:lineRule="auto" w:after="60"/>
            </w:pPr>
            <w:r>
              <w:rPr>
                <w:rFonts w:ascii="Times New Roman" w:hAnsi="Times New Roman"/>
                <w:b/>
                <w:sz w:val="22"/>
              </w:rPr>
              <w:t>Chapter 6. Conclusion &amp; Future Scope</w:t>
            </w:r>
          </w:p>
        </w:tc>
        <w:tc>
          <w:tcPr>
            <w:tcW w:type="dxa" w:w="1080"/>
          </w:tcPr>
          <w:p>
            <w:pPr>
              <w:spacing w:line="276" w:lineRule="auto" w:after="60"/>
              <w:jc w:val="right"/>
            </w:pPr>
            <w:r>
              <w:rPr>
                <w:rFonts w:ascii="Times New Roman" w:hAnsi="Times New Roman"/>
                <w:b/>
                <w:sz w:val="22"/>
              </w:rPr>
              <w:t>89</w:t>
            </w:r>
          </w:p>
        </w:tc>
      </w:tr>
      <w:tr>
        <w:tc>
          <w:tcPr>
            <w:tcW w:type="dxa" w:w="7200"/>
          </w:tcPr>
          <w:p>
            <w:pPr>
              <w:spacing w:line="276" w:lineRule="auto" w:after="60"/>
            </w:pPr>
            <w:r>
              <w:rPr>
                <w:rFonts w:ascii="Times New Roman" w:hAnsi="Times New Roman"/>
                <w:sz w:val="22"/>
              </w:rPr>
              <w:t xml:space="preserve">    6.1 Conclusion</w:t>
            </w:r>
          </w:p>
        </w:tc>
        <w:tc>
          <w:tcPr>
            <w:tcW w:type="dxa" w:w="1080"/>
          </w:tcPr>
          <w:p>
            <w:pPr>
              <w:spacing w:line="276" w:lineRule="auto" w:after="60"/>
              <w:jc w:val="right"/>
            </w:pPr>
            <w:r>
              <w:rPr>
                <w:rFonts w:ascii="Times New Roman" w:hAnsi="Times New Roman"/>
                <w:sz w:val="22"/>
              </w:rPr>
              <w:t>89</w:t>
            </w:r>
          </w:p>
        </w:tc>
      </w:tr>
      <w:tr>
        <w:tc>
          <w:tcPr>
            <w:tcW w:type="dxa" w:w="7200"/>
          </w:tcPr>
          <w:p>
            <w:pPr>
              <w:spacing w:line="276" w:lineRule="auto" w:after="60"/>
            </w:pPr>
            <w:r>
              <w:rPr>
                <w:rFonts w:ascii="Times New Roman" w:hAnsi="Times New Roman"/>
                <w:sz w:val="22"/>
              </w:rPr>
              <w:t xml:space="preserve">    6.2 Future Scope</w:t>
            </w:r>
          </w:p>
        </w:tc>
        <w:tc>
          <w:tcPr>
            <w:tcW w:type="dxa" w:w="1080"/>
          </w:tcPr>
          <w:p>
            <w:pPr>
              <w:spacing w:line="276" w:lineRule="auto" w:after="60"/>
              <w:jc w:val="right"/>
            </w:pPr>
            <w:r>
              <w:rPr>
                <w:rFonts w:ascii="Times New Roman" w:hAnsi="Times New Roman"/>
                <w:sz w:val="22"/>
              </w:rPr>
              <w:t>91</w:t>
            </w:r>
          </w:p>
        </w:tc>
      </w:tr>
      <w:tr>
        <w:tc>
          <w:tcPr>
            <w:tcW w:type="dxa" w:w="7200"/>
          </w:tcPr>
          <w:p>
            <w:pPr>
              <w:spacing w:line="276" w:lineRule="auto" w:after="60"/>
            </w:pPr>
            <w:r>
              <w:rPr>
                <w:rFonts w:ascii="Times New Roman" w:hAnsi="Times New Roman"/>
                <w:b/>
                <w:sz w:val="22"/>
              </w:rPr>
              <w:t>References</w:t>
            </w:r>
          </w:p>
        </w:tc>
        <w:tc>
          <w:tcPr>
            <w:tcW w:type="dxa" w:w="1080"/>
          </w:tcPr>
          <w:p>
            <w:pPr>
              <w:spacing w:line="276" w:lineRule="auto" w:after="60"/>
              <w:jc w:val="right"/>
            </w:pPr>
            <w:r>
              <w:rPr>
                <w:rFonts w:ascii="Times New Roman" w:hAnsi="Times New Roman"/>
                <w:b/>
                <w:sz w:val="22"/>
              </w:rPr>
              <w:t>93</w:t>
            </w:r>
          </w:p>
        </w:tc>
      </w:tr>
      <w:tr>
        <w:tc>
          <w:tcPr>
            <w:tcW w:type="dxa" w:w="7200"/>
          </w:tcPr>
          <w:p>
            <w:pPr>
              <w:spacing w:line="276" w:lineRule="auto" w:after="60"/>
            </w:pPr>
            <w:r>
              <w:rPr>
                <w:rFonts w:ascii="Times New Roman" w:hAnsi="Times New Roman"/>
                <w:sz w:val="22"/>
              </w:rPr>
              <w:t>Plagiarism Report</w:t>
            </w:r>
          </w:p>
        </w:tc>
        <w:tc>
          <w:tcPr>
            <w:tcW w:type="dxa" w:w="1080"/>
          </w:tcPr>
          <w:p>
            <w:pPr>
              <w:spacing w:line="276" w:lineRule="auto" w:after="60"/>
              <w:jc w:val="right"/>
            </w:pPr>
            <w:r>
              <w:rPr>
                <w:rFonts w:ascii="Times New Roman" w:hAnsi="Times New Roman"/>
                <w:sz w:val="22"/>
              </w:rPr>
              <w:t>99</w:t>
            </w:r>
          </w:p>
        </w:tc>
      </w:tr>
      <w:tr>
        <w:tc>
          <w:tcPr>
            <w:tcW w:type="dxa" w:w="7200"/>
          </w:tcPr>
          <w:p>
            <w:pPr>
              <w:spacing w:line="276" w:lineRule="auto" w:after="60"/>
            </w:pPr>
            <w:r>
              <w:rPr>
                <w:rFonts w:ascii="Times New Roman" w:hAnsi="Times New Roman"/>
                <w:sz w:val="22"/>
              </w:rPr>
              <w:t>Published / Communicated Research Paper / Patent</w:t>
            </w:r>
          </w:p>
        </w:tc>
        <w:tc>
          <w:tcPr>
            <w:tcW w:type="dxa" w:w="1080"/>
          </w:tcPr>
          <w:p>
            <w:pPr>
              <w:spacing w:line="276" w:lineRule="auto" w:after="60"/>
              <w:jc w:val="right"/>
            </w:pPr>
            <w:r>
              <w:rPr>
                <w:rFonts w:ascii="Times New Roman" w:hAnsi="Times New Roman"/>
                <w:sz w:val="22"/>
              </w:rPr>
              <w:t>100</w:t>
            </w:r>
          </w:p>
        </w:tc>
      </w:tr>
    </w:tbl>
    <w:p>
      <w:r>
        <w:br w:type="page"/>
      </w:r>
    </w:p>
    <w:p>
      <w:pPr>
        <w:spacing w:before="560" w:after="480" w:line="360" w:lineRule="auto"/>
        <w:jc w:val="center"/>
      </w:pPr>
      <w:r>
        <w:rPr>
          <w:rFonts w:ascii="Times New Roman" w:hAnsi="Times New Roman"/>
          <w:b/>
          <w:sz w:val="32"/>
        </w:rPr>
        <w:t>LIST OF FIGURES</w:t>
      </w:r>
    </w:p>
    <w:tbl>
      <w:tblPr>
        <w:tblW w:type="auto" w:w="0"/>
        <w:jc w:val="center"/>
        <w:tblLayout w:type="fixed"/>
        <w:tblLook w:firstColumn="1" w:firstRow="1" w:lastColumn="0" w:lastRow="0" w:noHBand="0" w:noVBand="1" w:val="04A0"/>
      </w:tblPr>
      <w:tblGrid>
        <w:gridCol w:w="2760"/>
        <w:gridCol w:w="2760"/>
        <w:gridCol w:w="2760"/>
      </w:tblGrid>
      <w:tr>
        <w:tc>
          <w:tcPr>
            <w:tcW w:type="dxa" w:w="2160"/>
            <w:shd w:fill="F0F0F0"/>
          </w:tcPr>
          <w:p>
            <w:pPr>
              <w:spacing w:line="276" w:lineRule="auto" w:after="60"/>
              <w:jc w:val="center"/>
            </w:pPr>
            <w:r>
              <w:rPr>
                <w:rFonts w:ascii="Times New Roman" w:hAnsi="Times New Roman"/>
                <w:b/>
                <w:sz w:val="22"/>
              </w:rPr>
              <w:t>Figure No.</w:t>
            </w:r>
          </w:p>
        </w:tc>
        <w:tc>
          <w:tcPr>
            <w:tcW w:type="dxa" w:w="5400"/>
            <w:shd w:fill="F0F0F0"/>
          </w:tcPr>
          <w:p>
            <w:pPr>
              <w:spacing w:line="276" w:lineRule="auto" w:after="60"/>
              <w:jc w:val="left"/>
            </w:pPr>
            <w:r>
              <w:rPr>
                <w:rFonts w:ascii="Times New Roman" w:hAnsi="Times New Roman"/>
                <w:b/>
                <w:sz w:val="22"/>
              </w:rPr>
              <w:t>Description</w:t>
            </w:r>
          </w:p>
        </w:tc>
        <w:tc>
          <w:tcPr>
            <w:tcW w:type="dxa" w:w="1080"/>
            <w:shd w:fill="F0F0F0"/>
          </w:tcPr>
          <w:p>
            <w:pPr>
              <w:spacing w:line="276" w:lineRule="auto" w:after="60"/>
              <w:jc w:val="center"/>
            </w:pPr>
            <w:r>
              <w:rPr>
                <w:rFonts w:ascii="Times New Roman" w:hAnsi="Times New Roman"/>
                <w:b/>
                <w:sz w:val="22"/>
              </w:rPr>
              <w:t>Page No.</w:t>
            </w:r>
          </w:p>
        </w:tc>
      </w:tr>
      <w:tr>
        <w:tc>
          <w:tcPr>
            <w:tcW w:type="dxa" w:w="2160"/>
          </w:tcPr>
          <w:p>
            <w:pPr>
              <w:spacing w:line="276" w:lineRule="auto" w:after="40"/>
            </w:pPr>
            <w:r>
              <w:rPr>
                <w:rFonts w:ascii="Times New Roman" w:hAnsi="Times New Roman"/>
                <w:b/>
                <w:sz w:val="20"/>
              </w:rPr>
              <w:t>Fig. 1.1</w:t>
            </w:r>
          </w:p>
        </w:tc>
        <w:tc>
          <w:tcPr>
            <w:tcW w:type="dxa" w:w="5400"/>
          </w:tcPr>
          <w:p>
            <w:pPr>
              <w:spacing w:line="276" w:lineRule="auto" w:after="40"/>
            </w:pPr>
            <w:r>
              <w:rPr>
                <w:rFonts w:ascii="Times New Roman" w:hAnsi="Times New Roman"/>
                <w:sz w:val="20"/>
              </w:rPr>
              <w:t>Global Map of Agricultural Yield Depletion Attributed to Phytopathological Outbreaks</w:t>
            </w:r>
          </w:p>
        </w:tc>
        <w:tc>
          <w:tcPr>
            <w:tcW w:type="dxa" w:w="1080"/>
          </w:tcPr>
          <w:p>
            <w:pPr>
              <w:spacing w:line="276" w:lineRule="auto" w:after="40"/>
              <w:jc w:val="right"/>
            </w:pPr>
            <w:r>
              <w:rPr>
                <w:rFonts w:ascii="Times New Roman" w:hAnsi="Times New Roman"/>
                <w:sz w:val="20"/>
              </w:rPr>
              <w:t>4</w:t>
            </w:r>
          </w:p>
        </w:tc>
      </w:tr>
      <w:tr>
        <w:tc>
          <w:tcPr>
            <w:tcW w:type="dxa" w:w="2160"/>
          </w:tcPr>
          <w:p>
            <w:pPr>
              <w:spacing w:line="276" w:lineRule="auto" w:after="40"/>
            </w:pPr>
            <w:r>
              <w:rPr>
                <w:rFonts w:ascii="Times New Roman" w:hAnsi="Times New Roman"/>
                <w:b/>
                <w:sz w:val="20"/>
              </w:rPr>
              <w:t>Fig. 1.2</w:t>
            </w:r>
          </w:p>
        </w:tc>
        <w:tc>
          <w:tcPr>
            <w:tcW w:type="dxa" w:w="5400"/>
          </w:tcPr>
          <w:p>
            <w:pPr>
              <w:spacing w:line="276" w:lineRule="auto" w:after="40"/>
            </w:pPr>
            <w:r>
              <w:rPr>
                <w:rFonts w:ascii="Times New Roman" w:hAnsi="Times New Roman"/>
                <w:sz w:val="20"/>
              </w:rPr>
              <w:t>Foliar Morphological Diversity and Orientation Variance in Agricultural Field Photos</w:t>
            </w:r>
          </w:p>
        </w:tc>
        <w:tc>
          <w:tcPr>
            <w:tcW w:type="dxa" w:w="1080"/>
          </w:tcPr>
          <w:p>
            <w:pPr>
              <w:spacing w:line="276" w:lineRule="auto" w:after="40"/>
              <w:jc w:val="right"/>
            </w:pPr>
            <w:r>
              <w:rPr>
                <w:rFonts w:ascii="Times New Roman" w:hAnsi="Times New Roman"/>
                <w:sz w:val="20"/>
              </w:rPr>
              <w:t>8</w:t>
            </w:r>
          </w:p>
        </w:tc>
      </w:tr>
      <w:tr>
        <w:tc>
          <w:tcPr>
            <w:tcW w:type="dxa" w:w="2160"/>
          </w:tcPr>
          <w:p>
            <w:pPr>
              <w:spacing w:line="276" w:lineRule="auto" w:after="40"/>
            </w:pPr>
            <w:r>
              <w:rPr>
                <w:rFonts w:ascii="Times New Roman" w:hAnsi="Times New Roman"/>
                <w:b/>
                <w:sz w:val="20"/>
              </w:rPr>
              <w:t>Fig. 2.1</w:t>
            </w:r>
          </w:p>
        </w:tc>
        <w:tc>
          <w:tcPr>
            <w:tcW w:type="dxa" w:w="5400"/>
          </w:tcPr>
          <w:p>
            <w:pPr>
              <w:spacing w:line="276" w:lineRule="auto" w:after="40"/>
            </w:pPr>
            <w:r>
              <w:rPr>
                <w:rFonts w:ascii="Times New Roman" w:hAnsi="Times New Roman"/>
                <w:sz w:val="20"/>
              </w:rPr>
              <w:t>Taxonomic Evolution of Computer Vision Paradigms in Agricultural Disease Classification</w:t>
            </w:r>
          </w:p>
        </w:tc>
        <w:tc>
          <w:tcPr>
            <w:tcW w:type="dxa" w:w="1080"/>
          </w:tcPr>
          <w:p>
            <w:pPr>
              <w:spacing w:line="276" w:lineRule="auto" w:after="40"/>
              <w:jc w:val="right"/>
            </w:pPr>
            <w:r>
              <w:rPr>
                <w:rFonts w:ascii="Times New Roman" w:hAnsi="Times New Roman"/>
                <w:sz w:val="20"/>
              </w:rPr>
              <w:t>17</w:t>
            </w:r>
          </w:p>
        </w:tc>
      </w:tr>
      <w:tr>
        <w:tc>
          <w:tcPr>
            <w:tcW w:type="dxa" w:w="2160"/>
          </w:tcPr>
          <w:p>
            <w:pPr>
              <w:spacing w:line="276" w:lineRule="auto" w:after="40"/>
            </w:pPr>
            <w:r>
              <w:rPr>
                <w:rFonts w:ascii="Times New Roman" w:hAnsi="Times New Roman"/>
                <w:b/>
                <w:sz w:val="20"/>
              </w:rPr>
              <w:t>Fig. 2.2</w:t>
            </w:r>
          </w:p>
        </w:tc>
        <w:tc>
          <w:tcPr>
            <w:tcW w:type="dxa" w:w="5400"/>
          </w:tcPr>
          <w:p>
            <w:pPr>
              <w:spacing w:line="276" w:lineRule="auto" w:after="40"/>
            </w:pPr>
            <w:r>
              <w:rPr>
                <w:rFonts w:ascii="Times New Roman" w:hAnsi="Times New Roman"/>
                <w:sz w:val="20"/>
              </w:rPr>
              <w:t>Atmospheric Boundary Layer Droplet Evaporation and Drift Dynamics Under Wind Shear</w:t>
            </w:r>
          </w:p>
        </w:tc>
        <w:tc>
          <w:tcPr>
            <w:tcW w:type="dxa" w:w="1080"/>
          </w:tcPr>
          <w:p>
            <w:pPr>
              <w:spacing w:line="276" w:lineRule="auto" w:after="40"/>
              <w:jc w:val="right"/>
            </w:pPr>
            <w:r>
              <w:rPr>
                <w:rFonts w:ascii="Times New Roman" w:hAnsi="Times New Roman"/>
                <w:sz w:val="20"/>
              </w:rPr>
              <w:t>22</w:t>
            </w:r>
          </w:p>
        </w:tc>
      </w:tr>
      <w:tr>
        <w:tc>
          <w:tcPr>
            <w:tcW w:type="dxa" w:w="2160"/>
          </w:tcPr>
          <w:p>
            <w:pPr>
              <w:spacing w:line="276" w:lineRule="auto" w:after="40"/>
            </w:pPr>
            <w:r>
              <w:rPr>
                <w:rFonts w:ascii="Times New Roman" w:hAnsi="Times New Roman"/>
                <w:b/>
                <w:sz w:val="20"/>
              </w:rPr>
              <w:t>Fig. 3.1</w:t>
            </w:r>
          </w:p>
        </w:tc>
        <w:tc>
          <w:tcPr>
            <w:tcW w:type="dxa" w:w="5400"/>
          </w:tcPr>
          <w:p>
            <w:pPr>
              <w:spacing w:line="276" w:lineRule="auto" w:after="40"/>
            </w:pPr>
            <w:r>
              <w:rPr>
                <w:rFonts w:ascii="Times New Roman" w:hAnsi="Times New Roman"/>
                <w:sz w:val="20"/>
              </w:rPr>
              <w:t>High-Level Architectural Workflow of the AgroAI Diagnostic Platform</w:t>
            </w:r>
          </w:p>
        </w:tc>
        <w:tc>
          <w:tcPr>
            <w:tcW w:type="dxa" w:w="1080"/>
          </w:tcPr>
          <w:p>
            <w:pPr>
              <w:spacing w:line="276" w:lineRule="auto" w:after="40"/>
              <w:jc w:val="right"/>
            </w:pPr>
            <w:r>
              <w:rPr>
                <w:rFonts w:ascii="Times New Roman" w:hAnsi="Times New Roman"/>
                <w:sz w:val="20"/>
              </w:rPr>
              <w:t>31</w:t>
            </w:r>
          </w:p>
        </w:tc>
      </w:tr>
      <w:tr>
        <w:tc>
          <w:tcPr>
            <w:tcW w:type="dxa" w:w="2160"/>
          </w:tcPr>
          <w:p>
            <w:pPr>
              <w:spacing w:line="276" w:lineRule="auto" w:after="40"/>
            </w:pPr>
            <w:r>
              <w:rPr>
                <w:rFonts w:ascii="Times New Roman" w:hAnsi="Times New Roman"/>
                <w:b/>
                <w:sz w:val="20"/>
              </w:rPr>
              <w:t>Fig. 3.2</w:t>
            </w:r>
          </w:p>
        </w:tc>
        <w:tc>
          <w:tcPr>
            <w:tcW w:type="dxa" w:w="5400"/>
          </w:tcPr>
          <w:p>
            <w:pPr>
              <w:spacing w:line="276" w:lineRule="auto" w:after="40"/>
            </w:pPr>
            <w:r>
              <w:rPr>
                <w:rFonts w:ascii="Times New Roman" w:hAnsi="Times New Roman"/>
                <w:sz w:val="20"/>
              </w:rPr>
              <w:t>Analytical Pipeline for Rotation-Invariant minAreaRect Fitting and Directional Anisotropy</w:t>
            </w:r>
          </w:p>
        </w:tc>
        <w:tc>
          <w:tcPr>
            <w:tcW w:type="dxa" w:w="1080"/>
          </w:tcPr>
          <w:p>
            <w:pPr>
              <w:spacing w:line="276" w:lineRule="auto" w:after="40"/>
              <w:jc w:val="right"/>
            </w:pPr>
            <w:r>
              <w:rPr>
                <w:rFonts w:ascii="Times New Roman" w:hAnsi="Times New Roman"/>
                <w:sz w:val="20"/>
              </w:rPr>
              <w:t>34</w:t>
            </w:r>
          </w:p>
        </w:tc>
      </w:tr>
      <w:tr>
        <w:tc>
          <w:tcPr>
            <w:tcW w:type="dxa" w:w="2160"/>
          </w:tcPr>
          <w:p>
            <w:pPr>
              <w:spacing w:line="276" w:lineRule="auto" w:after="40"/>
            </w:pPr>
            <w:r>
              <w:rPr>
                <w:rFonts w:ascii="Times New Roman" w:hAnsi="Times New Roman"/>
                <w:b/>
                <w:sz w:val="20"/>
              </w:rPr>
              <w:t>Fig. 3.3</w:t>
            </w:r>
          </w:p>
        </w:tc>
        <w:tc>
          <w:tcPr>
            <w:tcW w:type="dxa" w:w="5400"/>
          </w:tcPr>
          <w:p>
            <w:pPr>
              <w:spacing w:line="276" w:lineRule="auto" w:after="40"/>
            </w:pPr>
            <w:r>
              <w:rPr>
                <w:rFonts w:ascii="Times New Roman" w:hAnsi="Times New Roman"/>
                <w:sz w:val="20"/>
              </w:rPr>
              <w:t>Multimodal Saliency Map Generation via Grad-CAM Gradient Weighting</w:t>
            </w:r>
          </w:p>
        </w:tc>
        <w:tc>
          <w:tcPr>
            <w:tcW w:type="dxa" w:w="1080"/>
          </w:tcPr>
          <w:p>
            <w:pPr>
              <w:spacing w:line="276" w:lineRule="auto" w:after="40"/>
              <w:jc w:val="right"/>
            </w:pPr>
            <w:r>
              <w:rPr>
                <w:rFonts w:ascii="Times New Roman" w:hAnsi="Times New Roman"/>
                <w:sz w:val="20"/>
              </w:rPr>
              <w:t>37</w:t>
            </w:r>
          </w:p>
        </w:tc>
      </w:tr>
      <w:tr>
        <w:tc>
          <w:tcPr>
            <w:tcW w:type="dxa" w:w="2160"/>
          </w:tcPr>
          <w:p>
            <w:pPr>
              <w:spacing w:line="276" w:lineRule="auto" w:after="40"/>
            </w:pPr>
            <w:r>
              <w:rPr>
                <w:rFonts w:ascii="Times New Roman" w:hAnsi="Times New Roman"/>
                <w:b/>
                <w:sz w:val="20"/>
              </w:rPr>
              <w:t>Fig. 3.4</w:t>
            </w:r>
          </w:p>
        </w:tc>
        <w:tc>
          <w:tcPr>
            <w:tcW w:type="dxa" w:w="5400"/>
          </w:tcPr>
          <w:p>
            <w:pPr>
              <w:spacing w:line="276" w:lineRule="auto" w:after="40"/>
            </w:pPr>
            <w:r>
              <w:rPr>
                <w:rFonts w:ascii="Times New Roman" w:hAnsi="Times New Roman"/>
                <w:sz w:val="20"/>
              </w:rPr>
              <w:t>Sentinel-2 Multi-Spectral Band Radiometry and Spatial Micro-Plot Raster Discretization</w:t>
            </w:r>
          </w:p>
        </w:tc>
        <w:tc>
          <w:tcPr>
            <w:tcW w:type="dxa" w:w="1080"/>
          </w:tcPr>
          <w:p>
            <w:pPr>
              <w:spacing w:line="276" w:lineRule="auto" w:after="40"/>
              <w:jc w:val="right"/>
            </w:pPr>
            <w:r>
              <w:rPr>
                <w:rFonts w:ascii="Times New Roman" w:hAnsi="Times New Roman"/>
                <w:sz w:val="20"/>
              </w:rPr>
              <w:t>40</w:t>
            </w:r>
          </w:p>
        </w:tc>
      </w:tr>
      <w:tr>
        <w:tc>
          <w:tcPr>
            <w:tcW w:type="dxa" w:w="2160"/>
          </w:tcPr>
          <w:p>
            <w:pPr>
              <w:spacing w:line="276" w:lineRule="auto" w:after="40"/>
            </w:pPr>
            <w:r>
              <w:rPr>
                <w:rFonts w:ascii="Times New Roman" w:hAnsi="Times New Roman"/>
                <w:b/>
                <w:sz w:val="20"/>
              </w:rPr>
              <w:t>Fig. 3.5</w:t>
            </w:r>
          </w:p>
        </w:tc>
        <w:tc>
          <w:tcPr>
            <w:tcW w:type="dxa" w:w="5400"/>
          </w:tcPr>
          <w:p>
            <w:pPr>
              <w:spacing w:line="276" w:lineRule="auto" w:after="40"/>
            </w:pPr>
            <w:r>
              <w:rPr>
                <w:rFonts w:ascii="Times New Roman" w:hAnsi="Times New Roman"/>
                <w:sz w:val="20"/>
              </w:rPr>
              <w:t>Psychrometric Delta-T Evaporative Dynamics and 48-Hour Hourly Spray Decision Surface</w:t>
            </w:r>
          </w:p>
        </w:tc>
        <w:tc>
          <w:tcPr>
            <w:tcW w:type="dxa" w:w="1080"/>
          </w:tcPr>
          <w:p>
            <w:pPr>
              <w:spacing w:line="276" w:lineRule="auto" w:after="40"/>
              <w:jc w:val="right"/>
            </w:pPr>
            <w:r>
              <w:rPr>
                <w:rFonts w:ascii="Times New Roman" w:hAnsi="Times New Roman"/>
                <w:sz w:val="20"/>
              </w:rPr>
              <w:t>43</w:t>
            </w:r>
          </w:p>
        </w:tc>
      </w:tr>
      <w:tr>
        <w:tc>
          <w:tcPr>
            <w:tcW w:type="dxa" w:w="2160"/>
          </w:tcPr>
          <w:p>
            <w:pPr>
              <w:spacing w:line="276" w:lineRule="auto" w:after="40"/>
            </w:pPr>
            <w:r>
              <w:rPr>
                <w:rFonts w:ascii="Times New Roman" w:hAnsi="Times New Roman"/>
                <w:b/>
                <w:sz w:val="20"/>
              </w:rPr>
              <w:t>Fig. 3.6</w:t>
            </w:r>
          </w:p>
        </w:tc>
        <w:tc>
          <w:tcPr>
            <w:tcW w:type="dxa" w:w="5400"/>
          </w:tcPr>
          <w:p>
            <w:pPr>
              <w:spacing w:line="276" w:lineRule="auto" w:after="40"/>
            </w:pPr>
            <w:r>
              <w:rPr>
                <w:rFonts w:ascii="Times New Roman" w:hAnsi="Times New Roman"/>
                <w:sz w:val="20"/>
              </w:rPr>
              <w:t>Omnichannel Messaging Architecture Linking Farmers via WhatsApp and Edge WebAssembly</w:t>
            </w:r>
          </w:p>
        </w:tc>
        <w:tc>
          <w:tcPr>
            <w:tcW w:type="dxa" w:w="1080"/>
          </w:tcPr>
          <w:p>
            <w:pPr>
              <w:spacing w:line="276" w:lineRule="auto" w:after="40"/>
              <w:jc w:val="right"/>
            </w:pPr>
            <w:r>
              <w:rPr>
                <w:rFonts w:ascii="Times New Roman" w:hAnsi="Times New Roman"/>
                <w:sz w:val="20"/>
              </w:rPr>
              <w:t>46</w:t>
            </w:r>
          </w:p>
        </w:tc>
      </w:tr>
      <w:tr>
        <w:tc>
          <w:tcPr>
            <w:tcW w:type="dxa" w:w="2160"/>
          </w:tcPr>
          <w:p>
            <w:pPr>
              <w:spacing w:line="276" w:lineRule="auto" w:after="40"/>
            </w:pPr>
            <w:r>
              <w:rPr>
                <w:rFonts w:ascii="Times New Roman" w:hAnsi="Times New Roman"/>
                <w:b/>
                <w:sz w:val="20"/>
              </w:rPr>
              <w:t>Fig. 4.1</w:t>
            </w:r>
          </w:p>
        </w:tc>
        <w:tc>
          <w:tcPr>
            <w:tcW w:type="dxa" w:w="5400"/>
          </w:tcPr>
          <w:p>
            <w:pPr>
              <w:spacing w:line="276" w:lineRule="auto" w:after="40"/>
            </w:pPr>
            <w:r>
              <w:rPr>
                <w:rFonts w:ascii="Times New Roman" w:hAnsi="Times New Roman"/>
                <w:sz w:val="20"/>
              </w:rPr>
              <w:t>Architectural Micro-Topology of the Inverted Residual Bottleneck in MobileNetV3-Small</w:t>
            </w:r>
          </w:p>
        </w:tc>
        <w:tc>
          <w:tcPr>
            <w:tcW w:type="dxa" w:w="1080"/>
          </w:tcPr>
          <w:p>
            <w:pPr>
              <w:spacing w:line="276" w:lineRule="auto" w:after="40"/>
              <w:jc w:val="right"/>
            </w:pPr>
            <w:r>
              <w:rPr>
                <w:rFonts w:ascii="Times New Roman" w:hAnsi="Times New Roman"/>
                <w:sz w:val="20"/>
              </w:rPr>
              <w:t>51</w:t>
            </w:r>
          </w:p>
        </w:tc>
      </w:tr>
      <w:tr>
        <w:tc>
          <w:tcPr>
            <w:tcW w:type="dxa" w:w="2160"/>
          </w:tcPr>
          <w:p>
            <w:pPr>
              <w:spacing w:line="276" w:lineRule="auto" w:after="40"/>
            </w:pPr>
            <w:r>
              <w:rPr>
                <w:rFonts w:ascii="Times New Roman" w:hAnsi="Times New Roman"/>
                <w:b/>
                <w:sz w:val="20"/>
              </w:rPr>
              <w:t>Fig. 4.2</w:t>
            </w:r>
          </w:p>
        </w:tc>
        <w:tc>
          <w:tcPr>
            <w:tcW w:type="dxa" w:w="5400"/>
          </w:tcPr>
          <w:p>
            <w:pPr>
              <w:spacing w:line="276" w:lineRule="auto" w:after="40"/>
            </w:pPr>
            <w:r>
              <w:rPr>
                <w:rFonts w:ascii="Times New Roman" w:hAnsi="Times New Roman"/>
                <w:sz w:val="20"/>
              </w:rPr>
              <w:t>Detailed System Flowchart Representing the Hybrid Computer Vision Pipeline</w:t>
            </w:r>
          </w:p>
        </w:tc>
        <w:tc>
          <w:tcPr>
            <w:tcW w:type="dxa" w:w="1080"/>
          </w:tcPr>
          <w:p>
            <w:pPr>
              <w:spacing w:line="276" w:lineRule="auto" w:after="40"/>
              <w:jc w:val="right"/>
            </w:pPr>
            <w:r>
              <w:rPr>
                <w:rFonts w:ascii="Times New Roman" w:hAnsi="Times New Roman"/>
                <w:sz w:val="20"/>
              </w:rPr>
              <w:t>53</w:t>
            </w:r>
          </w:p>
        </w:tc>
      </w:tr>
      <w:tr>
        <w:tc>
          <w:tcPr>
            <w:tcW w:type="dxa" w:w="2160"/>
          </w:tcPr>
          <w:p>
            <w:pPr>
              <w:spacing w:line="276" w:lineRule="auto" w:after="40"/>
            </w:pPr>
            <w:r>
              <w:rPr>
                <w:rFonts w:ascii="Times New Roman" w:hAnsi="Times New Roman"/>
                <w:b/>
                <w:sz w:val="20"/>
              </w:rPr>
              <w:t>Fig. 4.3</w:t>
            </w:r>
          </w:p>
        </w:tc>
        <w:tc>
          <w:tcPr>
            <w:tcW w:type="dxa" w:w="5400"/>
          </w:tcPr>
          <w:p>
            <w:pPr>
              <w:spacing w:line="276" w:lineRule="auto" w:after="40"/>
            </w:pPr>
            <w:r>
              <w:rPr>
                <w:rFonts w:ascii="Times New Roman" w:hAnsi="Times New Roman"/>
                <w:sz w:val="20"/>
              </w:rPr>
              <w:t>Flowchart of Grad-CAM Visual Heatmap Synthesis and Bicubic Upsampling</w:t>
            </w:r>
          </w:p>
        </w:tc>
        <w:tc>
          <w:tcPr>
            <w:tcW w:type="dxa" w:w="1080"/>
          </w:tcPr>
          <w:p>
            <w:pPr>
              <w:spacing w:line="276" w:lineRule="auto" w:after="40"/>
              <w:jc w:val="right"/>
            </w:pPr>
            <w:r>
              <w:rPr>
                <w:rFonts w:ascii="Times New Roman" w:hAnsi="Times New Roman"/>
                <w:sz w:val="20"/>
              </w:rPr>
              <w:t>55</w:t>
            </w:r>
          </w:p>
        </w:tc>
      </w:tr>
      <w:tr>
        <w:tc>
          <w:tcPr>
            <w:tcW w:type="dxa" w:w="2160"/>
          </w:tcPr>
          <w:p>
            <w:pPr>
              <w:spacing w:line="276" w:lineRule="auto" w:after="40"/>
            </w:pPr>
            <w:r>
              <w:rPr>
                <w:rFonts w:ascii="Times New Roman" w:hAnsi="Times New Roman"/>
                <w:b/>
                <w:sz w:val="20"/>
              </w:rPr>
              <w:t>Fig. 4.4</w:t>
            </w:r>
          </w:p>
        </w:tc>
        <w:tc>
          <w:tcPr>
            <w:tcW w:type="dxa" w:w="5400"/>
          </w:tcPr>
          <w:p>
            <w:pPr>
              <w:spacing w:line="276" w:lineRule="auto" w:after="40"/>
            </w:pPr>
            <w:r>
              <w:rPr>
                <w:rFonts w:ascii="Times New Roman" w:hAnsi="Times New Roman"/>
                <w:sz w:val="20"/>
              </w:rPr>
              <w:t>Adaptive Otsu Binarization and HSV Tissue Segmentation Execution Flow</w:t>
            </w:r>
          </w:p>
        </w:tc>
        <w:tc>
          <w:tcPr>
            <w:tcW w:type="dxa" w:w="1080"/>
          </w:tcPr>
          <w:p>
            <w:pPr>
              <w:spacing w:line="276" w:lineRule="auto" w:after="40"/>
              <w:jc w:val="right"/>
            </w:pPr>
            <w:r>
              <w:rPr>
                <w:rFonts w:ascii="Times New Roman" w:hAnsi="Times New Roman"/>
                <w:sz w:val="20"/>
              </w:rPr>
              <w:t>57</w:t>
            </w:r>
          </w:p>
        </w:tc>
      </w:tr>
      <w:tr>
        <w:tc>
          <w:tcPr>
            <w:tcW w:type="dxa" w:w="2160"/>
          </w:tcPr>
          <w:p>
            <w:pPr>
              <w:spacing w:line="276" w:lineRule="auto" w:after="40"/>
            </w:pPr>
            <w:r>
              <w:rPr>
                <w:rFonts w:ascii="Times New Roman" w:hAnsi="Times New Roman"/>
                <w:b/>
                <w:sz w:val="20"/>
              </w:rPr>
              <w:t>Fig. 4.5</w:t>
            </w:r>
          </w:p>
        </w:tc>
        <w:tc>
          <w:tcPr>
            <w:tcW w:type="dxa" w:w="5400"/>
          </w:tcPr>
          <w:p>
            <w:pPr>
              <w:spacing w:line="276" w:lineRule="auto" w:after="40"/>
            </w:pPr>
            <w:r>
              <w:rPr>
                <w:rFonts w:ascii="Times New Roman" w:hAnsi="Times New Roman"/>
                <w:sz w:val="20"/>
              </w:rPr>
              <w:t>Variable-Rate Application (VRA) Multi-Zone Nitrogen Optimization Engine Flowchart</w:t>
            </w:r>
          </w:p>
        </w:tc>
        <w:tc>
          <w:tcPr>
            <w:tcW w:type="dxa" w:w="1080"/>
          </w:tcPr>
          <w:p>
            <w:pPr>
              <w:spacing w:line="276" w:lineRule="auto" w:after="40"/>
              <w:jc w:val="right"/>
            </w:pPr>
            <w:r>
              <w:rPr>
                <w:rFonts w:ascii="Times New Roman" w:hAnsi="Times New Roman"/>
                <w:sz w:val="20"/>
              </w:rPr>
              <w:t>59</w:t>
            </w:r>
          </w:p>
        </w:tc>
      </w:tr>
      <w:tr>
        <w:tc>
          <w:tcPr>
            <w:tcW w:type="dxa" w:w="2160"/>
          </w:tcPr>
          <w:p>
            <w:pPr>
              <w:spacing w:line="276" w:lineRule="auto" w:after="40"/>
            </w:pPr>
            <w:r>
              <w:rPr>
                <w:rFonts w:ascii="Times New Roman" w:hAnsi="Times New Roman"/>
                <w:b/>
                <w:sz w:val="20"/>
              </w:rPr>
              <w:t>Fig. 4.6</w:t>
            </w:r>
          </w:p>
        </w:tc>
        <w:tc>
          <w:tcPr>
            <w:tcW w:type="dxa" w:w="5400"/>
          </w:tcPr>
          <w:p>
            <w:pPr>
              <w:spacing w:line="276" w:lineRule="auto" w:after="40"/>
            </w:pPr>
            <w:r>
              <w:rPr>
                <w:rFonts w:ascii="Times New Roman" w:hAnsi="Times New Roman"/>
                <w:sz w:val="20"/>
              </w:rPr>
              <w:t>Psychrometric State Machine for Chemical Spray Window Feasibility Determination</w:t>
            </w:r>
          </w:p>
        </w:tc>
        <w:tc>
          <w:tcPr>
            <w:tcW w:type="dxa" w:w="1080"/>
          </w:tcPr>
          <w:p>
            <w:pPr>
              <w:spacing w:line="276" w:lineRule="auto" w:after="40"/>
              <w:jc w:val="right"/>
            </w:pPr>
            <w:r>
              <w:rPr>
                <w:rFonts w:ascii="Times New Roman" w:hAnsi="Times New Roman"/>
                <w:sz w:val="20"/>
              </w:rPr>
              <w:t>61</w:t>
            </w:r>
          </w:p>
        </w:tc>
      </w:tr>
      <w:tr>
        <w:tc>
          <w:tcPr>
            <w:tcW w:type="dxa" w:w="2160"/>
          </w:tcPr>
          <w:p>
            <w:pPr>
              <w:spacing w:line="276" w:lineRule="auto" w:after="40"/>
            </w:pPr>
            <w:r>
              <w:rPr>
                <w:rFonts w:ascii="Times New Roman" w:hAnsi="Times New Roman"/>
                <w:b/>
                <w:sz w:val="20"/>
              </w:rPr>
              <w:t>Fig. 5.1</w:t>
            </w:r>
          </w:p>
        </w:tc>
        <w:tc>
          <w:tcPr>
            <w:tcW w:type="dxa" w:w="5400"/>
          </w:tcPr>
          <w:p>
            <w:pPr>
              <w:spacing w:line="276" w:lineRule="auto" w:after="40"/>
            </w:pPr>
            <w:r>
              <w:rPr>
                <w:rFonts w:ascii="Times New Roman" w:hAnsi="Times New Roman"/>
                <w:sz w:val="20"/>
              </w:rPr>
              <w:t>Confusion Matrix Across 67 Phytopathological Classes Indicating Classification Fidelity</w:t>
            </w:r>
          </w:p>
        </w:tc>
        <w:tc>
          <w:tcPr>
            <w:tcW w:type="dxa" w:w="1080"/>
          </w:tcPr>
          <w:p>
            <w:pPr>
              <w:spacing w:line="276" w:lineRule="auto" w:after="40"/>
              <w:jc w:val="right"/>
            </w:pPr>
            <w:r>
              <w:rPr>
                <w:rFonts w:ascii="Times New Roman" w:hAnsi="Times New Roman"/>
                <w:sz w:val="20"/>
              </w:rPr>
              <w:t>68</w:t>
            </w:r>
          </w:p>
        </w:tc>
      </w:tr>
      <w:tr>
        <w:tc>
          <w:tcPr>
            <w:tcW w:type="dxa" w:w="2160"/>
          </w:tcPr>
          <w:p>
            <w:pPr>
              <w:spacing w:line="276" w:lineRule="auto" w:after="40"/>
            </w:pPr>
            <w:r>
              <w:rPr>
                <w:rFonts w:ascii="Times New Roman" w:hAnsi="Times New Roman"/>
                <w:b/>
                <w:sz w:val="20"/>
              </w:rPr>
              <w:t>Fig. 5.2</w:t>
            </w:r>
          </w:p>
        </w:tc>
        <w:tc>
          <w:tcPr>
            <w:tcW w:type="dxa" w:w="5400"/>
          </w:tcPr>
          <w:p>
            <w:pPr>
              <w:spacing w:line="276" w:lineRule="auto" w:after="40"/>
            </w:pPr>
            <w:r>
              <w:rPr>
                <w:rFonts w:ascii="Times New Roman" w:hAnsi="Times New Roman"/>
                <w:sz w:val="20"/>
              </w:rPr>
              <w:t>Receiver Operating Characteristic (ROC) Curves Across Major Agricultural Crop Families</w:t>
            </w:r>
          </w:p>
        </w:tc>
        <w:tc>
          <w:tcPr>
            <w:tcW w:type="dxa" w:w="1080"/>
          </w:tcPr>
          <w:p>
            <w:pPr>
              <w:spacing w:line="276" w:lineRule="auto" w:after="40"/>
              <w:jc w:val="right"/>
            </w:pPr>
            <w:r>
              <w:rPr>
                <w:rFonts w:ascii="Times New Roman" w:hAnsi="Times New Roman"/>
                <w:sz w:val="20"/>
              </w:rPr>
              <w:t>69</w:t>
            </w:r>
          </w:p>
        </w:tc>
      </w:tr>
      <w:tr>
        <w:tc>
          <w:tcPr>
            <w:tcW w:type="dxa" w:w="2160"/>
          </w:tcPr>
          <w:p>
            <w:pPr>
              <w:spacing w:line="276" w:lineRule="auto" w:after="40"/>
            </w:pPr>
            <w:r>
              <w:rPr>
                <w:rFonts w:ascii="Times New Roman" w:hAnsi="Times New Roman"/>
                <w:b/>
                <w:sz w:val="20"/>
              </w:rPr>
              <w:t>Fig. 5.3</w:t>
            </w:r>
          </w:p>
        </w:tc>
        <w:tc>
          <w:tcPr>
            <w:tcW w:type="dxa" w:w="5400"/>
          </w:tcPr>
          <w:p>
            <w:pPr>
              <w:spacing w:line="276" w:lineRule="auto" w:after="40"/>
            </w:pPr>
            <w:r>
              <w:rPr>
                <w:rFonts w:ascii="Times New Roman" w:hAnsi="Times New Roman"/>
                <w:sz w:val="20"/>
              </w:rPr>
              <w:t>Orientation Variance Degradation Curve Comparing Baseline CNN vs. AgroAI Morphology</w:t>
            </w:r>
          </w:p>
        </w:tc>
        <w:tc>
          <w:tcPr>
            <w:tcW w:type="dxa" w:w="1080"/>
          </w:tcPr>
          <w:p>
            <w:pPr>
              <w:spacing w:line="276" w:lineRule="auto" w:after="40"/>
              <w:jc w:val="right"/>
            </w:pPr>
            <w:r>
              <w:rPr>
                <w:rFonts w:ascii="Times New Roman" w:hAnsi="Times New Roman"/>
                <w:sz w:val="20"/>
              </w:rPr>
              <w:t>71</w:t>
            </w:r>
          </w:p>
        </w:tc>
      </w:tr>
      <w:tr>
        <w:tc>
          <w:tcPr>
            <w:tcW w:type="dxa" w:w="2160"/>
          </w:tcPr>
          <w:p>
            <w:pPr>
              <w:spacing w:line="276" w:lineRule="auto" w:after="40"/>
            </w:pPr>
            <w:r>
              <w:rPr>
                <w:rFonts w:ascii="Times New Roman" w:hAnsi="Times New Roman"/>
                <w:b/>
                <w:sz w:val="20"/>
              </w:rPr>
              <w:t>Fig. 5.4</w:t>
            </w:r>
          </w:p>
        </w:tc>
        <w:tc>
          <w:tcPr>
            <w:tcW w:type="dxa" w:w="5400"/>
          </w:tcPr>
          <w:p>
            <w:pPr>
              <w:spacing w:line="276" w:lineRule="auto" w:after="40"/>
            </w:pPr>
            <w:r>
              <w:rPr>
                <w:rFonts w:ascii="Times New Roman" w:hAnsi="Times New Roman"/>
                <w:sz w:val="20"/>
              </w:rPr>
              <w:t>Grad-CAM Heatmap Localization Verification on Wheat Yellow Rust and Tomato Late Blight</w:t>
            </w:r>
          </w:p>
        </w:tc>
        <w:tc>
          <w:tcPr>
            <w:tcW w:type="dxa" w:w="1080"/>
          </w:tcPr>
          <w:p>
            <w:pPr>
              <w:spacing w:line="276" w:lineRule="auto" w:after="40"/>
              <w:jc w:val="right"/>
            </w:pPr>
            <w:r>
              <w:rPr>
                <w:rFonts w:ascii="Times New Roman" w:hAnsi="Times New Roman"/>
                <w:sz w:val="20"/>
              </w:rPr>
              <w:t>75</w:t>
            </w:r>
          </w:p>
        </w:tc>
      </w:tr>
      <w:tr>
        <w:tc>
          <w:tcPr>
            <w:tcW w:type="dxa" w:w="2160"/>
          </w:tcPr>
          <w:p>
            <w:pPr>
              <w:spacing w:line="276" w:lineRule="auto" w:after="40"/>
            </w:pPr>
            <w:r>
              <w:rPr>
                <w:rFonts w:ascii="Times New Roman" w:hAnsi="Times New Roman"/>
                <w:b/>
                <w:sz w:val="20"/>
              </w:rPr>
              <w:t>Fig. 5.5</w:t>
            </w:r>
          </w:p>
        </w:tc>
        <w:tc>
          <w:tcPr>
            <w:tcW w:type="dxa" w:w="5400"/>
          </w:tcPr>
          <w:p>
            <w:pPr>
              <w:spacing w:line="276" w:lineRule="auto" w:after="40"/>
            </w:pPr>
            <w:r>
              <w:rPr>
                <w:rFonts w:ascii="Times New Roman" w:hAnsi="Times New Roman"/>
                <w:sz w:val="20"/>
              </w:rPr>
              <w:t>Foliar Tissue Severity Quantification Correlation Between Expert Agronomists and AgroAI</w:t>
            </w:r>
          </w:p>
        </w:tc>
        <w:tc>
          <w:tcPr>
            <w:tcW w:type="dxa" w:w="1080"/>
          </w:tcPr>
          <w:p>
            <w:pPr>
              <w:spacing w:line="276" w:lineRule="auto" w:after="40"/>
              <w:jc w:val="right"/>
            </w:pPr>
            <w:r>
              <w:rPr>
                <w:rFonts w:ascii="Times New Roman" w:hAnsi="Times New Roman"/>
                <w:sz w:val="20"/>
              </w:rPr>
              <w:t>78</w:t>
            </w:r>
          </w:p>
        </w:tc>
      </w:tr>
      <w:tr>
        <w:tc>
          <w:tcPr>
            <w:tcW w:type="dxa" w:w="2160"/>
          </w:tcPr>
          <w:p>
            <w:pPr>
              <w:spacing w:line="276" w:lineRule="auto" w:after="40"/>
            </w:pPr>
            <w:r>
              <w:rPr>
                <w:rFonts w:ascii="Times New Roman" w:hAnsi="Times New Roman"/>
                <w:b/>
                <w:sz w:val="20"/>
              </w:rPr>
              <w:t>Fig. 5.6</w:t>
            </w:r>
          </w:p>
        </w:tc>
        <w:tc>
          <w:tcPr>
            <w:tcW w:type="dxa" w:w="5400"/>
          </w:tcPr>
          <w:p>
            <w:pPr>
              <w:spacing w:line="276" w:lineRule="auto" w:after="40"/>
            </w:pPr>
            <w:r>
              <w:rPr>
                <w:rFonts w:ascii="Times New Roman" w:hAnsi="Times New Roman"/>
                <w:sz w:val="20"/>
              </w:rPr>
              <w:t>Spatial False-Color NDVI Vigor Map and Variable-Rate Urea Prescription Map (Punjab Farm)</w:t>
            </w:r>
          </w:p>
        </w:tc>
        <w:tc>
          <w:tcPr>
            <w:tcW w:type="dxa" w:w="1080"/>
          </w:tcPr>
          <w:p>
            <w:pPr>
              <w:spacing w:line="276" w:lineRule="auto" w:after="40"/>
              <w:jc w:val="right"/>
            </w:pPr>
            <w:r>
              <w:rPr>
                <w:rFonts w:ascii="Times New Roman" w:hAnsi="Times New Roman"/>
                <w:sz w:val="20"/>
              </w:rPr>
              <w:t>81</w:t>
            </w:r>
          </w:p>
        </w:tc>
      </w:tr>
      <w:tr>
        <w:tc>
          <w:tcPr>
            <w:tcW w:type="dxa" w:w="2160"/>
          </w:tcPr>
          <w:p>
            <w:pPr>
              <w:spacing w:line="276" w:lineRule="auto" w:after="40"/>
            </w:pPr>
            <w:r>
              <w:rPr>
                <w:rFonts w:ascii="Times New Roman" w:hAnsi="Times New Roman"/>
                <w:b/>
                <w:sz w:val="20"/>
              </w:rPr>
              <w:t>Fig. 5.7</w:t>
            </w:r>
          </w:p>
        </w:tc>
        <w:tc>
          <w:tcPr>
            <w:tcW w:type="dxa" w:w="5400"/>
          </w:tcPr>
          <w:p>
            <w:pPr>
              <w:spacing w:line="276" w:lineRule="auto" w:after="40"/>
            </w:pPr>
            <w:r>
              <w:rPr>
                <w:rFonts w:ascii="Times New Roman" w:hAnsi="Times New Roman"/>
                <w:sz w:val="20"/>
              </w:rPr>
              <w:t>Multi-Temporal 180-Day Vegetative Phenology Growth Trajectory Across Crop Stages</w:t>
            </w:r>
          </w:p>
        </w:tc>
        <w:tc>
          <w:tcPr>
            <w:tcW w:type="dxa" w:w="1080"/>
          </w:tcPr>
          <w:p>
            <w:pPr>
              <w:spacing w:line="276" w:lineRule="auto" w:after="40"/>
              <w:jc w:val="right"/>
            </w:pPr>
            <w:r>
              <w:rPr>
                <w:rFonts w:ascii="Times New Roman" w:hAnsi="Times New Roman"/>
                <w:sz w:val="20"/>
              </w:rPr>
              <w:t>82</w:t>
            </w:r>
          </w:p>
        </w:tc>
      </w:tr>
      <w:tr>
        <w:tc>
          <w:tcPr>
            <w:tcW w:type="dxa" w:w="2160"/>
          </w:tcPr>
          <w:p>
            <w:pPr>
              <w:spacing w:line="276" w:lineRule="auto" w:after="40"/>
            </w:pPr>
            <w:r>
              <w:rPr>
                <w:rFonts w:ascii="Times New Roman" w:hAnsi="Times New Roman"/>
                <w:b/>
                <w:sz w:val="20"/>
              </w:rPr>
              <w:t>Fig. 5.8</w:t>
            </w:r>
          </w:p>
        </w:tc>
        <w:tc>
          <w:tcPr>
            <w:tcW w:type="dxa" w:w="5400"/>
          </w:tcPr>
          <w:p>
            <w:pPr>
              <w:spacing w:line="276" w:lineRule="auto" w:after="40"/>
            </w:pPr>
            <w:r>
              <w:rPr>
                <w:rFonts w:ascii="Times New Roman" w:hAnsi="Times New Roman"/>
                <w:sz w:val="20"/>
              </w:rPr>
              <w:t>Psychrometric Delta-T and Wind Drift Risk Timeline Across Three Global Agricultural Hubs</w:t>
            </w:r>
          </w:p>
        </w:tc>
        <w:tc>
          <w:tcPr>
            <w:tcW w:type="dxa" w:w="1080"/>
          </w:tcPr>
          <w:p>
            <w:pPr>
              <w:spacing w:line="276" w:lineRule="auto" w:after="40"/>
              <w:jc w:val="right"/>
            </w:pPr>
            <w:r>
              <w:rPr>
                <w:rFonts w:ascii="Times New Roman" w:hAnsi="Times New Roman"/>
                <w:sz w:val="20"/>
              </w:rPr>
              <w:t>84</w:t>
            </w:r>
          </w:p>
        </w:tc>
      </w:tr>
      <w:tr>
        <w:tc>
          <w:tcPr>
            <w:tcW w:type="dxa" w:w="2160"/>
          </w:tcPr>
          <w:p>
            <w:pPr>
              <w:spacing w:line="276" w:lineRule="auto" w:after="40"/>
            </w:pPr>
            <w:r>
              <w:rPr>
                <w:rFonts w:ascii="Times New Roman" w:hAnsi="Times New Roman"/>
                <w:b/>
                <w:sz w:val="20"/>
              </w:rPr>
              <w:t>Fig. 5.9</w:t>
            </w:r>
          </w:p>
        </w:tc>
        <w:tc>
          <w:tcPr>
            <w:tcW w:type="dxa" w:w="5400"/>
          </w:tcPr>
          <w:p>
            <w:pPr>
              <w:spacing w:line="276" w:lineRule="auto" w:after="40"/>
            </w:pPr>
            <w:r>
              <w:rPr>
                <w:rFonts w:ascii="Times New Roman" w:hAnsi="Times New Roman"/>
                <w:sz w:val="20"/>
              </w:rPr>
              <w:t>Continuous Retraining Loss Convergence and Validation Benchmark Trajectory Across Epochs</w:t>
            </w:r>
          </w:p>
        </w:tc>
        <w:tc>
          <w:tcPr>
            <w:tcW w:type="dxa" w:w="1080"/>
          </w:tcPr>
          <w:p>
            <w:pPr>
              <w:spacing w:line="276" w:lineRule="auto" w:after="40"/>
              <w:jc w:val="right"/>
            </w:pPr>
            <w:r>
              <w:rPr>
                <w:rFonts w:ascii="Times New Roman" w:hAnsi="Times New Roman"/>
                <w:sz w:val="20"/>
              </w:rPr>
              <w:t>87</w:t>
            </w:r>
          </w:p>
        </w:tc>
      </w:tr>
    </w:tbl>
    <w:p>
      <w:r>
        <w:br w:type="page"/>
      </w:r>
    </w:p>
    <w:p>
      <w:pPr>
        <w:spacing w:before="560" w:after="480" w:line="360" w:lineRule="auto"/>
        <w:jc w:val="center"/>
      </w:pPr>
      <w:r>
        <w:rPr>
          <w:rFonts w:ascii="Times New Roman" w:hAnsi="Times New Roman"/>
          <w:b/>
          <w:sz w:val="32"/>
        </w:rPr>
        <w:t>LIST OF TABLES</w:t>
      </w:r>
    </w:p>
    <w:tbl>
      <w:tblPr>
        <w:tblW w:type="auto" w:w="0"/>
        <w:jc w:val="center"/>
        <w:tblLayout w:type="fixed"/>
        <w:tblLook w:firstColumn="1" w:firstRow="1" w:lastColumn="0" w:lastRow="0" w:noHBand="0" w:noVBand="1" w:val="04A0"/>
      </w:tblPr>
      <w:tblGrid>
        <w:gridCol w:w="2760"/>
        <w:gridCol w:w="2760"/>
        <w:gridCol w:w="2760"/>
      </w:tblGrid>
      <w:tr>
        <w:tc>
          <w:tcPr>
            <w:tcW w:type="dxa" w:w="2160"/>
            <w:shd w:fill="F0F0F0"/>
          </w:tcPr>
          <w:p>
            <w:pPr>
              <w:spacing w:line="276" w:lineRule="auto" w:after="60"/>
              <w:jc w:val="center"/>
            </w:pPr>
            <w:r>
              <w:rPr>
                <w:rFonts w:ascii="Times New Roman" w:hAnsi="Times New Roman"/>
                <w:b/>
                <w:sz w:val="22"/>
              </w:rPr>
              <w:t>Table No.</w:t>
            </w:r>
          </w:p>
        </w:tc>
        <w:tc>
          <w:tcPr>
            <w:tcW w:type="dxa" w:w="5400"/>
            <w:shd w:fill="F0F0F0"/>
          </w:tcPr>
          <w:p>
            <w:pPr>
              <w:spacing w:line="276" w:lineRule="auto" w:after="60"/>
              <w:jc w:val="left"/>
            </w:pPr>
            <w:r>
              <w:rPr>
                <w:rFonts w:ascii="Times New Roman" w:hAnsi="Times New Roman"/>
                <w:b/>
                <w:sz w:val="22"/>
              </w:rPr>
              <w:t>Description</w:t>
            </w:r>
          </w:p>
        </w:tc>
        <w:tc>
          <w:tcPr>
            <w:tcW w:type="dxa" w:w="1080"/>
            <w:shd w:fill="F0F0F0"/>
          </w:tcPr>
          <w:p>
            <w:pPr>
              <w:spacing w:line="276" w:lineRule="auto" w:after="60"/>
              <w:jc w:val="center"/>
            </w:pPr>
            <w:r>
              <w:rPr>
                <w:rFonts w:ascii="Times New Roman" w:hAnsi="Times New Roman"/>
                <w:b/>
                <w:sz w:val="22"/>
              </w:rPr>
              <w:t>Page No.</w:t>
            </w:r>
          </w:p>
        </w:tc>
      </w:tr>
      <w:tr>
        <w:tc>
          <w:tcPr>
            <w:tcW w:type="dxa" w:w="2160"/>
          </w:tcPr>
          <w:p>
            <w:pPr>
              <w:spacing w:line="276" w:lineRule="auto" w:after="40"/>
            </w:pPr>
            <w:r>
              <w:rPr>
                <w:rFonts w:ascii="Times New Roman" w:hAnsi="Times New Roman"/>
                <w:b/>
                <w:sz w:val="20"/>
              </w:rPr>
              <w:t>Table 1.1</w:t>
            </w:r>
          </w:p>
        </w:tc>
        <w:tc>
          <w:tcPr>
            <w:tcW w:type="dxa" w:w="5400"/>
          </w:tcPr>
          <w:p>
            <w:pPr>
              <w:spacing w:line="276" w:lineRule="auto" w:after="40"/>
            </w:pPr>
            <w:r>
              <w:rPr>
                <w:rFonts w:ascii="Times New Roman" w:hAnsi="Times New Roman"/>
                <w:sz w:val="20"/>
              </w:rPr>
              <w:t>Annual Crop Yield Depletion and Economic Valuation of Major Agricultural Pathologies</w:t>
            </w:r>
          </w:p>
        </w:tc>
        <w:tc>
          <w:tcPr>
            <w:tcW w:type="dxa" w:w="1080"/>
          </w:tcPr>
          <w:p>
            <w:pPr>
              <w:spacing w:line="276" w:lineRule="auto" w:after="40"/>
              <w:jc w:val="right"/>
            </w:pPr>
            <w:r>
              <w:rPr>
                <w:rFonts w:ascii="Times New Roman" w:hAnsi="Times New Roman"/>
                <w:sz w:val="20"/>
              </w:rPr>
              <w:t>3</w:t>
            </w:r>
          </w:p>
        </w:tc>
      </w:tr>
      <w:tr>
        <w:tc>
          <w:tcPr>
            <w:tcW w:type="dxa" w:w="2160"/>
          </w:tcPr>
          <w:p>
            <w:pPr>
              <w:spacing w:line="276" w:lineRule="auto" w:after="40"/>
            </w:pPr>
            <w:r>
              <w:rPr>
                <w:rFonts w:ascii="Times New Roman" w:hAnsi="Times New Roman"/>
                <w:b/>
                <w:sz w:val="20"/>
              </w:rPr>
              <w:t>Table 1.2</w:t>
            </w:r>
          </w:p>
        </w:tc>
        <w:tc>
          <w:tcPr>
            <w:tcW w:type="dxa" w:w="5400"/>
          </w:tcPr>
          <w:p>
            <w:pPr>
              <w:spacing w:line="276" w:lineRule="auto" w:after="40"/>
            </w:pPr>
            <w:r>
              <w:rPr>
                <w:rFonts w:ascii="Times New Roman" w:hAnsi="Times New Roman"/>
                <w:sz w:val="20"/>
              </w:rPr>
              <w:t>Comprehensive Taxonomy of Supported Agricultural Crops, Species, and Families</w:t>
            </w:r>
          </w:p>
        </w:tc>
        <w:tc>
          <w:tcPr>
            <w:tcW w:type="dxa" w:w="1080"/>
          </w:tcPr>
          <w:p>
            <w:pPr>
              <w:spacing w:line="276" w:lineRule="auto" w:after="40"/>
              <w:jc w:val="right"/>
            </w:pPr>
            <w:r>
              <w:rPr>
                <w:rFonts w:ascii="Times New Roman" w:hAnsi="Times New Roman"/>
                <w:sz w:val="20"/>
              </w:rPr>
              <w:t>10</w:t>
            </w:r>
          </w:p>
        </w:tc>
      </w:tr>
      <w:tr>
        <w:tc>
          <w:tcPr>
            <w:tcW w:type="dxa" w:w="2160"/>
          </w:tcPr>
          <w:p>
            <w:pPr>
              <w:spacing w:line="276" w:lineRule="auto" w:after="40"/>
            </w:pPr>
            <w:r>
              <w:rPr>
                <w:rFonts w:ascii="Times New Roman" w:hAnsi="Times New Roman"/>
                <w:b/>
                <w:sz w:val="20"/>
              </w:rPr>
              <w:t>Table 2.1</w:t>
            </w:r>
          </w:p>
        </w:tc>
        <w:tc>
          <w:tcPr>
            <w:tcW w:type="dxa" w:w="5400"/>
          </w:tcPr>
          <w:p>
            <w:pPr>
              <w:spacing w:line="276" w:lineRule="auto" w:after="40"/>
            </w:pPr>
            <w:r>
              <w:rPr>
                <w:rFonts w:ascii="Times New Roman" w:hAnsi="Times New Roman"/>
                <w:sz w:val="20"/>
              </w:rPr>
              <w:t>Comparative Synthesis of Existing Deep Learning Plant Disease Classification Frameworks</w:t>
            </w:r>
          </w:p>
        </w:tc>
        <w:tc>
          <w:tcPr>
            <w:tcW w:type="dxa" w:w="1080"/>
          </w:tcPr>
          <w:p>
            <w:pPr>
              <w:spacing w:line="276" w:lineRule="auto" w:after="40"/>
              <w:jc w:val="right"/>
            </w:pPr>
            <w:r>
              <w:rPr>
                <w:rFonts w:ascii="Times New Roman" w:hAnsi="Times New Roman"/>
                <w:sz w:val="20"/>
              </w:rPr>
              <w:t>19</w:t>
            </w:r>
          </w:p>
        </w:tc>
      </w:tr>
      <w:tr>
        <w:tc>
          <w:tcPr>
            <w:tcW w:type="dxa" w:w="2160"/>
          </w:tcPr>
          <w:p>
            <w:pPr>
              <w:spacing w:line="276" w:lineRule="auto" w:after="40"/>
            </w:pPr>
            <w:r>
              <w:rPr>
                <w:rFonts w:ascii="Times New Roman" w:hAnsi="Times New Roman"/>
                <w:b/>
                <w:sz w:val="20"/>
              </w:rPr>
              <w:t>Table 2.2</w:t>
            </w:r>
          </w:p>
        </w:tc>
        <w:tc>
          <w:tcPr>
            <w:tcW w:type="dxa" w:w="5400"/>
          </w:tcPr>
          <w:p>
            <w:pPr>
              <w:spacing w:line="276" w:lineRule="auto" w:after="40"/>
            </w:pPr>
            <w:r>
              <w:rPr>
                <w:rFonts w:ascii="Times New Roman" w:hAnsi="Times New Roman"/>
                <w:sz w:val="20"/>
              </w:rPr>
              <w:t>Review of Multispectral Remote Sensing Indices and Precision Fertilizer Prescriptions</w:t>
            </w:r>
          </w:p>
        </w:tc>
        <w:tc>
          <w:tcPr>
            <w:tcW w:type="dxa" w:w="1080"/>
          </w:tcPr>
          <w:p>
            <w:pPr>
              <w:spacing w:line="276" w:lineRule="auto" w:after="40"/>
              <w:jc w:val="right"/>
            </w:pPr>
            <w:r>
              <w:rPr>
                <w:rFonts w:ascii="Times New Roman" w:hAnsi="Times New Roman"/>
                <w:sz w:val="20"/>
              </w:rPr>
              <w:t>23</w:t>
            </w:r>
          </w:p>
        </w:tc>
      </w:tr>
      <w:tr>
        <w:tc>
          <w:tcPr>
            <w:tcW w:type="dxa" w:w="2160"/>
          </w:tcPr>
          <w:p>
            <w:pPr>
              <w:spacing w:line="276" w:lineRule="auto" w:after="40"/>
            </w:pPr>
            <w:r>
              <w:rPr>
                <w:rFonts w:ascii="Times New Roman" w:hAnsi="Times New Roman"/>
                <w:b/>
                <w:sz w:val="20"/>
              </w:rPr>
              <w:t>Table 3.1</w:t>
            </w:r>
          </w:p>
        </w:tc>
        <w:tc>
          <w:tcPr>
            <w:tcW w:type="dxa" w:w="5400"/>
          </w:tcPr>
          <w:p>
            <w:pPr>
              <w:spacing w:line="276" w:lineRule="auto" w:after="40"/>
            </w:pPr>
            <w:r>
              <w:rPr>
                <w:rFonts w:ascii="Times New Roman" w:hAnsi="Times New Roman"/>
                <w:sz w:val="20"/>
              </w:rPr>
              <w:t>Morphological Feature Space Delineating Monocotyledonous and Dicotyledonous Foliage</w:t>
            </w:r>
          </w:p>
        </w:tc>
        <w:tc>
          <w:tcPr>
            <w:tcW w:type="dxa" w:w="1080"/>
          </w:tcPr>
          <w:p>
            <w:pPr>
              <w:spacing w:line="276" w:lineRule="auto" w:after="40"/>
              <w:jc w:val="right"/>
            </w:pPr>
            <w:r>
              <w:rPr>
                <w:rFonts w:ascii="Times New Roman" w:hAnsi="Times New Roman"/>
                <w:sz w:val="20"/>
              </w:rPr>
              <w:t>35</w:t>
            </w:r>
          </w:p>
        </w:tc>
      </w:tr>
      <w:tr>
        <w:tc>
          <w:tcPr>
            <w:tcW w:type="dxa" w:w="2160"/>
          </w:tcPr>
          <w:p>
            <w:pPr>
              <w:spacing w:line="276" w:lineRule="auto" w:after="40"/>
            </w:pPr>
            <w:r>
              <w:rPr>
                <w:rFonts w:ascii="Times New Roman" w:hAnsi="Times New Roman"/>
                <w:b/>
                <w:sz w:val="20"/>
              </w:rPr>
              <w:t>Table 3.2</w:t>
            </w:r>
          </w:p>
        </w:tc>
        <w:tc>
          <w:tcPr>
            <w:tcW w:type="dxa" w:w="5400"/>
          </w:tcPr>
          <w:p>
            <w:pPr>
              <w:spacing w:line="276" w:lineRule="auto" w:after="40"/>
            </w:pPr>
            <w:r>
              <w:rPr>
                <w:rFonts w:ascii="Times New Roman" w:hAnsi="Times New Roman"/>
                <w:sz w:val="20"/>
              </w:rPr>
              <w:t>Sentinel-2 Multi-Spectral Instrument (MSI) Radiometric Band Characteristics</w:t>
            </w:r>
          </w:p>
        </w:tc>
        <w:tc>
          <w:tcPr>
            <w:tcW w:type="dxa" w:w="1080"/>
          </w:tcPr>
          <w:p>
            <w:pPr>
              <w:spacing w:line="276" w:lineRule="auto" w:after="40"/>
              <w:jc w:val="right"/>
            </w:pPr>
            <w:r>
              <w:rPr>
                <w:rFonts w:ascii="Times New Roman" w:hAnsi="Times New Roman"/>
                <w:sz w:val="20"/>
              </w:rPr>
              <w:t>41</w:t>
            </w:r>
          </w:p>
        </w:tc>
      </w:tr>
      <w:tr>
        <w:tc>
          <w:tcPr>
            <w:tcW w:type="dxa" w:w="2160"/>
          </w:tcPr>
          <w:p>
            <w:pPr>
              <w:spacing w:line="276" w:lineRule="auto" w:after="40"/>
            </w:pPr>
            <w:r>
              <w:rPr>
                <w:rFonts w:ascii="Times New Roman" w:hAnsi="Times New Roman"/>
                <w:b/>
                <w:sz w:val="20"/>
              </w:rPr>
              <w:t>Table 3.3</w:t>
            </w:r>
          </w:p>
        </w:tc>
        <w:tc>
          <w:tcPr>
            <w:tcW w:type="dxa" w:w="5400"/>
          </w:tcPr>
          <w:p>
            <w:pPr>
              <w:spacing w:line="276" w:lineRule="auto" w:after="40"/>
            </w:pPr>
            <w:r>
              <w:rPr>
                <w:rFonts w:ascii="Times New Roman" w:hAnsi="Times New Roman"/>
                <w:sz w:val="20"/>
              </w:rPr>
              <w:t>Chemical Rainfastness Degradation Periods Across Pesticide Formulation Classes</w:t>
            </w:r>
          </w:p>
        </w:tc>
        <w:tc>
          <w:tcPr>
            <w:tcW w:type="dxa" w:w="1080"/>
          </w:tcPr>
          <w:p>
            <w:pPr>
              <w:spacing w:line="276" w:lineRule="auto" w:after="40"/>
              <w:jc w:val="right"/>
            </w:pPr>
            <w:r>
              <w:rPr>
                <w:rFonts w:ascii="Times New Roman" w:hAnsi="Times New Roman"/>
                <w:sz w:val="20"/>
              </w:rPr>
              <w:t>44</w:t>
            </w:r>
          </w:p>
        </w:tc>
      </w:tr>
      <w:tr>
        <w:tc>
          <w:tcPr>
            <w:tcW w:type="dxa" w:w="2160"/>
          </w:tcPr>
          <w:p>
            <w:pPr>
              <w:spacing w:line="276" w:lineRule="auto" w:after="40"/>
            </w:pPr>
            <w:r>
              <w:rPr>
                <w:rFonts w:ascii="Times New Roman" w:hAnsi="Times New Roman"/>
                <w:b/>
                <w:sz w:val="20"/>
              </w:rPr>
              <w:t>Table 4.1</w:t>
            </w:r>
          </w:p>
        </w:tc>
        <w:tc>
          <w:tcPr>
            <w:tcW w:type="dxa" w:w="5400"/>
          </w:tcPr>
          <w:p>
            <w:pPr>
              <w:spacing w:line="276" w:lineRule="auto" w:after="40"/>
            </w:pPr>
            <w:r>
              <w:rPr>
                <w:rFonts w:ascii="Times New Roman" w:hAnsi="Times New Roman"/>
                <w:sz w:val="20"/>
              </w:rPr>
              <w:t>Layer-Wise Architectural Specifications of the Custom MobileNetV3-Small Backbone</w:t>
            </w:r>
          </w:p>
        </w:tc>
        <w:tc>
          <w:tcPr>
            <w:tcW w:type="dxa" w:w="1080"/>
          </w:tcPr>
          <w:p>
            <w:pPr>
              <w:spacing w:line="276" w:lineRule="auto" w:after="40"/>
              <w:jc w:val="right"/>
            </w:pPr>
            <w:r>
              <w:rPr>
                <w:rFonts w:ascii="Times New Roman" w:hAnsi="Times New Roman"/>
                <w:sz w:val="20"/>
              </w:rPr>
              <w:t>50</w:t>
            </w:r>
          </w:p>
        </w:tc>
      </w:tr>
      <w:tr>
        <w:tc>
          <w:tcPr>
            <w:tcW w:type="dxa" w:w="2160"/>
          </w:tcPr>
          <w:p>
            <w:pPr>
              <w:spacing w:line="276" w:lineRule="auto" w:after="40"/>
            </w:pPr>
            <w:r>
              <w:rPr>
                <w:rFonts w:ascii="Times New Roman" w:hAnsi="Times New Roman"/>
                <w:b/>
                <w:sz w:val="20"/>
              </w:rPr>
              <w:t>Table 4.2</w:t>
            </w:r>
          </w:p>
        </w:tc>
        <w:tc>
          <w:tcPr>
            <w:tcW w:type="dxa" w:w="5400"/>
          </w:tcPr>
          <w:p>
            <w:pPr>
              <w:spacing w:line="276" w:lineRule="auto" w:after="40"/>
            </w:pPr>
            <w:r>
              <w:rPr>
                <w:rFonts w:ascii="Times New Roman" w:hAnsi="Times New Roman"/>
                <w:sz w:val="20"/>
              </w:rPr>
              <w:t>Hardware, Software, Framework, and Execution Environment Specifications</w:t>
            </w:r>
          </w:p>
        </w:tc>
        <w:tc>
          <w:tcPr>
            <w:tcW w:type="dxa" w:w="1080"/>
          </w:tcPr>
          <w:p>
            <w:pPr>
              <w:spacing w:line="276" w:lineRule="auto" w:after="40"/>
              <w:jc w:val="right"/>
            </w:pPr>
            <w:r>
              <w:rPr>
                <w:rFonts w:ascii="Times New Roman" w:hAnsi="Times New Roman"/>
                <w:sz w:val="20"/>
              </w:rPr>
              <w:t>63</w:t>
            </w:r>
          </w:p>
        </w:tc>
      </w:tr>
      <w:tr>
        <w:tc>
          <w:tcPr>
            <w:tcW w:type="dxa" w:w="2160"/>
          </w:tcPr>
          <w:p>
            <w:pPr>
              <w:spacing w:line="276" w:lineRule="auto" w:after="40"/>
            </w:pPr>
            <w:r>
              <w:rPr>
                <w:rFonts w:ascii="Times New Roman" w:hAnsi="Times New Roman"/>
                <w:b/>
                <w:sz w:val="20"/>
              </w:rPr>
              <w:t>Table 5.1</w:t>
            </w:r>
          </w:p>
        </w:tc>
        <w:tc>
          <w:tcPr>
            <w:tcW w:type="dxa" w:w="5400"/>
          </w:tcPr>
          <w:p>
            <w:pPr>
              <w:spacing w:line="276" w:lineRule="auto" w:after="40"/>
            </w:pPr>
            <w:r>
              <w:rPr>
                <w:rFonts w:ascii="Times New Roman" w:hAnsi="Times New Roman"/>
                <w:sz w:val="20"/>
              </w:rPr>
              <w:t>Classification Performance Metrics Across 22 Crops (Precision, Recall, F1-Score)</w:t>
            </w:r>
          </w:p>
        </w:tc>
        <w:tc>
          <w:tcPr>
            <w:tcW w:type="dxa" w:w="1080"/>
          </w:tcPr>
          <w:p>
            <w:pPr>
              <w:spacing w:line="276" w:lineRule="auto" w:after="40"/>
              <w:jc w:val="right"/>
            </w:pPr>
            <w:r>
              <w:rPr>
                <w:rFonts w:ascii="Times New Roman" w:hAnsi="Times New Roman"/>
                <w:sz w:val="20"/>
              </w:rPr>
              <w:t>67</w:t>
            </w:r>
          </w:p>
        </w:tc>
      </w:tr>
      <w:tr>
        <w:tc>
          <w:tcPr>
            <w:tcW w:type="dxa" w:w="2160"/>
          </w:tcPr>
          <w:p>
            <w:pPr>
              <w:spacing w:line="276" w:lineRule="auto" w:after="40"/>
            </w:pPr>
            <w:r>
              <w:rPr>
                <w:rFonts w:ascii="Times New Roman" w:hAnsi="Times New Roman"/>
                <w:b/>
                <w:sz w:val="20"/>
              </w:rPr>
              <w:t>Table 5.2</w:t>
            </w:r>
          </w:p>
        </w:tc>
        <w:tc>
          <w:tcPr>
            <w:tcW w:type="dxa" w:w="5400"/>
          </w:tcPr>
          <w:p>
            <w:pPr>
              <w:spacing w:line="276" w:lineRule="auto" w:after="40"/>
            </w:pPr>
            <w:r>
              <w:rPr>
                <w:rFonts w:ascii="Times New Roman" w:hAnsi="Times New Roman"/>
                <w:sz w:val="20"/>
              </w:rPr>
              <w:t>Orientation Robustness Evaluation Comparing Standard CNN and AgroAI Morphology</w:t>
            </w:r>
          </w:p>
        </w:tc>
        <w:tc>
          <w:tcPr>
            <w:tcW w:type="dxa" w:w="1080"/>
          </w:tcPr>
          <w:p>
            <w:pPr>
              <w:spacing w:line="276" w:lineRule="auto" w:after="40"/>
              <w:jc w:val="right"/>
            </w:pPr>
            <w:r>
              <w:rPr>
                <w:rFonts w:ascii="Times New Roman" w:hAnsi="Times New Roman"/>
                <w:sz w:val="20"/>
              </w:rPr>
              <w:t>72</w:t>
            </w:r>
          </w:p>
        </w:tc>
      </w:tr>
      <w:tr>
        <w:tc>
          <w:tcPr>
            <w:tcW w:type="dxa" w:w="2160"/>
          </w:tcPr>
          <w:p>
            <w:pPr>
              <w:spacing w:line="276" w:lineRule="auto" w:after="40"/>
            </w:pPr>
            <w:r>
              <w:rPr>
                <w:rFonts w:ascii="Times New Roman" w:hAnsi="Times New Roman"/>
                <w:b/>
                <w:sz w:val="20"/>
              </w:rPr>
              <w:t>Table 5.3</w:t>
            </w:r>
          </w:p>
        </w:tc>
        <w:tc>
          <w:tcPr>
            <w:tcW w:type="dxa" w:w="5400"/>
          </w:tcPr>
          <w:p>
            <w:pPr>
              <w:spacing w:line="276" w:lineRule="auto" w:after="40"/>
            </w:pPr>
            <w:r>
              <w:rPr>
                <w:rFonts w:ascii="Times New Roman" w:hAnsi="Times New Roman"/>
                <w:sz w:val="20"/>
              </w:rPr>
              <w:t>Test-Time Augmentation (TTA) Ablation Study Demonstrating Classification Stability</w:t>
            </w:r>
          </w:p>
        </w:tc>
        <w:tc>
          <w:tcPr>
            <w:tcW w:type="dxa" w:w="1080"/>
          </w:tcPr>
          <w:p>
            <w:pPr>
              <w:spacing w:line="276" w:lineRule="auto" w:after="40"/>
              <w:jc w:val="right"/>
            </w:pPr>
            <w:r>
              <w:rPr>
                <w:rFonts w:ascii="Times New Roman" w:hAnsi="Times New Roman"/>
                <w:sz w:val="20"/>
              </w:rPr>
              <w:t>73</w:t>
            </w:r>
          </w:p>
        </w:tc>
      </w:tr>
      <w:tr>
        <w:tc>
          <w:tcPr>
            <w:tcW w:type="dxa" w:w="2160"/>
          </w:tcPr>
          <w:p>
            <w:pPr>
              <w:spacing w:line="276" w:lineRule="auto" w:after="40"/>
            </w:pPr>
            <w:r>
              <w:rPr>
                <w:rFonts w:ascii="Times New Roman" w:hAnsi="Times New Roman"/>
                <w:b/>
                <w:sz w:val="20"/>
              </w:rPr>
              <w:t>Table 5.4</w:t>
            </w:r>
          </w:p>
        </w:tc>
        <w:tc>
          <w:tcPr>
            <w:tcW w:type="dxa" w:w="5400"/>
          </w:tcPr>
          <w:p>
            <w:pPr>
              <w:spacing w:line="276" w:lineRule="auto" w:after="40"/>
            </w:pPr>
            <w:r>
              <w:rPr>
                <w:rFonts w:ascii="Times New Roman" w:hAnsi="Times New Roman"/>
                <w:sz w:val="20"/>
              </w:rPr>
              <w:t>Foliar Infection Severity Quantification Accuracy Benchmarked Against Agronomists</w:t>
            </w:r>
          </w:p>
        </w:tc>
        <w:tc>
          <w:tcPr>
            <w:tcW w:type="dxa" w:w="1080"/>
          </w:tcPr>
          <w:p>
            <w:pPr>
              <w:spacing w:line="276" w:lineRule="auto" w:after="40"/>
              <w:jc w:val="right"/>
            </w:pPr>
            <w:r>
              <w:rPr>
                <w:rFonts w:ascii="Times New Roman" w:hAnsi="Times New Roman"/>
                <w:sz w:val="20"/>
              </w:rPr>
              <w:t>79</w:t>
            </w:r>
          </w:p>
        </w:tc>
      </w:tr>
      <w:tr>
        <w:tc>
          <w:tcPr>
            <w:tcW w:type="dxa" w:w="2160"/>
          </w:tcPr>
          <w:p>
            <w:pPr>
              <w:spacing w:line="276" w:lineRule="auto" w:after="40"/>
            </w:pPr>
            <w:r>
              <w:rPr>
                <w:rFonts w:ascii="Times New Roman" w:hAnsi="Times New Roman"/>
                <w:b/>
                <w:sz w:val="20"/>
              </w:rPr>
              <w:t>Table 5.5</w:t>
            </w:r>
          </w:p>
        </w:tc>
        <w:tc>
          <w:tcPr>
            <w:tcW w:type="dxa" w:w="5400"/>
          </w:tcPr>
          <w:p>
            <w:pPr>
              <w:spacing w:line="276" w:lineRule="auto" w:after="40"/>
            </w:pPr>
            <w:r>
              <w:rPr>
                <w:rFonts w:ascii="Times New Roman" w:hAnsi="Times New Roman"/>
                <w:sz w:val="20"/>
              </w:rPr>
              <w:t>Multi-Zone Nitrogen Fertilizer Prescription and Economic Cost Savings Across Global Test Parcels</w:t>
            </w:r>
          </w:p>
        </w:tc>
        <w:tc>
          <w:tcPr>
            <w:tcW w:type="dxa" w:w="1080"/>
          </w:tcPr>
          <w:p>
            <w:pPr>
              <w:spacing w:line="276" w:lineRule="auto" w:after="40"/>
              <w:jc w:val="right"/>
            </w:pPr>
            <w:r>
              <w:rPr>
                <w:rFonts w:ascii="Times New Roman" w:hAnsi="Times New Roman"/>
                <w:sz w:val="20"/>
              </w:rPr>
              <w:t>83</w:t>
            </w:r>
          </w:p>
        </w:tc>
      </w:tr>
      <w:tr>
        <w:tc>
          <w:tcPr>
            <w:tcW w:type="dxa" w:w="2160"/>
          </w:tcPr>
          <w:p>
            <w:pPr>
              <w:spacing w:line="276" w:lineRule="auto" w:after="40"/>
            </w:pPr>
            <w:r>
              <w:rPr>
                <w:rFonts w:ascii="Times New Roman" w:hAnsi="Times New Roman"/>
                <w:b/>
                <w:sz w:val="20"/>
              </w:rPr>
              <w:t>Table 5.6</w:t>
            </w:r>
          </w:p>
        </w:tc>
        <w:tc>
          <w:tcPr>
            <w:tcW w:type="dxa" w:w="5400"/>
          </w:tcPr>
          <w:p>
            <w:pPr>
              <w:spacing w:line="276" w:lineRule="auto" w:after="40"/>
            </w:pPr>
            <w:r>
              <w:rPr>
                <w:rFonts w:ascii="Times New Roman" w:hAnsi="Times New Roman"/>
                <w:sz w:val="20"/>
              </w:rPr>
              <w:t>Psychrometric Delta-T and Wind Drift Validation Across Five Simulated Atmospheric Conditions</w:t>
            </w:r>
          </w:p>
        </w:tc>
        <w:tc>
          <w:tcPr>
            <w:tcW w:type="dxa" w:w="1080"/>
          </w:tcPr>
          <w:p>
            <w:pPr>
              <w:spacing w:line="276" w:lineRule="auto" w:after="40"/>
              <w:jc w:val="right"/>
            </w:pPr>
            <w:r>
              <w:rPr>
                <w:rFonts w:ascii="Times New Roman" w:hAnsi="Times New Roman"/>
                <w:sz w:val="20"/>
              </w:rPr>
              <w:t>85</w:t>
            </w:r>
          </w:p>
        </w:tc>
      </w:tr>
      <w:tr>
        <w:tc>
          <w:tcPr>
            <w:tcW w:type="dxa" w:w="2160"/>
          </w:tcPr>
          <w:p>
            <w:pPr>
              <w:spacing w:line="276" w:lineRule="auto" w:after="40"/>
            </w:pPr>
            <w:r>
              <w:rPr>
                <w:rFonts w:ascii="Times New Roman" w:hAnsi="Times New Roman"/>
                <w:b/>
                <w:sz w:val="20"/>
              </w:rPr>
              <w:t>Table 5.7</w:t>
            </w:r>
          </w:p>
        </w:tc>
        <w:tc>
          <w:tcPr>
            <w:tcW w:type="dxa" w:w="5400"/>
          </w:tcPr>
          <w:p>
            <w:pPr>
              <w:spacing w:line="276" w:lineRule="auto" w:after="40"/>
            </w:pPr>
            <w:r>
              <w:rPr>
                <w:rFonts w:ascii="Times New Roman" w:hAnsi="Times New Roman"/>
                <w:sz w:val="20"/>
              </w:rPr>
              <w:t>Edge Inference Latency Benchmark Across WebAssembly, WebGL, PyTorch CPU, and CUDA GPU</w:t>
            </w:r>
          </w:p>
        </w:tc>
        <w:tc>
          <w:tcPr>
            <w:tcW w:type="dxa" w:w="1080"/>
          </w:tcPr>
          <w:p>
            <w:pPr>
              <w:spacing w:line="276" w:lineRule="auto" w:after="40"/>
              <w:jc w:val="right"/>
            </w:pPr>
            <w:r>
              <w:rPr>
                <w:rFonts w:ascii="Times New Roman" w:hAnsi="Times New Roman"/>
                <w:sz w:val="20"/>
              </w:rPr>
              <w:t>88</w:t>
            </w:r>
          </w:p>
        </w:tc>
      </w:tr>
    </w:tbl>
    <w:p>
      <w:r>
        <w:br w:type="page"/>
      </w:r>
    </w:p>
    <w:p>
      <w:pPr>
        <w:spacing w:before="560" w:after="480" w:line="360" w:lineRule="auto"/>
        <w:jc w:val="center"/>
      </w:pPr>
      <w:r>
        <w:rPr>
          <w:rFonts w:ascii="Times New Roman" w:hAnsi="Times New Roman"/>
          <w:b/>
          <w:sz w:val="32"/>
        </w:rPr>
        <w:t>DETAIL OF PUBLISHED / COMMUNICATED RESEARCH PAPER / PATENT</w:t>
      </w:r>
    </w:p>
    <w:p>
      <w:pPr>
        <w:spacing w:before="400" w:after="240" w:line="360" w:lineRule="auto"/>
        <w:jc w:val="left"/>
      </w:pPr>
      <w:r>
        <w:rPr>
          <w:rFonts w:ascii="Times New Roman" w:hAnsi="Times New Roman"/>
          <w:b/>
          <w:sz w:val="28"/>
        </w:rPr>
        <w:t>Research Article Details</w:t>
      </w:r>
    </w:p>
    <w:p>
      <w:pPr>
        <w:spacing w:line="360" w:lineRule="auto" w:after="360" w:before="0"/>
        <w:jc w:val="both"/>
      </w:pPr>
      <w:r>
        <w:rPr>
          <w:rFonts w:ascii="Times New Roman" w:hAnsi="Times New Roman"/>
          <w:sz w:val="24"/>
        </w:rPr>
        <w:t>1. Title of Manuscript: "AgroAI: An Intelligent Multimodal Framework Integrating Rotation-Invariant Deep Vision, Explainable AI, and Satellite Multispectral Radiometry for Precision Crop Protection"</w:t>
      </w:r>
    </w:p>
    <w:p>
      <w:pPr>
        <w:spacing w:line="360" w:lineRule="auto" w:after="360" w:before="0"/>
        <w:jc w:val="both"/>
      </w:pPr>
      <w:r>
        <w:rPr>
          <w:rFonts w:ascii="Times New Roman" w:hAnsi="Times New Roman"/>
          <w:sz w:val="24"/>
        </w:rPr>
        <w:t xml:space="preserve">   Authors: Manmeet Singh Deol, Project Supervisor</w:t>
      </w:r>
    </w:p>
    <w:p>
      <w:pPr>
        <w:spacing w:line="360" w:lineRule="auto" w:after="360" w:before="0"/>
        <w:jc w:val="both"/>
      </w:pPr>
      <w:r>
        <w:rPr>
          <w:rFonts w:ascii="Times New Roman" w:hAnsi="Times New Roman"/>
          <w:sz w:val="24"/>
        </w:rPr>
        <w:t xml:space="preserve">   Journal / Conference: Communicated to IEEE Transactions on AgriFood Electronics (Special Issue on Emerging Edge AI for Sustainable Agriculture).</w:t>
      </w:r>
    </w:p>
    <w:p>
      <w:pPr>
        <w:spacing w:line="360" w:lineRule="auto" w:after="360" w:before="0"/>
        <w:jc w:val="both"/>
      </w:pPr>
      <w:r>
        <w:rPr>
          <w:rFonts w:ascii="Times New Roman" w:hAnsi="Times New Roman"/>
          <w:sz w:val="24"/>
        </w:rPr>
        <w:t xml:space="preserve">   Current Status: Under Peer Review (Manuscript Ref. No. TAFE-2026-0842).</w:t>
      </w:r>
    </w:p>
    <w:p>
      <w:pPr>
        <w:spacing w:line="360" w:lineRule="auto" w:after="360" w:before="0"/>
        <w:jc w:val="both"/>
      </w:pPr>
      <w:r>
        <w:rPr>
          <w:rFonts w:ascii="Times New Roman" w:hAnsi="Times New Roman"/>
          <w:sz w:val="24"/>
        </w:rPr>
        <w:t xml:space="preserve">   Indexing: IEEE Xplore, SCI / Scopus Indexed, Impact Factor: 4.8.</w:t>
      </w:r>
    </w:p>
    <w:p>
      <w:pPr>
        <w:spacing w:before="400" w:after="240" w:line="360" w:lineRule="auto"/>
        <w:jc w:val="left"/>
      </w:pPr>
      <w:r>
        <w:rPr>
          <w:rFonts w:ascii="Times New Roman" w:hAnsi="Times New Roman"/>
          <w:b/>
          <w:sz w:val="28"/>
        </w:rPr>
        <w:t>Patent Application Details</w:t>
      </w:r>
    </w:p>
    <w:p>
      <w:pPr>
        <w:spacing w:line="360" w:lineRule="auto" w:after="360" w:before="0"/>
        <w:jc w:val="both"/>
      </w:pPr>
      <w:r>
        <w:rPr>
          <w:rFonts w:ascii="Times New Roman" w:hAnsi="Times New Roman"/>
          <w:sz w:val="24"/>
        </w:rPr>
        <w:t>1. Patent Title: "A System and Method for Rotation-Invariant Foliar Pathology Diagnosis with Psychrometric Spray Window Optimization"</w:t>
      </w:r>
    </w:p>
    <w:p>
      <w:pPr>
        <w:spacing w:line="360" w:lineRule="auto" w:after="360" w:before="0"/>
        <w:jc w:val="both"/>
      </w:pPr>
      <w:r>
        <w:rPr>
          <w:rFonts w:ascii="Times New Roman" w:hAnsi="Times New Roman"/>
          <w:sz w:val="24"/>
        </w:rPr>
        <w:t xml:space="preserve">   Inventors: Manmeet Singh Deol, Project Supervisor</w:t>
      </w:r>
    </w:p>
    <w:p>
      <w:pPr>
        <w:spacing w:line="360" w:lineRule="auto" w:after="360" w:before="0"/>
        <w:jc w:val="both"/>
      </w:pPr>
      <w:r>
        <w:rPr>
          <w:rFonts w:ascii="Times New Roman" w:hAnsi="Times New Roman"/>
          <w:sz w:val="24"/>
        </w:rPr>
        <w:t xml:space="preserve">   Application Number: 202611048921 A</w:t>
      </w:r>
    </w:p>
    <w:p>
      <w:pPr>
        <w:spacing w:line="360" w:lineRule="auto" w:after="360" w:before="0"/>
        <w:jc w:val="both"/>
      </w:pPr>
      <w:r>
        <w:rPr>
          <w:rFonts w:ascii="Times New Roman" w:hAnsi="Times New Roman"/>
          <w:sz w:val="24"/>
        </w:rPr>
        <w:t xml:space="preserve">   Filing Jurisdiction: Indian Patent Office (IPO), Intellectual Property Building, New Delhi, India.</w:t>
      </w:r>
    </w:p>
    <w:p>
      <w:pPr>
        <w:spacing w:line="360" w:lineRule="auto" w:after="360" w:before="0"/>
        <w:jc w:val="both"/>
      </w:pPr>
      <w:r>
        <w:rPr>
          <w:rFonts w:ascii="Times New Roman" w:hAnsi="Times New Roman"/>
          <w:sz w:val="24"/>
        </w:rPr>
        <w:t xml:space="preserve">   Current Status: Complete Specification Filed, Official Examination Pending.</w:t>
      </w:r>
    </w:p>
    <w:p>
      <w:r>
        <w:br w:type="page"/>
      </w:r>
    </w:p>
    <w:p>
      <w:pPr>
        <w:spacing w:before="560" w:after="480" w:line="360" w:lineRule="auto"/>
        <w:jc w:val="center"/>
      </w:pPr>
      <w:r>
        <w:rPr>
          <w:rFonts w:ascii="Times New Roman" w:hAnsi="Times New Roman"/>
          <w:b/>
          <w:sz w:val="32"/>
        </w:rPr>
        <w:t>Chapter 1. Introduction</w:t>
      </w:r>
    </w:p>
    <w:p>
      <w:pPr>
        <w:spacing w:before="400" w:after="240" w:line="360" w:lineRule="auto"/>
        <w:jc w:val="left"/>
      </w:pPr>
      <w:r>
        <w:rPr>
          <w:rFonts w:ascii="Times New Roman" w:hAnsi="Times New Roman"/>
          <w:b/>
          <w:sz w:val="28"/>
        </w:rPr>
        <w:t>1.1 Background &amp; Motivation</w:t>
      </w:r>
    </w:p>
    <w:p>
      <w:pPr>
        <w:spacing w:line="360" w:lineRule="auto" w:after="360" w:before="0"/>
        <w:jc w:val="both"/>
      </w:pPr>
      <w:r>
        <w:rPr>
          <w:rFonts w:ascii="Times New Roman" w:hAnsi="Times New Roman"/>
          <w:sz w:val="24"/>
        </w:rPr>
        <w:t>Global agriculture currently confronts an unprecedented convergence of systemic challenges, including rapid climate variability, soil nutrient depletion, emerging phytopathological strains, and an expanding human population projected to surpass 9.7 billion by 2050. Within this precarious macroeconomic framework, agricultural food production must expand by approximately 70% to guarantee international food security. However, foliar diseases caused by pathogenic fungi, oomycetes, bacteria, and phytoviruses continually impose catastrophic yield reductions across all critical cereal, cash, tuber, and horticultural crops.</w:t>
      </w:r>
    </w:p>
    <w:p>
      <w:pPr>
        <w:spacing w:line="360" w:lineRule="auto" w:after="360" w:before="0"/>
        <w:jc w:val="both"/>
      </w:pPr>
      <w:r>
        <w:rPr>
          <w:rFonts w:ascii="Times New Roman" w:hAnsi="Times New Roman"/>
          <w:sz w:val="24"/>
        </w:rPr>
        <w:t>Epidemiological studies indicate that plant diseases and pest infestations account for direct annual yield losses ranging between 20% and 40% across major global food staples. The economic valuation of these crop losses exceeds $220 billion annually worldwide. In developing agrarian nations, where agriculture represents the fundamental livelihood for over 60% of the rural population, an undetected or mismanaged localized disease outbreak frequently results in devastating household economic collapse and severe regional food shortages.</w:t>
      </w:r>
    </w:p>
    <w:p>
      <w:pPr>
        <w:spacing w:before="360" w:after="120"/>
        <w:jc w:val="left"/>
      </w:pPr>
      <w:r>
        <w:rPr>
          <w:rFonts w:ascii="Times New Roman" w:hAnsi="Times New Roman"/>
          <w:b/>
          <w:sz w:val="24"/>
        </w:rPr>
        <w:t>Table 1.1 Annual Crop Yield Depletion and Economic Valuation of Major Agricultural Pathologies</w:t>
      </w:r>
    </w:p>
    <w:tbl>
      <w:tblPr>
        <w:tblW w:type="auto" w:w="0"/>
        <w:jc w:val="center"/>
        <w:tblLayout w:type="fixed"/>
        <w:tblLook w:firstColumn="1" w:firstRow="1" w:lastColumn="0" w:lastRow="0" w:noHBand="0" w:noVBand="1" w:val="04A0"/>
      </w:tblPr>
      <w:tblGrid>
        <w:gridCol w:w="1656"/>
        <w:gridCol w:w="1656"/>
        <w:gridCol w:w="1656"/>
        <w:gridCol w:w="1656"/>
        <w:gridCol w:w="1656"/>
      </w:tblGrid>
      <w:tr>
        <w:tc>
          <w:tcPr>
            <w:tcW w:type="dxa" w:w="1728"/>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Crop Species</w:t>
            </w:r>
          </w:p>
        </w:tc>
        <w:tc>
          <w:tcPr>
            <w:tcW w:type="dxa" w:w="1872"/>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Primary Pathogen / Disease</w:t>
            </w:r>
          </w:p>
        </w:tc>
        <w:tc>
          <w:tcPr>
            <w:tcW w:type="dxa" w:w="1872"/>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Causal Organism</w:t>
            </w:r>
          </w:p>
        </w:tc>
        <w:tc>
          <w:tcPr>
            <w:tcW w:type="dxa" w:w="1440"/>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Global Yield Loss (%)</w:t>
            </w:r>
          </w:p>
        </w:tc>
        <w:tc>
          <w:tcPr>
            <w:tcW w:type="dxa" w:w="1368"/>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Economic Toll (Billion USD)</w:t>
            </w:r>
          </w:p>
        </w:tc>
      </w:tr>
      <w:tr>
        <w:tc>
          <w:tcPr>
            <w:tcW w:type="dxa" w:w="1728"/>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Wheat (Triticum aestivum)</w:t>
            </w:r>
          </w:p>
        </w:tc>
        <w:tc>
          <w:tcPr>
            <w:tcW w:type="dxa" w:w="1872"/>
            <w:shd w:fill="FFFFFF"/>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Stripe Rust / Yellow Rust</w:t>
            </w:r>
          </w:p>
        </w:tc>
        <w:tc>
          <w:tcPr>
            <w:tcW w:type="dxa" w:w="1872"/>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Puccinia striiformis</w:t>
            </w:r>
          </w:p>
        </w:tc>
        <w:tc>
          <w:tcPr>
            <w:tcW w:type="dxa" w:w="1440"/>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15.0 - 40.0%</w:t>
            </w:r>
          </w:p>
        </w:tc>
        <w:tc>
          <w:tcPr>
            <w:tcW w:type="dxa" w:w="1368"/>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$5.8 B</w:t>
            </w:r>
          </w:p>
        </w:tc>
      </w:tr>
      <w:tr>
        <w:tc>
          <w:tcPr>
            <w:tcW w:type="dxa" w:w="1728"/>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Wheat (Triticum aestivum)</w:t>
            </w:r>
          </w:p>
        </w:tc>
        <w:tc>
          <w:tcPr>
            <w:tcW w:type="dxa" w:w="1872"/>
            <w:shd w:fill="FAFAFA"/>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Leaf Rust / Brown Rust</w:t>
            </w:r>
          </w:p>
        </w:tc>
        <w:tc>
          <w:tcPr>
            <w:tcW w:type="dxa" w:w="1872"/>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Puccinia triticina</w:t>
            </w:r>
          </w:p>
        </w:tc>
        <w:tc>
          <w:tcPr>
            <w:tcW w:type="dxa" w:w="1440"/>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10.0 - 25.0%</w:t>
            </w:r>
          </w:p>
        </w:tc>
        <w:tc>
          <w:tcPr>
            <w:tcW w:type="dxa" w:w="1368"/>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$3.2 B</w:t>
            </w:r>
          </w:p>
        </w:tc>
      </w:tr>
      <w:tr>
        <w:tc>
          <w:tcPr>
            <w:tcW w:type="dxa" w:w="1728"/>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Rice (Oryza sativa)</w:t>
            </w:r>
          </w:p>
        </w:tc>
        <w:tc>
          <w:tcPr>
            <w:tcW w:type="dxa" w:w="1872"/>
            <w:shd w:fill="FFFFFF"/>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Rice Blast</w:t>
            </w:r>
          </w:p>
        </w:tc>
        <w:tc>
          <w:tcPr>
            <w:tcW w:type="dxa" w:w="1872"/>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Magnaporthe oryzae</w:t>
            </w:r>
          </w:p>
        </w:tc>
        <w:tc>
          <w:tcPr>
            <w:tcW w:type="dxa" w:w="1440"/>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12.0 - 35.0%</w:t>
            </w:r>
          </w:p>
        </w:tc>
        <w:tc>
          <w:tcPr>
            <w:tcW w:type="dxa" w:w="1368"/>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$9.5 B</w:t>
            </w:r>
          </w:p>
        </w:tc>
      </w:tr>
      <w:tr>
        <w:tc>
          <w:tcPr>
            <w:tcW w:type="dxa" w:w="1728"/>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Corn (Zea mays)</w:t>
            </w:r>
          </w:p>
        </w:tc>
        <w:tc>
          <w:tcPr>
            <w:tcW w:type="dxa" w:w="1872"/>
            <w:shd w:fill="FAFAFA"/>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Northern Leaf Blight</w:t>
            </w:r>
          </w:p>
        </w:tc>
        <w:tc>
          <w:tcPr>
            <w:tcW w:type="dxa" w:w="1872"/>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Exserohilum turcicum</w:t>
            </w:r>
          </w:p>
        </w:tc>
        <w:tc>
          <w:tcPr>
            <w:tcW w:type="dxa" w:w="1440"/>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15.0 - 30.0%</w:t>
            </w:r>
          </w:p>
        </w:tc>
        <w:tc>
          <w:tcPr>
            <w:tcW w:type="dxa" w:w="1368"/>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$4.1 B</w:t>
            </w:r>
          </w:p>
        </w:tc>
      </w:tr>
      <w:tr>
        <w:tc>
          <w:tcPr>
            <w:tcW w:type="dxa" w:w="1728"/>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Potato (Solanum tuberosum)</w:t>
            </w:r>
          </w:p>
        </w:tc>
        <w:tc>
          <w:tcPr>
            <w:tcW w:type="dxa" w:w="1872"/>
            <w:shd w:fill="FFFFFF"/>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Late Blight</w:t>
            </w:r>
          </w:p>
        </w:tc>
        <w:tc>
          <w:tcPr>
            <w:tcW w:type="dxa" w:w="1872"/>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Phytophthora infestans</w:t>
            </w:r>
          </w:p>
        </w:tc>
        <w:tc>
          <w:tcPr>
            <w:tcW w:type="dxa" w:w="1440"/>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20.0 - 55.0%</w:t>
            </w:r>
          </w:p>
        </w:tc>
        <w:tc>
          <w:tcPr>
            <w:tcW w:type="dxa" w:w="1368"/>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$7.2 B</w:t>
            </w:r>
          </w:p>
        </w:tc>
      </w:tr>
      <w:tr>
        <w:tc>
          <w:tcPr>
            <w:tcW w:type="dxa" w:w="1728"/>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Tomato (Solanum lycopersicum)</w:t>
            </w:r>
          </w:p>
        </w:tc>
        <w:tc>
          <w:tcPr>
            <w:tcW w:type="dxa" w:w="1872"/>
            <w:shd w:fill="FAFAFA"/>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Early Blight &amp; Late Blight</w:t>
            </w:r>
          </w:p>
        </w:tc>
        <w:tc>
          <w:tcPr>
            <w:tcW w:type="dxa" w:w="1872"/>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Alternaria solani / P. infestans</w:t>
            </w:r>
          </w:p>
        </w:tc>
        <w:tc>
          <w:tcPr>
            <w:tcW w:type="dxa" w:w="1440"/>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25.0 - 50.0%</w:t>
            </w:r>
          </w:p>
        </w:tc>
        <w:tc>
          <w:tcPr>
            <w:tcW w:type="dxa" w:w="1368"/>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$3.6 B</w:t>
            </w:r>
          </w:p>
        </w:tc>
      </w:tr>
      <w:tr>
        <w:tc>
          <w:tcPr>
            <w:tcW w:type="dxa" w:w="1728"/>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Sugarcane (Saccharum officinarum)</w:t>
            </w:r>
          </w:p>
        </w:tc>
        <w:tc>
          <w:tcPr>
            <w:tcW w:type="dxa" w:w="1872"/>
            <w:shd w:fill="FFFFFF"/>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Red Rot</w:t>
            </w:r>
          </w:p>
        </w:tc>
        <w:tc>
          <w:tcPr>
            <w:tcW w:type="dxa" w:w="1872"/>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Colletotrichum falcatum</w:t>
            </w:r>
          </w:p>
        </w:tc>
        <w:tc>
          <w:tcPr>
            <w:tcW w:type="dxa" w:w="1440"/>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18.0 - 45.0%</w:t>
            </w:r>
          </w:p>
        </w:tc>
        <w:tc>
          <w:tcPr>
            <w:tcW w:type="dxa" w:w="1368"/>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$2.4 B</w:t>
            </w:r>
          </w:p>
        </w:tc>
      </w:tr>
      <w:tr>
        <w:tc>
          <w:tcPr>
            <w:tcW w:type="dxa" w:w="1728"/>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Cotton (Gossypium hirsutum)</w:t>
            </w:r>
          </w:p>
        </w:tc>
        <w:tc>
          <w:tcPr>
            <w:tcW w:type="dxa" w:w="1872"/>
            <w:shd w:fill="FAFAFA"/>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Bacterial Blight</w:t>
            </w:r>
          </w:p>
        </w:tc>
        <w:tc>
          <w:tcPr>
            <w:tcW w:type="dxa" w:w="1872"/>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Xanthomonas citri pv. malvacearum</w:t>
            </w:r>
          </w:p>
        </w:tc>
        <w:tc>
          <w:tcPr>
            <w:tcW w:type="dxa" w:w="1440"/>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10.0 - 30.0%</w:t>
            </w:r>
          </w:p>
        </w:tc>
        <w:tc>
          <w:tcPr>
            <w:tcW w:type="dxa" w:w="1368"/>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$1.9 B</w:t>
            </w:r>
          </w:p>
        </w:tc>
      </w:tr>
      <w:tr>
        <w:tc>
          <w:tcPr>
            <w:tcW w:type="dxa" w:w="1728"/>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Coffee (Coffea arabica)</w:t>
            </w:r>
          </w:p>
        </w:tc>
        <w:tc>
          <w:tcPr>
            <w:tcW w:type="dxa" w:w="1872"/>
            <w:shd w:fill="FFFFFF"/>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Coffee Leaf Rust</w:t>
            </w:r>
          </w:p>
        </w:tc>
        <w:tc>
          <w:tcPr>
            <w:tcW w:type="dxa" w:w="1872"/>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Hemileia vastatrix</w:t>
            </w:r>
          </w:p>
        </w:tc>
        <w:tc>
          <w:tcPr>
            <w:tcW w:type="dxa" w:w="1440"/>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20.0 - 35.0%</w:t>
            </w:r>
          </w:p>
        </w:tc>
        <w:tc>
          <w:tcPr>
            <w:tcW w:type="dxa" w:w="1368"/>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$2.1 B</w:t>
            </w:r>
          </w:p>
        </w:tc>
      </w:tr>
      <w:tr>
        <w:tc>
          <w:tcPr>
            <w:tcW w:type="dxa" w:w="1728"/>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Banana (Musa acuminata)</w:t>
            </w:r>
          </w:p>
        </w:tc>
        <w:tc>
          <w:tcPr>
            <w:tcW w:type="dxa" w:w="1872"/>
            <w:shd w:fill="FAFAFA"/>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Black Sigatoka</w:t>
            </w:r>
          </w:p>
        </w:tc>
        <w:tc>
          <w:tcPr>
            <w:tcW w:type="dxa" w:w="1872"/>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Pseudocercospora fijiensis</w:t>
            </w:r>
          </w:p>
        </w:tc>
        <w:tc>
          <w:tcPr>
            <w:tcW w:type="dxa" w:w="1440"/>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30.0 - 60.0%</w:t>
            </w:r>
          </w:p>
        </w:tc>
        <w:tc>
          <w:tcPr>
            <w:tcW w:type="dxa" w:w="1368"/>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$1.5 B</w:t>
            </w:r>
          </w:p>
        </w:tc>
      </w:tr>
    </w:tbl>
    <w:p>
      <w:pPr>
        <w:spacing w:after="240"/>
      </w:pPr>
    </w:p>
    <w:p>
      <w:pPr>
        <w:spacing w:line="360" w:lineRule="auto" w:after="360" w:before="0"/>
        <w:jc w:val="both"/>
      </w:pPr>
      <w:r>
        <w:rPr>
          <w:rFonts w:ascii="Times New Roman" w:hAnsi="Times New Roman"/>
          <w:sz w:val="24"/>
        </w:rPr>
        <w:t>As summarized in Table 1.1, foliar infections across major cereal staples and cash crops inflict severe economic tolls globally. The management of these agricultural diseases in conventional farming systems remains predominantly reactive rather than proactive. Traditional disease surveillance depends almost entirely on physical visual inspection conducted by agricultural extension officers or trained agronomists traversing field acres on foot. However, the ratio of certified plant pathologists to farming acreage in developing agricultural economies is critically disproportionate, frequently exceeding one extension officer per several thousand hectares.</w:t>
      </w:r>
    </w:p>
    <w:p>
      <w:pPr>
        <w:spacing w:before="280" w:after="120"/>
        <w:jc w:val="center"/>
      </w:pPr>
      <w:r>
        <w:rPr>
          <w:rFonts w:ascii="Courier New" w:hAnsi="Courier New"/>
          <w:color w:val="282828"/>
          <w:sz w:val="19"/>
        </w:rPr>
        <w:t>+-----------------------------------------------------------------------------------+</w:t>
        <w:br/>
        <w:t>| [ Visual Schematic Diagram / Empirical System Architecture ]                       |</w:t>
        <w:br/>
        <w:t>| Global Geographic Distribution of Annual Crop Yield Losses Showing Critical Severity Across South Asia and Sub-Saharan Africa |</w:t>
        <w:br/>
        <w:t>+-----------------------------------------------------------------------------------+</w:t>
      </w:r>
    </w:p>
    <w:p>
      <w:pPr>
        <w:spacing w:before="120" w:after="360"/>
        <w:jc w:val="center"/>
      </w:pPr>
      <w:r>
        <w:rPr>
          <w:rFonts w:ascii="Times New Roman" w:hAnsi="Times New Roman"/>
          <w:b/>
          <w:sz w:val="24"/>
        </w:rPr>
        <w:t>Fig. 1.1 Global Map of Agricultural Yield Depletion Attributed to Phytopathological Outbreaks</w:t>
      </w:r>
    </w:p>
    <w:p>
      <w:pPr>
        <w:spacing w:line="360" w:lineRule="auto" w:after="360" w:before="0"/>
        <w:jc w:val="both"/>
      </w:pPr>
      <w:r>
        <w:rPr>
          <w:rFonts w:ascii="Times New Roman" w:hAnsi="Times New Roman"/>
          <w:sz w:val="24"/>
        </w:rPr>
        <w:t>Fig. 1.1 illustrates the geographical concentration of crop yield depletion, highlighting severe vulnerability across South Asia, Southeast Asia, and Sub-Saharan Africa. In these regions, smallholder farmers often attempt to identify foliar symptoms independently without specialized diagnostic instruments. Because diverse pathogens frequently manifest overlapping visual symptoms—such as non-specific foliar chlorosis, interveinal yellowing, or localized necrotic spotting—farmers routinely misdiagnose infections. Consequently, incorrect chemical active ingredients are applied, leading to treatment failure, accelerated pathogen resistance, and financial loss.</w:t>
      </w:r>
    </w:p>
    <w:p>
      <w:pPr>
        <w:spacing w:line="360" w:lineRule="auto" w:after="360" w:before="0"/>
        <w:jc w:val="both"/>
      </w:pPr>
      <w:r>
        <w:rPr>
          <w:rFonts w:ascii="Times New Roman" w:hAnsi="Times New Roman"/>
          <w:sz w:val="24"/>
        </w:rPr>
        <w:t>Moreover, even when an accurate biological diagnosis is achieved, the physical execution of chemical spraying remains highly flawed in contemporary practice. Farmers routinely broadcast fungicides and insecticides uniformly across entire field parcels regardless of spatial infection clustering. Furthermore, applications are frequently conducted under adverse meteorological conditions characterized by excessive atmospheric evaporative demand or thermal inversions. When agrochemicals are sprayed during high evaporative conditions, droplet carrier water rapidly vaporizes, creating concentrated micro-aerosol particles that drift off-target into adjacent ecosystems. Conversely, applying chemicals immediately prior to unpredicted precipitation events triggers catastrophic active ingredient wash-off, contaminating groundwater aquifers and aquatic river basins while leaving crops unprotected.</w:t>
      </w:r>
    </w:p>
    <w:p>
      <w:pPr>
        <w:spacing w:line="360" w:lineRule="auto" w:after="360" w:before="0"/>
        <w:jc w:val="both"/>
      </w:pPr>
      <w:r>
        <w:rPr>
          <w:rFonts w:ascii="Times New Roman" w:hAnsi="Times New Roman"/>
          <w:sz w:val="24"/>
        </w:rPr>
        <w:t>Recent breakthroughs in artificial intelligence, deep convolutional neural networks (CNNs), mobile edge computing, and commercial satellite constellations present a transformative paradigm for agricultural engineering. Computer vision models trained on extensive foliar pathology datasets can match or exceed the diagnostic accuracy of human domain experts in controlled laboratory benchmarks. However, transitioning these algorithmic architectures from pristine laboratory benchmarks into real-world farm fields reveals pronounced technological bottlenecks that remain unaddressed in the existing literature.</w:t>
      </w:r>
    </w:p>
    <w:p>
      <w:pPr>
        <w:spacing w:before="400" w:after="240" w:line="360" w:lineRule="auto"/>
        <w:jc w:val="left"/>
      </w:pPr>
      <w:r>
        <w:rPr>
          <w:rFonts w:ascii="Times New Roman" w:hAnsi="Times New Roman"/>
          <w:b/>
          <w:sz w:val="28"/>
        </w:rPr>
        <w:t>1.2 Problem Statement &amp; Objectives</w:t>
      </w:r>
    </w:p>
    <w:p>
      <w:pPr>
        <w:spacing w:line="360" w:lineRule="auto" w:after="360" w:before="0"/>
        <w:jc w:val="both"/>
      </w:pPr>
      <w:r>
        <w:rPr>
          <w:rFonts w:ascii="Times New Roman" w:hAnsi="Times New Roman"/>
          <w:sz w:val="24"/>
        </w:rPr>
        <w:t>Despite significant advances in computational vision for plant disease identification, current software systems suffer from fundamental architectural deficiencies that severely restrict their operational utility in authentic farming environments. First, standard convolutional backbones exhibit acute sensitivity to leaf spatial orientation. When a farmer captures a mobile photograph of an elongated monocot leaf (such as wheat, sugarcane, or rice) at an angled tilt or rotated horizontally, conventional models frequently misclassify the specimen into broadleaf dicot categories such as potato or tomato due to contour bounding box distortion.</w:t>
      </w:r>
    </w:p>
    <w:p>
      <w:pPr>
        <w:spacing w:line="360" w:lineRule="auto" w:after="360" w:before="0"/>
        <w:jc w:val="both"/>
      </w:pPr>
      <w:r>
        <w:rPr>
          <w:rFonts w:ascii="Times New Roman" w:hAnsi="Times New Roman"/>
          <w:sz w:val="24"/>
        </w:rPr>
        <w:t>Second, state-of-the-art deep vision models operate as opaque 'black-box' classifiers. They output discrete classification probability vectors without providing spatial interpretability or verifying whether the network focused on authentic fungal lesions or irrelevant background soil clutter. Third, existing tools are fundamentally decoupled from the macro-scale field context; an algorithm that diagnoses a single leaf photograph provides zero actionable intelligence regarding overall field canopy vigor, spatial disease spread, or localized nutritional requirements across multi-hectare farm parcels.</w:t>
      </w:r>
    </w:p>
    <w:p>
      <w:pPr>
        <w:spacing w:line="360" w:lineRule="auto" w:after="360" w:before="0"/>
        <w:jc w:val="both"/>
      </w:pPr>
      <w:r>
        <w:rPr>
          <w:rFonts w:ascii="Times New Roman" w:hAnsi="Times New Roman"/>
          <w:sz w:val="24"/>
        </w:rPr>
        <w:t>Fourth, current crop prediction applications ignore atmospheric boundary layer physics. They fail to inform the farmer whether the prevailing ambient temperature, relative humidity, and wind velocity are aerodynamically and psychrometrically suitable for chemical application, resulting in chemical drift and acute environmental contamination. Fifth, existing solutions require high-end smartphones and stable high-bandwidth cellular connectivity, rendering them inaccessible to marginal farming communities operating in remote rural zones.</w:t>
      </w:r>
    </w:p>
    <w:p>
      <w:pPr>
        <w:spacing w:line="360" w:lineRule="auto" w:after="360" w:before="0"/>
        <w:jc w:val="both"/>
      </w:pPr>
      <w:r>
        <w:rPr>
          <w:rFonts w:ascii="Times New Roman" w:hAnsi="Times New Roman"/>
          <w:sz w:val="24"/>
        </w:rPr>
        <w:t>To overcome these multidisciplinary scientific and engineering challenges, this research project formulates the following primary objectives:</w:t>
      </w:r>
    </w:p>
    <w:p>
      <w:pPr>
        <w:spacing w:line="360" w:lineRule="auto" w:after="360" w:before="0"/>
        <w:jc w:val="both"/>
      </w:pPr>
      <w:r>
        <w:rPr>
          <w:rFonts w:ascii="Times New Roman" w:hAnsi="Times New Roman"/>
          <w:sz w:val="24"/>
        </w:rPr>
        <w:t>1. To design, implement, and validate an edge-optimized deep learning vision backbone utilizing MobileNetV3-Small capable of classifying 67 foliar disease classes across 22 major global crops with an inference latency under 25 milliseconds.</w:t>
      </w:r>
    </w:p>
    <w:p>
      <w:pPr>
        <w:spacing w:line="360" w:lineRule="auto" w:after="360" w:before="0"/>
        <w:jc w:val="both"/>
      </w:pPr>
      <w:r>
        <w:rPr>
          <w:rFonts w:ascii="Times New Roman" w:hAnsi="Times New Roman"/>
          <w:sz w:val="24"/>
        </w:rPr>
        <w:t>2. To develop a novel analytical rotation-invariant morphology and directional vein anisotropy engine that decouples leaf orientation from spatial geometry, eliminating cross-species monocot-dicot misclassification.</w:t>
      </w:r>
    </w:p>
    <w:p>
      <w:pPr>
        <w:spacing w:line="360" w:lineRule="auto" w:after="360" w:before="0"/>
        <w:jc w:val="both"/>
      </w:pPr>
      <w:r>
        <w:rPr>
          <w:rFonts w:ascii="Times New Roman" w:hAnsi="Times New Roman"/>
          <w:sz w:val="24"/>
        </w:rPr>
        <w:t>3. To integrate gradient-weighted class activation mapping (Grad-CAM) and adaptive Otsu-HSV tissue segmentation for transparent visual explainability and precise foliar infection severity quantification (Mild, Moderate, Severe).</w:t>
      </w:r>
    </w:p>
    <w:p>
      <w:pPr>
        <w:spacing w:line="360" w:lineRule="auto" w:after="360" w:before="0"/>
        <w:jc w:val="both"/>
      </w:pPr>
      <w:r>
        <w:rPr>
          <w:rFonts w:ascii="Times New Roman" w:hAnsi="Times New Roman"/>
          <w:sz w:val="24"/>
        </w:rPr>
        <w:t>4. To construct a multispectral satellite Earth observation engine emulating Sentinel-2 10-meter radiometry (NDVI, NDWI, EVI, SAVI) over a 24x24 micro-plot spatial grid, generating Variable-Rate Application (VRA) fertilizer prescriptions that reduce synthetic nitrogen input costs.</w:t>
      </w:r>
    </w:p>
    <w:p>
      <w:pPr>
        <w:spacing w:line="360" w:lineRule="auto" w:after="360" w:before="0"/>
        <w:jc w:val="both"/>
      </w:pPr>
      <w:r>
        <w:rPr>
          <w:rFonts w:ascii="Times New Roman" w:hAnsi="Times New Roman"/>
          <w:sz w:val="24"/>
        </w:rPr>
        <w:t>5. To formulate a real-time psychrometric Delta-T and aerodynamic wind drift prediction model that computes a 48-hour hourly spray suitability timeline tailored to specific agrochemical formulation rainfastness periods.</w:t>
      </w:r>
    </w:p>
    <w:p>
      <w:pPr>
        <w:spacing w:line="360" w:lineRule="auto" w:after="360" w:before="0"/>
        <w:jc w:val="both"/>
      </w:pPr>
      <w:r>
        <w:rPr>
          <w:rFonts w:ascii="Times New Roman" w:hAnsi="Times New Roman"/>
          <w:sz w:val="24"/>
        </w:rPr>
        <w:t>6. To implement an omnichannel delivery architecture comprising an offline-capable Progressive Web App (PWA) running client-side WebAssembly ONNX inference and a multilingual WhatsApp diagnostic bot supporting regional languages (English, Hindi, Punjabi) with continuous active learning MLOps retraining.</w:t>
      </w:r>
    </w:p>
    <w:p>
      <w:pPr>
        <w:spacing w:before="280" w:after="120"/>
        <w:jc w:val="center"/>
      </w:pPr>
      <w:r>
        <w:rPr>
          <w:rFonts w:ascii="Courier New" w:hAnsi="Courier New"/>
          <w:color w:val="282828"/>
          <w:sz w:val="19"/>
        </w:rPr>
        <w:t>+-----------------------------------------------------------------------------------+</w:t>
        <w:br/>
        <w:t>| [ Visual Schematic Diagram / Empirical System Architecture ]                       |</w:t>
        <w:br/>
        <w:t>| Comparative Visual Demonstrating Natural Foliar Orientation Variance (0 deg, 45 deg, 90 deg) in Field Wheat and Solanaceae Leaves |</w:t>
        <w:br/>
        <w:t>+-----------------------------------------------------------------------------------+</w:t>
      </w:r>
    </w:p>
    <w:p>
      <w:pPr>
        <w:spacing w:before="120" w:after="360"/>
        <w:jc w:val="center"/>
      </w:pPr>
      <w:r>
        <w:rPr>
          <w:rFonts w:ascii="Times New Roman" w:hAnsi="Times New Roman"/>
          <w:b/>
          <w:sz w:val="24"/>
        </w:rPr>
        <w:t>Fig. 1.2 Foliar Morphological Diversity and Orientation Variance in Agricultural Field Photos</w:t>
      </w:r>
    </w:p>
    <w:p>
      <w:pPr>
        <w:spacing w:line="360" w:lineRule="auto" w:after="360" w:before="0"/>
        <w:jc w:val="both"/>
      </w:pPr>
      <w:r>
        <w:rPr>
          <w:rFonts w:ascii="Times New Roman" w:hAnsi="Times New Roman"/>
          <w:sz w:val="24"/>
        </w:rPr>
        <w:t>Fig. 1.2 illustrates the pronounced morphological variations and camera tilt angles typically observed during hand-held field scouting. Without an explicit rotation-invariant geometry pipeline, these natural variations undermine standard convolutional architectures.</w:t>
      </w:r>
    </w:p>
    <w:p>
      <w:pPr>
        <w:spacing w:before="400" w:after="240" w:line="360" w:lineRule="auto"/>
        <w:jc w:val="left"/>
      </w:pPr>
      <w:r>
        <w:rPr>
          <w:rFonts w:ascii="Times New Roman" w:hAnsi="Times New Roman"/>
          <w:b/>
          <w:sz w:val="28"/>
        </w:rPr>
        <w:t>1.3 Benefits of Research</w:t>
      </w:r>
    </w:p>
    <w:p>
      <w:pPr>
        <w:spacing w:line="360" w:lineRule="auto" w:after="360" w:before="0"/>
        <w:jc w:val="both"/>
      </w:pPr>
      <w:r>
        <w:rPr>
          <w:rFonts w:ascii="Times New Roman" w:hAnsi="Times New Roman"/>
          <w:sz w:val="24"/>
        </w:rPr>
        <w:t>The technological and agronomic contributions achieved by this project deliver profound socio-economic, ecological, and computational benefits across multiple agricultural stakeholders:</w:t>
      </w:r>
    </w:p>
    <w:p>
      <w:pPr>
        <w:spacing w:line="360" w:lineRule="auto" w:after="360" w:before="0"/>
        <w:jc w:val="both"/>
      </w:pPr>
      <w:r>
        <w:rPr>
          <w:rFonts w:ascii="Times New Roman" w:hAnsi="Times New Roman"/>
          <w:sz w:val="24"/>
        </w:rPr>
        <w:t>1. Socio-Economic Benefits for Smallholder Farmers: By democratizing immediate access to expert-level phytopathological diagnosis via low-cost mobile devices and ubiquitous messaging platforms (WhatsApp), smallholder farmers can detect foliar infections at incipient stages. Early intervention prevents catastrophic crop failure, stabilizes rural household incomes, and reduces unnecessary expenditures on incorrect agrochemicals.</w:t>
      </w:r>
    </w:p>
    <w:p>
      <w:pPr>
        <w:spacing w:line="360" w:lineRule="auto" w:after="360" w:before="0"/>
        <w:jc w:val="both"/>
      </w:pPr>
      <w:r>
        <w:rPr>
          <w:rFonts w:ascii="Times New Roman" w:hAnsi="Times New Roman"/>
          <w:sz w:val="24"/>
        </w:rPr>
        <w:t>2. Ecological and Environmental Sustainability: The integration of psychrometric spray window modeling and Variable-Rate Application (VRA) fertilizer mapping directly addresses the acute ecological crisis of agricultural chemical overuse. By restricting chemical applications to optimal psychrometric windows, off-target spray drift and aquatic runoff are dramatically curtailed. Furthermore, variable-rate nitrogen fertilization reduces synthetic urea consumption by up to 28.4%, lowering nitrous oxide greenhouse emissions and soil salinization.</w:t>
      </w:r>
    </w:p>
    <w:p>
      <w:pPr>
        <w:spacing w:line="360" w:lineRule="auto" w:after="360" w:before="0"/>
        <w:jc w:val="both"/>
      </w:pPr>
      <w:r>
        <w:rPr>
          <w:rFonts w:ascii="Times New Roman" w:hAnsi="Times New Roman"/>
          <w:sz w:val="24"/>
        </w:rPr>
        <w:t>3. Agronomic Precision and Resistance Management: Rather than providing vague descriptive advice, the platform computes exact sprayer tank dilution ratios, product weights, and water volumes tailored to specific field acreages and commercial brand formulations. Furthermore, by cross-referencing chemical active ingredients with pathogen resistance groups (FRAC codes), the system promotes sustainable chemical rotation and delays the emergence of fungicide-resistant pathogen strains.</w:t>
      </w:r>
    </w:p>
    <w:p>
      <w:pPr>
        <w:spacing w:line="360" w:lineRule="auto" w:after="360" w:before="0"/>
        <w:jc w:val="both"/>
      </w:pPr>
      <w:r>
        <w:rPr>
          <w:rFonts w:ascii="Times New Roman" w:hAnsi="Times New Roman"/>
          <w:sz w:val="24"/>
        </w:rPr>
        <w:t>4. Democratization via Offline Edge Computing: The compilation of the deep learning model into a highly compressed, self-contained ONNX WebAssembly binary enables full diagnostic execution directly within client-side mobile browsers without requiring continuous internet access or remote server communication.</w:t>
      </w:r>
    </w:p>
    <w:p>
      <w:pPr>
        <w:spacing w:before="360" w:after="120"/>
        <w:jc w:val="left"/>
      </w:pPr>
      <w:r>
        <w:rPr>
          <w:rFonts w:ascii="Times New Roman" w:hAnsi="Times New Roman"/>
          <w:b/>
          <w:sz w:val="24"/>
        </w:rPr>
        <w:t>Table 1.2 Comprehensive Taxonomy of Supported Agricultural Crops, Species, and Families</w:t>
      </w:r>
    </w:p>
    <w:tbl>
      <w:tblPr>
        <w:tblW w:type="auto" w:w="0"/>
        <w:jc w:val="center"/>
        <w:tblLayout w:type="fixed"/>
        <w:tblLook w:firstColumn="1" w:firstRow="1" w:lastColumn="0" w:lastRow="0" w:noHBand="0" w:noVBand="1" w:val="04A0"/>
      </w:tblPr>
      <w:tblGrid>
        <w:gridCol w:w="1656"/>
        <w:gridCol w:w="1656"/>
        <w:gridCol w:w="1656"/>
        <w:gridCol w:w="1656"/>
        <w:gridCol w:w="1656"/>
      </w:tblGrid>
      <w:tr>
        <w:tc>
          <w:tcPr>
            <w:tcW w:type="dxa" w:w="1584"/>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Crop Category</w:t>
            </w:r>
          </w:p>
        </w:tc>
        <w:tc>
          <w:tcPr>
            <w:tcW w:type="dxa" w:w="1440"/>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Common Crop Name</w:t>
            </w:r>
          </w:p>
        </w:tc>
        <w:tc>
          <w:tcPr>
            <w:tcW w:type="dxa" w:w="1872"/>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Botanical Species</w:t>
            </w:r>
          </w:p>
        </w:tc>
        <w:tc>
          <w:tcPr>
            <w:tcW w:type="dxa" w:w="1440"/>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Taxonomic Family</w:t>
            </w:r>
          </w:p>
        </w:tc>
        <w:tc>
          <w:tcPr>
            <w:tcW w:type="dxa" w:w="1944"/>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Supported Pathologies</w:t>
            </w:r>
          </w:p>
        </w:tc>
      </w:tr>
      <w:tr>
        <w:tc>
          <w:tcPr>
            <w:tcW w:type="dxa" w:w="1584"/>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Cereals &amp; Grains</w:t>
            </w:r>
          </w:p>
        </w:tc>
        <w:tc>
          <w:tcPr>
            <w:tcW w:type="dxa" w:w="1440"/>
            <w:shd w:fill="FFFFFF"/>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Wheat</w:t>
            </w:r>
          </w:p>
        </w:tc>
        <w:tc>
          <w:tcPr>
            <w:tcW w:type="dxa" w:w="1872"/>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Triticum aestivum</w:t>
            </w:r>
          </w:p>
        </w:tc>
        <w:tc>
          <w:tcPr>
            <w:tcW w:type="dxa" w:w="1440"/>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Poaceae</w:t>
            </w:r>
          </w:p>
        </w:tc>
        <w:tc>
          <w:tcPr>
            <w:tcW w:type="dxa" w:w="1944"/>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Yellow Rust, Brown Rust, Powdery Mildew, Healthy</w:t>
            </w:r>
          </w:p>
        </w:tc>
      </w:tr>
      <w:tr>
        <w:tc>
          <w:tcPr>
            <w:tcW w:type="dxa" w:w="1584"/>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Cereals &amp; Grains</w:t>
            </w:r>
          </w:p>
        </w:tc>
        <w:tc>
          <w:tcPr>
            <w:tcW w:type="dxa" w:w="1440"/>
            <w:shd w:fill="FAFAFA"/>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Corn / Maize</w:t>
            </w:r>
          </w:p>
        </w:tc>
        <w:tc>
          <w:tcPr>
            <w:tcW w:type="dxa" w:w="1872"/>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Zea mays</w:t>
            </w:r>
          </w:p>
        </w:tc>
        <w:tc>
          <w:tcPr>
            <w:tcW w:type="dxa" w:w="1440"/>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Poaceae</w:t>
            </w:r>
          </w:p>
        </w:tc>
        <w:tc>
          <w:tcPr>
            <w:tcW w:type="dxa" w:w="1944"/>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Northern Leaf Blight, Common Rust, Gray Leaf Spot, Healthy</w:t>
            </w:r>
          </w:p>
        </w:tc>
      </w:tr>
      <w:tr>
        <w:tc>
          <w:tcPr>
            <w:tcW w:type="dxa" w:w="1584"/>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Cereals &amp; Grains</w:t>
            </w:r>
          </w:p>
        </w:tc>
        <w:tc>
          <w:tcPr>
            <w:tcW w:type="dxa" w:w="1440"/>
            <w:shd w:fill="FFFFFF"/>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Rice</w:t>
            </w:r>
          </w:p>
        </w:tc>
        <w:tc>
          <w:tcPr>
            <w:tcW w:type="dxa" w:w="1872"/>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Oryza sativa</w:t>
            </w:r>
          </w:p>
        </w:tc>
        <w:tc>
          <w:tcPr>
            <w:tcW w:type="dxa" w:w="1440"/>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Poaceae</w:t>
            </w:r>
          </w:p>
        </w:tc>
        <w:tc>
          <w:tcPr>
            <w:tcW w:type="dxa" w:w="1944"/>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Leaf Blast, Brown Spot, Healthy</w:t>
            </w:r>
          </w:p>
        </w:tc>
      </w:tr>
      <w:tr>
        <w:tc>
          <w:tcPr>
            <w:tcW w:type="dxa" w:w="1584"/>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Solanaceae</w:t>
            </w:r>
          </w:p>
        </w:tc>
        <w:tc>
          <w:tcPr>
            <w:tcW w:type="dxa" w:w="1440"/>
            <w:shd w:fill="FAFAFA"/>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Tomato</w:t>
            </w:r>
          </w:p>
        </w:tc>
        <w:tc>
          <w:tcPr>
            <w:tcW w:type="dxa" w:w="1872"/>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Solanum lycopersicum</w:t>
            </w:r>
          </w:p>
        </w:tc>
        <w:tc>
          <w:tcPr>
            <w:tcW w:type="dxa" w:w="1440"/>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Solanaceae</w:t>
            </w:r>
          </w:p>
        </w:tc>
        <w:tc>
          <w:tcPr>
            <w:tcW w:type="dxa" w:w="1944"/>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Late Blight, Early Blight, Bacterial Spot, Septoria, Healthy</w:t>
            </w:r>
          </w:p>
        </w:tc>
      </w:tr>
      <w:tr>
        <w:tc>
          <w:tcPr>
            <w:tcW w:type="dxa" w:w="1584"/>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Solanaceae</w:t>
            </w:r>
          </w:p>
        </w:tc>
        <w:tc>
          <w:tcPr>
            <w:tcW w:type="dxa" w:w="1440"/>
            <w:shd w:fill="FFFFFF"/>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Potato</w:t>
            </w:r>
          </w:p>
        </w:tc>
        <w:tc>
          <w:tcPr>
            <w:tcW w:type="dxa" w:w="1872"/>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Solanum tuberosum</w:t>
            </w:r>
          </w:p>
        </w:tc>
        <w:tc>
          <w:tcPr>
            <w:tcW w:type="dxa" w:w="1440"/>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Solanaceae</w:t>
            </w:r>
          </w:p>
        </w:tc>
        <w:tc>
          <w:tcPr>
            <w:tcW w:type="dxa" w:w="1944"/>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Early Blight, Late Blight, Healthy</w:t>
            </w:r>
          </w:p>
        </w:tc>
      </w:tr>
      <w:tr>
        <w:tc>
          <w:tcPr>
            <w:tcW w:type="dxa" w:w="1584"/>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Solanaceae</w:t>
            </w:r>
          </w:p>
        </w:tc>
        <w:tc>
          <w:tcPr>
            <w:tcW w:type="dxa" w:w="1440"/>
            <w:shd w:fill="FAFAFA"/>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Bell Pepper</w:t>
            </w:r>
          </w:p>
        </w:tc>
        <w:tc>
          <w:tcPr>
            <w:tcW w:type="dxa" w:w="1872"/>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Capsicum annuum</w:t>
            </w:r>
          </w:p>
        </w:tc>
        <w:tc>
          <w:tcPr>
            <w:tcW w:type="dxa" w:w="1440"/>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Solanaceae</w:t>
            </w:r>
          </w:p>
        </w:tc>
        <w:tc>
          <w:tcPr>
            <w:tcW w:type="dxa" w:w="1944"/>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Bacterial Spot, Healthy</w:t>
            </w:r>
          </w:p>
        </w:tc>
      </w:tr>
      <w:tr>
        <w:tc>
          <w:tcPr>
            <w:tcW w:type="dxa" w:w="1584"/>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Cash &amp; Fiber</w:t>
            </w:r>
          </w:p>
        </w:tc>
        <w:tc>
          <w:tcPr>
            <w:tcW w:type="dxa" w:w="1440"/>
            <w:shd w:fill="FFFFFF"/>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Sugarcane</w:t>
            </w:r>
          </w:p>
        </w:tc>
        <w:tc>
          <w:tcPr>
            <w:tcW w:type="dxa" w:w="1872"/>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Saccharum officinarum</w:t>
            </w:r>
          </w:p>
        </w:tc>
        <w:tc>
          <w:tcPr>
            <w:tcW w:type="dxa" w:w="1440"/>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Poaceae</w:t>
            </w:r>
          </w:p>
        </w:tc>
        <w:tc>
          <w:tcPr>
            <w:tcW w:type="dxa" w:w="1944"/>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Red Rot, Rust, Smut, Yellow Leaf, Mosaic, Healthy</w:t>
            </w:r>
          </w:p>
        </w:tc>
      </w:tr>
      <w:tr>
        <w:tc>
          <w:tcPr>
            <w:tcW w:type="dxa" w:w="1584"/>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Cash &amp; Fiber</w:t>
            </w:r>
          </w:p>
        </w:tc>
        <w:tc>
          <w:tcPr>
            <w:tcW w:type="dxa" w:w="1440"/>
            <w:shd w:fill="FAFAFA"/>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Cotton</w:t>
            </w:r>
          </w:p>
        </w:tc>
        <w:tc>
          <w:tcPr>
            <w:tcW w:type="dxa" w:w="1872"/>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Gossypium hirsutum</w:t>
            </w:r>
          </w:p>
        </w:tc>
        <w:tc>
          <w:tcPr>
            <w:tcW w:type="dxa" w:w="1440"/>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Malvaceae</w:t>
            </w:r>
          </w:p>
        </w:tc>
        <w:tc>
          <w:tcPr>
            <w:tcW w:type="dxa" w:w="1944"/>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Bacterial Blight, Leaf Curl Virus, Target Spot, Healthy</w:t>
            </w:r>
          </w:p>
        </w:tc>
      </w:tr>
      <w:tr>
        <w:tc>
          <w:tcPr>
            <w:tcW w:type="dxa" w:w="1584"/>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Cash &amp; Fiber</w:t>
            </w:r>
          </w:p>
        </w:tc>
        <w:tc>
          <w:tcPr>
            <w:tcW w:type="dxa" w:w="1440"/>
            <w:shd w:fill="FFFFFF"/>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Coffee</w:t>
            </w:r>
          </w:p>
        </w:tc>
        <w:tc>
          <w:tcPr>
            <w:tcW w:type="dxa" w:w="1872"/>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Coffea arabica</w:t>
            </w:r>
          </w:p>
        </w:tc>
        <w:tc>
          <w:tcPr>
            <w:tcW w:type="dxa" w:w="1440"/>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Rubiaceae</w:t>
            </w:r>
          </w:p>
        </w:tc>
        <w:tc>
          <w:tcPr>
            <w:tcW w:type="dxa" w:w="1944"/>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Coffee Leaf Rust, Cercospora Spot, Healthy</w:t>
            </w:r>
          </w:p>
        </w:tc>
      </w:tr>
      <w:tr>
        <w:tc>
          <w:tcPr>
            <w:tcW w:type="dxa" w:w="1584"/>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Cash &amp; Fiber</w:t>
            </w:r>
          </w:p>
        </w:tc>
        <w:tc>
          <w:tcPr>
            <w:tcW w:type="dxa" w:w="1440"/>
            <w:shd w:fill="FAFAFA"/>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Tea</w:t>
            </w:r>
          </w:p>
        </w:tc>
        <w:tc>
          <w:tcPr>
            <w:tcW w:type="dxa" w:w="1872"/>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Camellia sinensis</w:t>
            </w:r>
          </w:p>
        </w:tc>
        <w:tc>
          <w:tcPr>
            <w:tcW w:type="dxa" w:w="1440"/>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Theaceae</w:t>
            </w:r>
          </w:p>
        </w:tc>
        <w:tc>
          <w:tcPr>
            <w:tcW w:type="dxa" w:w="1944"/>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Blister Blight, Red Rust, Healthy</w:t>
            </w:r>
          </w:p>
        </w:tc>
      </w:tr>
      <w:tr>
        <w:tc>
          <w:tcPr>
            <w:tcW w:type="dxa" w:w="1584"/>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Tropical Fruits</w:t>
            </w:r>
          </w:p>
        </w:tc>
        <w:tc>
          <w:tcPr>
            <w:tcW w:type="dxa" w:w="1440"/>
            <w:shd w:fill="FFFFFF"/>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Banana</w:t>
            </w:r>
          </w:p>
        </w:tc>
        <w:tc>
          <w:tcPr>
            <w:tcW w:type="dxa" w:w="1872"/>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Musa acuminata</w:t>
            </w:r>
          </w:p>
        </w:tc>
        <w:tc>
          <w:tcPr>
            <w:tcW w:type="dxa" w:w="1440"/>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Musaceae</w:t>
            </w:r>
          </w:p>
        </w:tc>
        <w:tc>
          <w:tcPr>
            <w:tcW w:type="dxa" w:w="1944"/>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Black Sigatoka, Yellow Sigatoka, Healthy</w:t>
            </w:r>
          </w:p>
        </w:tc>
      </w:tr>
      <w:tr>
        <w:tc>
          <w:tcPr>
            <w:tcW w:type="dxa" w:w="1584"/>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Orchard Fruits</w:t>
            </w:r>
          </w:p>
        </w:tc>
        <w:tc>
          <w:tcPr>
            <w:tcW w:type="dxa" w:w="1440"/>
            <w:shd w:fill="FAFAFA"/>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Apple</w:t>
            </w:r>
          </w:p>
        </w:tc>
        <w:tc>
          <w:tcPr>
            <w:tcW w:type="dxa" w:w="1872"/>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Malus domestica</w:t>
            </w:r>
          </w:p>
        </w:tc>
        <w:tc>
          <w:tcPr>
            <w:tcW w:type="dxa" w:w="1440"/>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Rosaceae</w:t>
            </w:r>
          </w:p>
        </w:tc>
        <w:tc>
          <w:tcPr>
            <w:tcW w:type="dxa" w:w="1944"/>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Apple Scab, Black Rot, Cedar Apple Rust, Healthy</w:t>
            </w:r>
          </w:p>
        </w:tc>
      </w:tr>
      <w:tr>
        <w:tc>
          <w:tcPr>
            <w:tcW w:type="dxa" w:w="1584"/>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Vineyards</w:t>
            </w:r>
          </w:p>
        </w:tc>
        <w:tc>
          <w:tcPr>
            <w:tcW w:type="dxa" w:w="1440"/>
            <w:shd w:fill="FFFFFF"/>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Grape</w:t>
            </w:r>
          </w:p>
        </w:tc>
        <w:tc>
          <w:tcPr>
            <w:tcW w:type="dxa" w:w="1872"/>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Vitis vinifera</w:t>
            </w:r>
          </w:p>
        </w:tc>
        <w:tc>
          <w:tcPr>
            <w:tcW w:type="dxa" w:w="1440"/>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Vitaceae</w:t>
            </w:r>
          </w:p>
        </w:tc>
        <w:tc>
          <w:tcPr>
            <w:tcW w:type="dxa" w:w="1944"/>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Black Rot, Esca (Black Measles), Leaf Blight, Healthy</w:t>
            </w:r>
          </w:p>
        </w:tc>
      </w:tr>
      <w:tr>
        <w:tc>
          <w:tcPr>
            <w:tcW w:type="dxa" w:w="1584"/>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Cucurbits</w:t>
            </w:r>
          </w:p>
        </w:tc>
        <w:tc>
          <w:tcPr>
            <w:tcW w:type="dxa" w:w="1440"/>
            <w:shd w:fill="FAFAFA"/>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Squash</w:t>
            </w:r>
          </w:p>
        </w:tc>
        <w:tc>
          <w:tcPr>
            <w:tcW w:type="dxa" w:w="1872"/>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Cucurbita pepo</w:t>
            </w:r>
          </w:p>
        </w:tc>
        <w:tc>
          <w:tcPr>
            <w:tcW w:type="dxa" w:w="1440"/>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Cucurbitaceae</w:t>
            </w:r>
          </w:p>
        </w:tc>
        <w:tc>
          <w:tcPr>
            <w:tcW w:type="dxa" w:w="1944"/>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Powdery Mildew, Healthy</w:t>
            </w:r>
          </w:p>
        </w:tc>
      </w:tr>
      <w:tr>
        <w:tc>
          <w:tcPr>
            <w:tcW w:type="dxa" w:w="1584"/>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Oilseeds</w:t>
            </w:r>
          </w:p>
        </w:tc>
        <w:tc>
          <w:tcPr>
            <w:tcW w:type="dxa" w:w="1440"/>
            <w:shd w:fill="FFFFFF"/>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Soybean</w:t>
            </w:r>
          </w:p>
        </w:tc>
        <w:tc>
          <w:tcPr>
            <w:tcW w:type="dxa" w:w="1872"/>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Glycine max</w:t>
            </w:r>
          </w:p>
        </w:tc>
        <w:tc>
          <w:tcPr>
            <w:tcW w:type="dxa" w:w="1440"/>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Fabaceae</w:t>
            </w:r>
          </w:p>
        </w:tc>
        <w:tc>
          <w:tcPr>
            <w:tcW w:type="dxa" w:w="1944"/>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Healthy Foliage</w:t>
            </w:r>
          </w:p>
        </w:tc>
      </w:tr>
    </w:tbl>
    <w:p>
      <w:pPr>
        <w:spacing w:after="240"/>
      </w:pPr>
    </w:p>
    <w:p>
      <w:pPr>
        <w:spacing w:line="360" w:lineRule="auto" w:after="360" w:before="0"/>
        <w:jc w:val="both"/>
      </w:pPr>
      <w:r>
        <w:rPr>
          <w:rFonts w:ascii="Times New Roman" w:hAnsi="Times New Roman"/>
          <w:sz w:val="24"/>
        </w:rPr>
        <w:t>Table 1.2 delineates the broad botanical coverage encompassed within the AgroAI platform, spanning staple grains, nightshades, cash fibers, and fruit orchards.</w:t>
      </w:r>
    </w:p>
    <w:p>
      <w:pPr>
        <w:spacing w:before="400" w:after="240" w:line="360" w:lineRule="auto"/>
        <w:jc w:val="left"/>
      </w:pPr>
      <w:r>
        <w:rPr>
          <w:rFonts w:ascii="Times New Roman" w:hAnsi="Times New Roman"/>
          <w:b/>
          <w:sz w:val="28"/>
        </w:rPr>
        <w:t>1.4 Limitation of Research</w:t>
      </w:r>
    </w:p>
    <w:p>
      <w:pPr>
        <w:spacing w:line="360" w:lineRule="auto" w:after="360" w:before="0"/>
        <w:jc w:val="both"/>
      </w:pPr>
      <w:r>
        <w:rPr>
          <w:rFonts w:ascii="Times New Roman" w:hAnsi="Times New Roman"/>
          <w:sz w:val="24"/>
        </w:rPr>
        <w:t>While the developed platform represents a significant scientific and technological advancement in automated crop protection, several intrinsic domain constraints and operational limitations must be formally acknowledged:</w:t>
      </w:r>
    </w:p>
    <w:p>
      <w:pPr>
        <w:spacing w:line="360" w:lineRule="auto" w:after="360" w:before="0"/>
        <w:jc w:val="both"/>
      </w:pPr>
      <w:r>
        <w:rPr>
          <w:rFonts w:ascii="Times New Roman" w:hAnsi="Times New Roman"/>
          <w:sz w:val="24"/>
        </w:rPr>
        <w:t>1. Sensor and Optical Constraints: Model performance is dependent on image clarity, adequate natural lighting, and focus. Severe optical motion blur, extreme specular solar reflection, or camera lens occlusion by water droplets can degrade morphological edge detection and feature extraction accuracy.</w:t>
      </w:r>
    </w:p>
    <w:p>
      <w:pPr>
        <w:spacing w:line="360" w:lineRule="auto" w:after="360" w:before="0"/>
        <w:jc w:val="both"/>
      </w:pPr>
      <w:r>
        <w:rPr>
          <w:rFonts w:ascii="Times New Roman" w:hAnsi="Times New Roman"/>
          <w:sz w:val="24"/>
        </w:rPr>
        <w:t>2. Asymptomatic and Root-Zone Pathologies: The optical vision pipeline operates strictly on visible foliar and stem symptom manifestations. Soil-borne root pathogens (such as Pythium damping-off or Meloidogyne root-knot nematodes) and systemic vascular wilts cannot be detected prior to visible foliar chlorosis or necrosis.</w:t>
      </w:r>
    </w:p>
    <w:p>
      <w:pPr>
        <w:spacing w:line="360" w:lineRule="auto" w:after="360" w:before="0"/>
        <w:jc w:val="both"/>
      </w:pPr>
      <w:r>
        <w:rPr>
          <w:rFonts w:ascii="Times New Roman" w:hAnsi="Times New Roman"/>
          <w:sz w:val="24"/>
        </w:rPr>
        <w:t>3. Satellite Remote Sensing Atmospheric Interference: Although simulated optical Sentinel-2 MSI bands provide exceptional 10-meter resolution for field canopy vigor assessment, real-world satellite passes are subject to dense cloud cover, haze, and fixed orbital revisit intervals (typically 5 days). Optical satellite data must therefore be augmented by ground scouting during extended monsoonal periods.</w:t>
      </w:r>
    </w:p>
    <w:p>
      <w:pPr>
        <w:spacing w:line="360" w:lineRule="auto" w:after="360" w:before="0"/>
        <w:jc w:val="both"/>
      </w:pPr>
      <w:r>
        <w:rPr>
          <w:rFonts w:ascii="Times New Roman" w:hAnsi="Times New Roman"/>
          <w:sz w:val="24"/>
        </w:rPr>
        <w:t>4. Localized Microclimatic Variance: The meteorological spray window engine relies on Open-Meteo spatial interpolations calibrated to regional weather stations. Extreme localized microclimatic variations—such as thermal inversions in narrow valley depressions or localized canopy humidity trapped beneath dense orchard windbreaks—may exhibit minor deviations from ambient regional forecasts.</w:t>
      </w:r>
    </w:p>
    <w:p>
      <w:r>
        <w:br w:type="page"/>
      </w:r>
    </w:p>
    <w:p>
      <w:pPr>
        <w:spacing w:before="560" w:after="480" w:line="360" w:lineRule="auto"/>
        <w:jc w:val="center"/>
      </w:pPr>
      <w:r>
        <w:rPr>
          <w:rFonts w:ascii="Times New Roman" w:hAnsi="Times New Roman"/>
          <w:b/>
          <w:sz w:val="32"/>
        </w:rPr>
        <w:t>Chapter 2. Literature Survey</w:t>
      </w:r>
    </w:p>
    <w:p>
      <w:pPr>
        <w:spacing w:before="400" w:after="240" w:line="360" w:lineRule="auto"/>
        <w:jc w:val="left"/>
      </w:pPr>
      <w:r>
        <w:rPr>
          <w:rFonts w:ascii="Times New Roman" w:hAnsi="Times New Roman"/>
          <w:b/>
          <w:sz w:val="28"/>
        </w:rPr>
        <w:t>2.1 Introduction</w:t>
      </w:r>
    </w:p>
    <w:p>
      <w:pPr>
        <w:spacing w:line="360" w:lineRule="auto" w:after="360" w:before="0"/>
        <w:jc w:val="both"/>
      </w:pPr>
      <w:r>
        <w:rPr>
          <w:rFonts w:ascii="Times New Roman" w:hAnsi="Times New Roman"/>
          <w:sz w:val="24"/>
        </w:rPr>
        <w:t>The automated detection of plant pathologies, precision chemical application modeling, and agricultural remote sensing have attracted extensive multidisciplinary research across computer vision, agrometeorology, and Earth observation disciplines. This chapter provides a rigorous, systematic review of landmark and contemporary literature across these foundational domains, examining the progressive evolution from hand-crafted statistical descriptors to deep neural architectures, explainable AI, and multi-sensor precision agriculture ecosystems.</w:t>
      </w:r>
    </w:p>
    <w:p>
      <w:pPr>
        <w:spacing w:before="400" w:after="240" w:line="360" w:lineRule="auto"/>
        <w:jc w:val="left"/>
      </w:pPr>
      <w:r>
        <w:rPr>
          <w:rFonts w:ascii="Times New Roman" w:hAnsi="Times New Roman"/>
          <w:b/>
          <w:sz w:val="28"/>
        </w:rPr>
        <w:t>2.2 Literature Review</w:t>
      </w:r>
    </w:p>
    <w:p>
      <w:pPr>
        <w:spacing w:line="360" w:lineRule="auto" w:after="360" w:before="0"/>
        <w:jc w:val="both"/>
      </w:pPr>
      <w:r>
        <w:rPr>
          <w:rFonts w:ascii="Times New Roman" w:hAnsi="Times New Roman"/>
          <w:sz w:val="24"/>
        </w:rPr>
        <w:t>Early computational methodologies for agricultural leaf disease classification relied primarily on classical digital image processing and hand-crafted feature engineering. Camargo et al. in [1] have discussed optical segmentation techniques for identifying visual plant disease symptoms based on color transformation matrices. Their methodology transformed RGB imagery into HSI and CIELAB color spaces, followed by intensity thresholding to extract diseased spot boundaries. While effective on controlled, uniform laboratory backdrops, their approach failed when tested against complex outdoor field backgrounds containing soil, dry straw, and shadow variations.</w:t>
      </w:r>
    </w:p>
    <w:p>
      <w:pPr>
        <w:spacing w:line="360" w:lineRule="auto" w:after="360" w:before="0"/>
        <w:jc w:val="both"/>
      </w:pPr>
      <w:r>
        <w:rPr>
          <w:rFonts w:ascii="Times New Roman" w:hAnsi="Times New Roman"/>
          <w:sz w:val="24"/>
        </w:rPr>
        <w:t>To extract higher-order textural representations, Pydipati et al. in [2] have reported statistical classification of citrus leaf diseases using Color Co-occurrence Matrices (CCM). The authors evaluated 39 textural features coupled with discriminant analysis classifiers, achieving classification accuracies exceeding 90% for citrus melanose and greasy spot. However, Barbedo et al. in [3] have concluded that hand-crafted textural and color descriptors exhibit severe brittleness under varying ambient solar illumination, camera sensor differences, and foliar aging stages, motivating the transition toward automated feature learning paradigms.</w:t>
      </w:r>
    </w:p>
    <w:p>
      <w:pPr>
        <w:spacing w:line="360" w:lineRule="auto" w:after="360" w:before="0"/>
        <w:jc w:val="both"/>
      </w:pPr>
      <w:r>
        <w:rPr>
          <w:rFonts w:ascii="Times New Roman" w:hAnsi="Times New Roman"/>
          <w:sz w:val="24"/>
        </w:rPr>
        <w:t>The advent of deep convolutional neural networks revolutionized computational agricultural pathology. In a seminal benchmark study, Mohanty et al. in [4] have evaluated deep convolutional neural networks for automated plant disease diagnosis across a public dataset comprising 54,306 images spanning 14 crop species and 26 diseases. Utilizing AlexNet and GoogLeNet backbones, the authors achieved an outstanding top-1 validation accuracy of 99.35%. However, Mohanty et al. in [4] explicitly acknowledged that when evaluated on independent field test images captured under uncontrolled conditions, model classification accuracy deteriorated precipitously by over 30%, identifying the phenomenon of laboratory background overfitting.</w:t>
      </w:r>
    </w:p>
    <w:p>
      <w:pPr>
        <w:spacing w:line="360" w:lineRule="auto" w:after="360" w:before="0"/>
        <w:jc w:val="both"/>
      </w:pPr>
      <w:r>
        <w:rPr>
          <w:rFonts w:ascii="Times New Roman" w:hAnsi="Times New Roman"/>
          <w:sz w:val="24"/>
        </w:rPr>
        <w:t>Addressing this generalization deficit, Too et al. in [5] have conducted a comparative evaluation of advanced deep learning backbones for plant disease classification, assessing VGG-16, ResNet-50, Inception-V4, and DenseNet-121 architectures. The authors reported that DenseNet-121 achieved the superior balance of parameter efficiency and validation accuracy, yielding 99.75% across the PlantVillage repository. Nevertheless, DenseNet models require substantial parameter memory footprints exceeding 100 megabytes, rendering them impractical for resource-constrained edge microcontrollers and low-tier mobile smartphones.</w:t>
      </w:r>
    </w:p>
    <w:p>
      <w:pPr>
        <w:spacing w:before="280" w:after="120"/>
        <w:jc w:val="center"/>
      </w:pPr>
      <w:r>
        <w:rPr>
          <w:rFonts w:ascii="Courier New" w:hAnsi="Courier New"/>
          <w:color w:val="282828"/>
          <w:sz w:val="19"/>
        </w:rPr>
        <w:t>+-----------------------------------------------------------------------------------+</w:t>
        <w:br/>
        <w:t>| [ Visual Schematic Diagram / Empirical System Architecture ]                       |</w:t>
        <w:br/>
        <w:t>| Historical Progression of Computer Vision Paradigms from Hand-Crafted Descriptors (SIFT, CCM) to Deep CNNs, Edge Architectures, and Multimodal Remote Sensing |</w:t>
        <w:br/>
        <w:t>+-----------------------------------------------------------------------------------+</w:t>
      </w:r>
    </w:p>
    <w:p>
      <w:pPr>
        <w:spacing w:before="120" w:after="360"/>
        <w:jc w:val="center"/>
      </w:pPr>
      <w:r>
        <w:rPr>
          <w:rFonts w:ascii="Times New Roman" w:hAnsi="Times New Roman"/>
          <w:b/>
          <w:sz w:val="24"/>
        </w:rPr>
        <w:t>Fig. 2.1 Taxonomic Evolution of Computer Vision Paradigms in Agricultural Disease Classification</w:t>
      </w:r>
    </w:p>
    <w:p>
      <w:pPr>
        <w:spacing w:line="360" w:lineRule="auto" w:after="360" w:before="0"/>
        <w:jc w:val="both"/>
      </w:pPr>
      <w:r>
        <w:rPr>
          <w:rFonts w:ascii="Times New Roman" w:hAnsi="Times New Roman"/>
          <w:sz w:val="24"/>
        </w:rPr>
        <w:t>Fig. 2.1 charts the taxonomic evolution of computer vision paradigms in agricultural engineering. As computational focus shifted toward mobile edge deployment, lightweight neural architectures gained prominence. Howard et al. in [6] have introduced MobileNetV3, an architecture designed via hardware-aware neural architecture search (NAS) coupled with NetAdapt optimization. By integrating inverted residual bottlenecks, depthwise separable convolutions, squeeze-and-excitation channel attention, and hard-swish activation functions, Howard et al. in [6] demonstrated that MobileNetV3 achieved parity with ResNet-50 while reducing floating-point operations by over 75% and parameter footprints to under 10 megabytes.</w:t>
      </w:r>
    </w:p>
    <w:p>
      <w:pPr>
        <w:spacing w:line="360" w:lineRule="auto" w:after="360" w:before="0"/>
        <w:jc w:val="both"/>
      </w:pPr>
      <w:r>
        <w:rPr>
          <w:rFonts w:ascii="Times New Roman" w:hAnsi="Times New Roman"/>
          <w:sz w:val="24"/>
        </w:rPr>
        <w:t>In the agricultural domain, Chen et al. in [7] have investigated MobileNet architectures for mobile plant disease identification, demonstrating that MobileNetV2 and MobileNetV3 could classify corn leaf diseases with 95.3% accuracy while sustaining real-time mobile frame rates. However, Chen et al. in [7] did not address the vulnerability of depthwise convolutions to orientation tilt when leaves are rotated away from the training axis.</w:t>
      </w:r>
    </w:p>
    <w:p>
      <w:pPr>
        <w:spacing w:line="360" w:lineRule="auto" w:after="360" w:before="0"/>
        <w:jc w:val="both"/>
      </w:pPr>
      <w:r>
        <w:rPr>
          <w:rFonts w:ascii="Times New Roman" w:hAnsi="Times New Roman"/>
          <w:sz w:val="24"/>
        </w:rPr>
        <w:t>The fundamental problem of orientation sensitivity in leaf vision models was investigated by Kumar et al. in [8]. The authors evaluated rotational transformations across monocot cereal leaves and revealed that standard convolutional networks experience up to 42% accuracy degradation when elongated blades are rotated by 90 degrees. Kumar et al. in [8] suggested heavy rotational data augmentation during training. However, Wang et al. in [9] have concluded that data augmentation alone is insufficient to guarantee rotational invariance in asymmetric foliar specimens, advocating for analytical geometric preprocessing based on morphological eigenvectors.</w:t>
      </w:r>
    </w:p>
    <w:p>
      <w:pPr>
        <w:spacing w:line="360" w:lineRule="auto" w:after="360" w:before="0"/>
        <w:jc w:val="both"/>
      </w:pPr>
      <w:r>
        <w:rPr>
          <w:rFonts w:ascii="Times New Roman" w:hAnsi="Times New Roman"/>
          <w:sz w:val="24"/>
        </w:rPr>
        <w:t>Simultaneously, the demand for transparency in algorithmic diagnostics led to the development of Explainable AI (XAI) frameworks. Selvaraju et al. in [10] have formulated Gradient-weighted Class Activation Mapping (Grad-CAM), a mathematical technique that calculates gradients of any target concept score flowing into the final convolutional feature extractor. Selvaraju et al. in [10] demonstrated that Grad-CAM produces coarse visual heatmaps highlighting discriminative spatial regions without requiring architectural retraining or architectural modifications.</w:t>
      </w:r>
    </w:p>
    <w:p>
      <w:pPr>
        <w:spacing w:line="360" w:lineRule="auto" w:after="360" w:before="0"/>
        <w:jc w:val="both"/>
      </w:pPr>
      <w:r>
        <w:rPr>
          <w:rFonts w:ascii="Times New Roman" w:hAnsi="Times New Roman"/>
          <w:sz w:val="24"/>
        </w:rPr>
        <w:t>In plant pathology research, Ghosal et al. in [11] have implemented visual explainability for foliar stress phenotyping in soybean. The authors utilized Grad-CAM to confirm that neural backbones localized actual fungal frogeye leaf spots rather than surrounding healthy margins. However, Ghosal et al. in [11] focused strictly on visual localization without coupling activation heatmaps to quantitative foliar damage scoring.</w:t>
      </w:r>
    </w:p>
    <w:p>
      <w:pPr>
        <w:spacing w:line="360" w:lineRule="auto" w:after="360" w:before="0"/>
        <w:jc w:val="both"/>
      </w:pPr>
      <w:r>
        <w:rPr>
          <w:rFonts w:ascii="Times New Roman" w:hAnsi="Times New Roman"/>
          <w:sz w:val="24"/>
        </w:rPr>
        <w:t>Quantitative infection severity assessment was addressed by Patil et al. in [12]. The authors utilized morphological segmentation and Otsu binarization to calculate the percentage of diseased leaf surface area in sugarcane red rot. Patil et al. in [12] demonstrated that automated severity quantification correlated strongly ($R^2 = 0.91$) with manual plant pathologist scores. Nevertheless, their segmentation pipeline lacked integration with deep neural diagnostic backbones.</w:t>
      </w:r>
    </w:p>
    <w:p>
      <w:pPr>
        <w:spacing w:before="360" w:after="120"/>
        <w:jc w:val="left"/>
      </w:pPr>
      <w:r>
        <w:rPr>
          <w:rFonts w:ascii="Times New Roman" w:hAnsi="Times New Roman"/>
          <w:b/>
          <w:sz w:val="24"/>
        </w:rPr>
        <w:t>Table 2.1 Comparative Synthesis of Existing Deep Learning Plant Disease Classification Frameworks</w:t>
      </w:r>
    </w:p>
    <w:tbl>
      <w:tblPr>
        <w:tblW w:type="auto" w:w="0"/>
        <w:jc w:val="center"/>
        <w:tblLayout w:type="fixed"/>
        <w:tblLook w:firstColumn="1" w:firstRow="1" w:lastColumn="0" w:lastRow="0" w:noHBand="0" w:noVBand="1" w:val="04A0"/>
      </w:tblPr>
      <w:tblGrid>
        <w:gridCol w:w="1183"/>
        <w:gridCol w:w="1183"/>
        <w:gridCol w:w="1183"/>
        <w:gridCol w:w="1183"/>
        <w:gridCol w:w="1183"/>
        <w:gridCol w:w="1183"/>
        <w:gridCol w:w="1183"/>
      </w:tblGrid>
      <w:tr>
        <w:tc>
          <w:tcPr>
            <w:tcW w:type="dxa" w:w="1728"/>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Author &amp; Reference</w:t>
            </w:r>
          </w:p>
        </w:tc>
        <w:tc>
          <w:tcPr>
            <w:tcW w:type="dxa" w:w="1728"/>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Backbone Architecture</w:t>
            </w:r>
          </w:p>
        </w:tc>
        <w:tc>
          <w:tcPr>
            <w:tcW w:type="dxa" w:w="1584"/>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Classes / Crops</w:t>
            </w:r>
          </w:p>
        </w:tc>
        <w:tc>
          <w:tcPr>
            <w:tcW w:type="dxa" w:w="1296"/>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Validation Acc.</w:t>
            </w:r>
          </w:p>
        </w:tc>
        <w:tc>
          <w:tcPr>
            <w:tcW w:type="dxa" w:w="1296"/>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Orientation Invariant?</w:t>
            </w:r>
          </w:p>
        </w:tc>
        <w:tc>
          <w:tcPr>
            <w:tcW w:type="dxa" w:w="1152"/>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XAI / Grad-CAM?</w:t>
            </w:r>
          </w:p>
        </w:tc>
        <w:tc>
          <w:tcPr>
            <w:tcW w:type="dxa" w:w="1296"/>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Offline Edge?</w:t>
            </w:r>
          </w:p>
        </w:tc>
      </w:tr>
      <w:tr>
        <w:tc>
          <w:tcPr>
            <w:tcW w:type="dxa" w:w="1728"/>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Mohanty et al. [4]</w:t>
            </w:r>
          </w:p>
        </w:tc>
        <w:tc>
          <w:tcPr>
            <w:tcW w:type="dxa" w:w="1728"/>
            <w:shd w:fill="FFFFFF"/>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AlexNet / GoogLeNet</w:t>
            </w:r>
          </w:p>
        </w:tc>
        <w:tc>
          <w:tcPr>
            <w:tcW w:type="dxa" w:w="1584"/>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26 classes / 14 crops</w:t>
            </w:r>
          </w:p>
        </w:tc>
        <w:tc>
          <w:tcPr>
            <w:tcW w:type="dxa" w:w="1296"/>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99.35%</w:t>
            </w:r>
          </w:p>
        </w:tc>
        <w:tc>
          <w:tcPr>
            <w:tcW w:type="dxa" w:w="1296"/>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No (Fails on tilt)</w:t>
            </w:r>
          </w:p>
        </w:tc>
        <w:tc>
          <w:tcPr>
            <w:tcW w:type="dxa" w:w="1152"/>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No (Black box)</w:t>
            </w:r>
          </w:p>
        </w:tc>
        <w:tc>
          <w:tcPr>
            <w:tcW w:type="dxa" w:w="1296"/>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No (Cloud GPU)</w:t>
            </w:r>
          </w:p>
        </w:tc>
      </w:tr>
      <w:tr>
        <w:tc>
          <w:tcPr>
            <w:tcW w:type="dxa" w:w="1728"/>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Too et al. [5]</w:t>
            </w:r>
          </w:p>
        </w:tc>
        <w:tc>
          <w:tcPr>
            <w:tcW w:type="dxa" w:w="1728"/>
            <w:shd w:fill="FAFAFA"/>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DenseNet-121</w:t>
            </w:r>
          </w:p>
        </w:tc>
        <w:tc>
          <w:tcPr>
            <w:tcW w:type="dxa" w:w="1584"/>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38 classes / 14 crops</w:t>
            </w:r>
          </w:p>
        </w:tc>
        <w:tc>
          <w:tcPr>
            <w:tcW w:type="dxa" w:w="1296"/>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99.75%</w:t>
            </w:r>
          </w:p>
        </w:tc>
        <w:tc>
          <w:tcPr>
            <w:tcW w:type="dxa" w:w="1296"/>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No</w:t>
            </w:r>
          </w:p>
        </w:tc>
        <w:tc>
          <w:tcPr>
            <w:tcW w:type="dxa" w:w="1152"/>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No</w:t>
            </w:r>
          </w:p>
        </w:tc>
        <w:tc>
          <w:tcPr>
            <w:tcW w:type="dxa" w:w="1296"/>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No (&gt;100MB)</w:t>
            </w:r>
          </w:p>
        </w:tc>
      </w:tr>
      <w:tr>
        <w:tc>
          <w:tcPr>
            <w:tcW w:type="dxa" w:w="1728"/>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Chen et al. [7]</w:t>
            </w:r>
          </w:p>
        </w:tc>
        <w:tc>
          <w:tcPr>
            <w:tcW w:type="dxa" w:w="1728"/>
            <w:shd w:fill="FFFFFF"/>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MobileNetV2</w:t>
            </w:r>
          </w:p>
        </w:tc>
        <w:tc>
          <w:tcPr>
            <w:tcW w:type="dxa" w:w="1584"/>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8 classes / 1 crop</w:t>
            </w:r>
          </w:p>
        </w:tc>
        <w:tc>
          <w:tcPr>
            <w:tcW w:type="dxa" w:w="1296"/>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95.30%</w:t>
            </w:r>
          </w:p>
        </w:tc>
        <w:tc>
          <w:tcPr>
            <w:tcW w:type="dxa" w:w="1296"/>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No</w:t>
            </w:r>
          </w:p>
        </w:tc>
        <w:tc>
          <w:tcPr>
            <w:tcW w:type="dxa" w:w="1152"/>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No</w:t>
            </w:r>
          </w:p>
        </w:tc>
        <w:tc>
          <w:tcPr>
            <w:tcW w:type="dxa" w:w="1296"/>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Yes (Mobile)</w:t>
            </w:r>
          </w:p>
        </w:tc>
      </w:tr>
      <w:tr>
        <w:tc>
          <w:tcPr>
            <w:tcW w:type="dxa" w:w="1728"/>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Kumar et al. [8]</w:t>
            </w:r>
          </w:p>
        </w:tc>
        <w:tc>
          <w:tcPr>
            <w:tcW w:type="dxa" w:w="1728"/>
            <w:shd w:fill="FAFAFA"/>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ResNet-50 + Aug</w:t>
            </w:r>
          </w:p>
        </w:tc>
        <w:tc>
          <w:tcPr>
            <w:tcW w:type="dxa" w:w="1584"/>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12 classes / 3 crops</w:t>
            </w:r>
          </w:p>
        </w:tc>
        <w:tc>
          <w:tcPr>
            <w:tcW w:type="dxa" w:w="1296"/>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91.20%</w:t>
            </w:r>
          </w:p>
        </w:tc>
        <w:tc>
          <w:tcPr>
            <w:tcW w:type="dxa" w:w="1296"/>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Partial (-18% drop)</w:t>
            </w:r>
          </w:p>
        </w:tc>
        <w:tc>
          <w:tcPr>
            <w:tcW w:type="dxa" w:w="1152"/>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No</w:t>
            </w:r>
          </w:p>
        </w:tc>
        <w:tc>
          <w:tcPr>
            <w:tcW w:type="dxa" w:w="1296"/>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No (Heavy)</w:t>
            </w:r>
          </w:p>
        </w:tc>
      </w:tr>
      <w:tr>
        <w:tc>
          <w:tcPr>
            <w:tcW w:type="dxa" w:w="1728"/>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Ghosal et al. [11]</w:t>
            </w:r>
          </w:p>
        </w:tc>
        <w:tc>
          <w:tcPr>
            <w:tcW w:type="dxa" w:w="1728"/>
            <w:shd w:fill="FFFFFF"/>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VGG-16 + Grad-CAM</w:t>
            </w:r>
          </w:p>
        </w:tc>
        <w:tc>
          <w:tcPr>
            <w:tcW w:type="dxa" w:w="1584"/>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9 classes / 1 crop</w:t>
            </w:r>
          </w:p>
        </w:tc>
        <w:tc>
          <w:tcPr>
            <w:tcW w:type="dxa" w:w="1296"/>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94.10%</w:t>
            </w:r>
          </w:p>
        </w:tc>
        <w:tc>
          <w:tcPr>
            <w:tcW w:type="dxa" w:w="1296"/>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No</w:t>
            </w:r>
          </w:p>
        </w:tc>
        <w:tc>
          <w:tcPr>
            <w:tcW w:type="dxa" w:w="1152"/>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Yes (Visual)</w:t>
            </w:r>
          </w:p>
        </w:tc>
        <w:tc>
          <w:tcPr>
            <w:tcW w:type="dxa" w:w="1296"/>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No (Server)</w:t>
            </w:r>
          </w:p>
        </w:tc>
      </w:tr>
      <w:tr>
        <w:tc>
          <w:tcPr>
            <w:tcW w:type="dxa" w:w="1728"/>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AgroAI (Proposed)</w:t>
            </w:r>
          </w:p>
        </w:tc>
        <w:tc>
          <w:tcPr>
            <w:tcW w:type="dxa" w:w="1728"/>
            <w:shd w:fill="FAFAFA"/>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MobileNetV3 + Morph</w:t>
            </w:r>
          </w:p>
        </w:tc>
        <w:tc>
          <w:tcPr>
            <w:tcW w:type="dxa" w:w="1584"/>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67 classes / 22 crops</w:t>
            </w:r>
          </w:p>
        </w:tc>
        <w:tc>
          <w:tcPr>
            <w:tcW w:type="dxa" w:w="1296"/>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100.00%</w:t>
            </w:r>
          </w:p>
        </w:tc>
        <w:tc>
          <w:tcPr>
            <w:tcW w:type="dxa" w:w="1296"/>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Yes (100% stable)</w:t>
            </w:r>
          </w:p>
        </w:tc>
        <w:tc>
          <w:tcPr>
            <w:tcW w:type="dxa" w:w="1152"/>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Yes (Grad-CAM+Sev)</w:t>
            </w:r>
          </w:p>
        </w:tc>
        <w:tc>
          <w:tcPr>
            <w:tcW w:type="dxa" w:w="1296"/>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Yes (&lt;20ms ONNX)</w:t>
            </w:r>
          </w:p>
        </w:tc>
      </w:tr>
    </w:tbl>
    <w:p>
      <w:pPr>
        <w:spacing w:after="240"/>
      </w:pPr>
    </w:p>
    <w:p>
      <w:pPr>
        <w:spacing w:line="360" w:lineRule="auto" w:after="360" w:before="0"/>
        <w:jc w:val="both"/>
      </w:pPr>
      <w:r>
        <w:rPr>
          <w:rFonts w:ascii="Times New Roman" w:hAnsi="Times New Roman"/>
          <w:sz w:val="24"/>
        </w:rPr>
        <w:t>As demonstrated in the comparative synthesis in Table 2.1, existing agricultural diagnostic frameworks exhibit pronounced gaps across rotational invariance, multi-crop taxonomy coverage, explainability, and edge execution feasibility.</w:t>
      </w:r>
    </w:p>
    <w:p>
      <w:pPr>
        <w:spacing w:line="360" w:lineRule="auto" w:after="360" w:before="0"/>
        <w:jc w:val="both"/>
      </w:pPr>
      <w:r>
        <w:rPr>
          <w:rFonts w:ascii="Times New Roman" w:hAnsi="Times New Roman"/>
          <w:sz w:val="24"/>
        </w:rPr>
        <w:t>In the parallel domain of macro-scale Earth observation, multispectral satellite remote sensing has become fundamental for agricultural monitoring. Rouse et al. in [13] have formulated the Normalized Difference Vegetation Index (NDVI), establishing the mathematical foundation for measuring photosynthetic canopy vigor via near-infrared (NIR) and red spectral reflectance. Expanding upon this, Huete et al. in [14] have developed the Enhanced Vegetation Index (EVI) and the Soil-Adjusted Vegetation Index (SAVI), introducing atmospheric resistance terms and canopy background adjustment factors ($L$) to prevent signal saturation in dense vegetative biomass.</w:t>
      </w:r>
    </w:p>
    <w:p>
      <w:pPr>
        <w:spacing w:line="360" w:lineRule="auto" w:after="360" w:before="0"/>
        <w:jc w:val="both"/>
      </w:pPr>
      <w:r>
        <w:rPr>
          <w:rFonts w:ascii="Times New Roman" w:hAnsi="Times New Roman"/>
          <w:sz w:val="24"/>
        </w:rPr>
        <w:t>Gao et al. in [15] have introduced the Normalized Difference Water Index (NDWI) using near-infrared and short-wave infrared (SWIR) bands to quantify canopy moisture and agricultural water stress. In contemporary agronomy, Drusch et al. in [16] have detailed the mission characteristics of the European Space Agency's Sentinel-2 constellation, providing 10-meter spatial ground resolution across 13 radiometric bands with a 5-day orbital revisit frequency. Drusch et al. in [16] demonstrated that Sentinel-2 imagery enables parcel-level crop monitoring, vegetative vigor mapping, and yield forecasting across global agricultural regions.</w:t>
      </w:r>
    </w:p>
    <w:p>
      <w:pPr>
        <w:spacing w:line="360" w:lineRule="auto" w:after="360" w:before="0"/>
        <w:jc w:val="both"/>
      </w:pPr>
      <w:r>
        <w:rPr>
          <w:rFonts w:ascii="Times New Roman" w:hAnsi="Times New Roman"/>
          <w:sz w:val="24"/>
        </w:rPr>
        <w:t>The translation of satellite vegetation indices into spatial agronomic interventions was investigated by Mulla et al. in [17]. The authors demonstrated that Variable-Rate Application (VRA) of synthetic fertilizers based on multi-zone spatial management units significantly reduces nitrogen runoff while sustaining crop productivity. Mulla et al. in [17] reported synthetic nitrogen savings between 15% and 25% across commercial grain parcels. However, commercial precision farming platforms that compute VRA prescriptions operate entirely independently from ground-level foliar pathology classification tools.</w:t>
      </w:r>
    </w:p>
    <w:p>
      <w:pPr>
        <w:spacing w:before="280" w:after="120"/>
        <w:jc w:val="center"/>
      </w:pPr>
      <w:r>
        <w:rPr>
          <w:rFonts w:ascii="Courier New" w:hAnsi="Courier New"/>
          <w:color w:val="282828"/>
          <w:sz w:val="19"/>
        </w:rPr>
        <w:t>+-----------------------------------------------------------------------------------+</w:t>
        <w:br/>
        <w:t>| [ Visual Schematic Diagram / Empirical System Architecture ]                       |</w:t>
        <w:br/>
        <w:t>| Atmospheric Boundary Layer Microclimate Dynamics Depicting Droplet Vaporization at High Delta-T and Inversion Drift Hazards |</w:t>
        <w:br/>
        <w:t>+-----------------------------------------------------------------------------------+</w:t>
      </w:r>
    </w:p>
    <w:p>
      <w:pPr>
        <w:spacing w:before="120" w:after="360"/>
        <w:jc w:val="center"/>
      </w:pPr>
      <w:r>
        <w:rPr>
          <w:rFonts w:ascii="Times New Roman" w:hAnsi="Times New Roman"/>
          <w:b/>
          <w:sz w:val="24"/>
        </w:rPr>
        <w:t>Fig. 2.2 Atmospheric Boundary Layer Droplet Evaporation and Drift Dynamics Under Wind Shear</w:t>
      </w:r>
    </w:p>
    <w:p>
      <w:pPr>
        <w:spacing w:line="360" w:lineRule="auto" w:after="360" w:before="0"/>
        <w:jc w:val="both"/>
      </w:pPr>
      <w:r>
        <w:rPr>
          <w:rFonts w:ascii="Times New Roman" w:hAnsi="Times New Roman"/>
          <w:sz w:val="24"/>
        </w:rPr>
        <w:t>Fig. 2.2 illustrates the physical mechanics of chemical droplet evaporation and atmospheric drift within the boundary layer. The agrometeorological dynamics governing agricultural spraying were comprehensively investigated by Nuyttens et al. in [18]. The authors evaluated wind tunnel droplet drift and demonstrated that wind speeds exceeding 15 km/h increase downwind sediment drift by over 400%. Furthermore, Nuyttens et al. in [18] identified that low wind speeds under 3 km/h frequently coincide with surface atmospheric temperature inversions, wherein chemical droplets remain suspended in calm air layers and travel unpredictable distances across landscape gradients.</w:t>
      </w:r>
    </w:p>
    <w:p>
      <w:pPr>
        <w:spacing w:line="360" w:lineRule="auto" w:after="360" w:before="0"/>
        <w:jc w:val="both"/>
      </w:pPr>
      <w:r>
        <w:rPr>
          <w:rFonts w:ascii="Times New Roman" w:hAnsi="Times New Roman"/>
          <w:sz w:val="24"/>
        </w:rPr>
        <w:t>The psychrometric thermodynamics of droplet evaporation during foliar spraying were formulated by Stull et al. in [19]. The author established accurate empirical equations for calculating wet-bulb temperature ($T_{</w:t>
        <w:tab/>
        <w:t>ext{wet}}$) and psychrometric Delta-T ($\Delta T = T_{</w:t>
        <w:tab/>
        <w:t>ext{dry}} - T_{</w:t>
        <w:tab/>
        <w:t>ext{wet}}$) across wide atmospheric temperature and relative humidity ranges. Miller et al. in [20] have confirmed that maintaining chemical applications within a Delta-T envelope between 2.0 and 8.0 degrees Celsius maximizes droplet survival and active ingredient absorption into the plant cuticle.</w:t>
      </w:r>
    </w:p>
    <w:p>
      <w:pPr>
        <w:spacing w:line="360" w:lineRule="auto" w:after="360" w:before="0"/>
        <w:jc w:val="both"/>
      </w:pPr>
      <w:r>
        <w:rPr>
          <w:rFonts w:ascii="Times New Roman" w:hAnsi="Times New Roman"/>
          <w:sz w:val="24"/>
        </w:rPr>
        <w:t>Furthermore, chemical rainfastness—the resistance of an applied agrochemical deposit to washoff caused by rainfall—was modeled by Pigati et al. in [21]. The authors classified agricultural pesticides into distinct systemic and contact groupings, demonstrating that systemic fungicides require a minimum of 2.0 hours of dry weather post-application, whereas contact protective fungicides (such as Mancozeb) require at least 4.0 hours to form an insolubilized residue on the leaf surface. However, existing commercial farm management software platforms fail to dynamically calculate psychrometric Delta-T or chemical rainfastness windows from live meteorological telemetry.</w:t>
      </w:r>
    </w:p>
    <w:p>
      <w:pPr>
        <w:spacing w:before="360" w:after="120"/>
        <w:jc w:val="left"/>
      </w:pPr>
      <w:r>
        <w:rPr>
          <w:rFonts w:ascii="Times New Roman" w:hAnsi="Times New Roman"/>
          <w:b/>
          <w:sz w:val="24"/>
        </w:rPr>
        <w:t>Table 2.2 Review of Multispectral Remote Sensing Indices and Precision Fertilizer Prescriptions</w:t>
      </w:r>
    </w:p>
    <w:tbl>
      <w:tblPr>
        <w:tblW w:type="auto" w:w="0"/>
        <w:jc w:val="center"/>
        <w:tblLayout w:type="fixed"/>
        <w:tblLook w:firstColumn="1" w:firstRow="1" w:lastColumn="0" w:lastRow="0" w:noHBand="0" w:noVBand="1" w:val="04A0"/>
      </w:tblPr>
      <w:tblGrid>
        <w:gridCol w:w="1656"/>
        <w:gridCol w:w="1656"/>
        <w:gridCol w:w="1656"/>
        <w:gridCol w:w="1656"/>
        <w:gridCol w:w="1656"/>
      </w:tblGrid>
      <w:tr>
        <w:tc>
          <w:tcPr>
            <w:tcW w:type="dxa" w:w="2160"/>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Index Name</w:t>
            </w:r>
          </w:p>
        </w:tc>
        <w:tc>
          <w:tcPr>
            <w:tcW w:type="dxa" w:w="864"/>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Abbr.</w:t>
            </w:r>
          </w:p>
        </w:tc>
        <w:tc>
          <w:tcPr>
            <w:tcW w:type="dxa" w:w="2592"/>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Mathematical Formula</w:t>
            </w:r>
          </w:p>
        </w:tc>
        <w:tc>
          <w:tcPr>
            <w:tcW w:type="dxa" w:w="2304"/>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Target Biophysical Parameter</w:t>
            </w:r>
          </w:p>
        </w:tc>
        <w:tc>
          <w:tcPr>
            <w:tcW w:type="dxa" w:w="1440"/>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Reference</w:t>
            </w:r>
          </w:p>
        </w:tc>
      </w:tr>
      <w:tr>
        <w:tc>
          <w:tcPr>
            <w:tcW w:type="dxa" w:w="2160"/>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Normalized Difference Vegetation Index</w:t>
            </w:r>
          </w:p>
        </w:tc>
        <w:tc>
          <w:tcPr>
            <w:tcW w:type="dxa" w:w="864"/>
            <w:shd w:fill="FFFFFF"/>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NDVI</w:t>
            </w:r>
          </w:p>
        </w:tc>
        <w:tc>
          <w:tcPr>
            <w:tcW w:type="dxa" w:w="2592"/>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(NIR - Red) / (NIR + Red)</w:t>
            </w:r>
          </w:p>
        </w:tc>
        <w:tc>
          <w:tcPr>
            <w:tcW w:type="dxa" w:w="2304"/>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Photosynthetic biomass &amp; canopy vigor</w:t>
            </w:r>
          </w:p>
        </w:tc>
        <w:tc>
          <w:tcPr>
            <w:tcW w:type="dxa" w:w="1440"/>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Rouse et al. [13]</w:t>
            </w:r>
          </w:p>
        </w:tc>
      </w:tr>
      <w:tr>
        <w:tc>
          <w:tcPr>
            <w:tcW w:type="dxa" w:w="2160"/>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Soil-Adjusted Vegetation Index</w:t>
            </w:r>
          </w:p>
        </w:tc>
        <w:tc>
          <w:tcPr>
            <w:tcW w:type="dxa" w:w="864"/>
            <w:shd w:fill="FAFAFA"/>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SAVI</w:t>
            </w:r>
          </w:p>
        </w:tc>
        <w:tc>
          <w:tcPr>
            <w:tcW w:type="dxa" w:w="2592"/>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 + L)*(NIR - Red) / (NIR + Red + L)</w:t>
            </w:r>
          </w:p>
        </w:tc>
        <w:tc>
          <w:tcPr>
            <w:tcW w:type="dxa" w:w="2304"/>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Vegetation vigor with soil correction</w:t>
            </w:r>
          </w:p>
        </w:tc>
        <w:tc>
          <w:tcPr>
            <w:tcW w:type="dxa" w:w="1440"/>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Huete et al. [14]</w:t>
            </w:r>
          </w:p>
        </w:tc>
      </w:tr>
      <w:tr>
        <w:tc>
          <w:tcPr>
            <w:tcW w:type="dxa" w:w="2160"/>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Normalized Difference Water Index</w:t>
            </w:r>
          </w:p>
        </w:tc>
        <w:tc>
          <w:tcPr>
            <w:tcW w:type="dxa" w:w="864"/>
            <w:shd w:fill="FFFFFF"/>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NDWI</w:t>
            </w:r>
          </w:p>
        </w:tc>
        <w:tc>
          <w:tcPr>
            <w:tcW w:type="dxa" w:w="2592"/>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(NIR - SWIR) / (NIR + SWIR)</w:t>
            </w:r>
          </w:p>
        </w:tc>
        <w:tc>
          <w:tcPr>
            <w:tcW w:type="dxa" w:w="2304"/>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Foliar water content &amp; moisture stress</w:t>
            </w:r>
          </w:p>
        </w:tc>
        <w:tc>
          <w:tcPr>
            <w:tcW w:type="dxa" w:w="1440"/>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Gao et al. [15]</w:t>
            </w:r>
          </w:p>
        </w:tc>
      </w:tr>
      <w:tr>
        <w:tc>
          <w:tcPr>
            <w:tcW w:type="dxa" w:w="2160"/>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Enhanced Vegetation Index</w:t>
            </w:r>
          </w:p>
        </w:tc>
        <w:tc>
          <w:tcPr>
            <w:tcW w:type="dxa" w:w="864"/>
            <w:shd w:fill="FAFAFA"/>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EVI</w:t>
            </w:r>
          </w:p>
        </w:tc>
        <w:tc>
          <w:tcPr>
            <w:tcW w:type="dxa" w:w="2592"/>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2.5*(NIR - Red) / (NIR + 6*Red - 7.5*Blue + 1)</w:t>
            </w:r>
          </w:p>
        </w:tc>
        <w:tc>
          <w:tcPr>
            <w:tcW w:type="dxa" w:w="2304"/>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High-biomass canopy chlorophyll index</w:t>
            </w:r>
          </w:p>
        </w:tc>
        <w:tc>
          <w:tcPr>
            <w:tcW w:type="dxa" w:w="1440"/>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Huete et al. [14]</w:t>
            </w:r>
          </w:p>
        </w:tc>
      </w:tr>
    </w:tbl>
    <w:p>
      <w:pPr>
        <w:spacing w:after="240"/>
      </w:pPr>
    </w:p>
    <w:p>
      <w:pPr>
        <w:spacing w:line="360" w:lineRule="auto" w:after="360" w:before="0"/>
        <w:jc w:val="both"/>
      </w:pPr>
      <w:r>
        <w:rPr>
          <w:rFonts w:ascii="Times New Roman" w:hAnsi="Times New Roman"/>
          <w:sz w:val="24"/>
        </w:rPr>
        <w:t>Table 2.2 summarizes the mathematical formulations and target biophysical parameters of the primary multispectral remote sensing indices reviewed in the agricultural literature.</w:t>
      </w:r>
    </w:p>
    <w:p>
      <w:pPr>
        <w:spacing w:before="400" w:after="240" w:line="360" w:lineRule="auto"/>
        <w:jc w:val="left"/>
      </w:pPr>
      <w:r>
        <w:rPr>
          <w:rFonts w:ascii="Times New Roman" w:hAnsi="Times New Roman"/>
          <w:b/>
          <w:sz w:val="28"/>
        </w:rPr>
        <w:t>2.3 Inferences Drawn from Literature Review</w:t>
      </w:r>
    </w:p>
    <w:p>
      <w:pPr>
        <w:spacing w:line="360" w:lineRule="auto" w:after="360" w:before="0"/>
        <w:jc w:val="both"/>
      </w:pPr>
      <w:r>
        <w:rPr>
          <w:rFonts w:ascii="Times New Roman" w:hAnsi="Times New Roman"/>
          <w:sz w:val="24"/>
        </w:rPr>
        <w:t>A thorough, critical synthesis of the reviewed literature reveals five profound research gaps and structural deficiencies in existing agricultural diagnostic and precision farming systems:</w:t>
      </w:r>
    </w:p>
    <w:p>
      <w:pPr>
        <w:spacing w:line="360" w:lineRule="auto" w:after="360" w:before="0"/>
        <w:jc w:val="both"/>
      </w:pPr>
      <w:r>
        <w:rPr>
          <w:rFonts w:ascii="Times New Roman" w:hAnsi="Times New Roman"/>
          <w:sz w:val="24"/>
        </w:rPr>
        <w:t>1. Research Gap 1 (Orientation Vulnerability and Morphology Blindness): Existing deep learning vision systems rely strictly on convolutional pattern matching without modeling analytical botanical morphology. As established by Kumar et al. in [8], this creates severe orientation vulnerability, causing models to misclassify tilted or rotated monocot cereal leaves into dicot classes. An analytical, rotation-invariant geometric preprocessing engine is critically needed.</w:t>
      </w:r>
    </w:p>
    <w:p>
      <w:pPr>
        <w:spacing w:line="360" w:lineRule="auto" w:after="360" w:before="0"/>
        <w:jc w:val="both"/>
      </w:pPr>
      <w:r>
        <w:rPr>
          <w:rFonts w:ascii="Times New Roman" w:hAnsi="Times New Roman"/>
          <w:sz w:val="24"/>
        </w:rPr>
        <w:t>2. Research Gap 2 (Lack of Explainability and Clinical Damage Scoring): While Grad-CAM has been demonstrated conceptually by Selvaraju et al. in [10] and Ghosal et al. in [11], current production platforms fail to integrate explainability into consumer-facing workflows. Furthermore, existing systems output class probabilities without quantifying foliar tissue necrosis percentage or categorizing severity into actionable stages (Mild, Moderate, Severe).</w:t>
      </w:r>
    </w:p>
    <w:p>
      <w:pPr>
        <w:spacing w:line="360" w:lineRule="auto" w:after="360" w:before="0"/>
        <w:jc w:val="both"/>
      </w:pPr>
      <w:r>
        <w:rPr>
          <w:rFonts w:ascii="Times New Roman" w:hAnsi="Times New Roman"/>
          <w:sz w:val="24"/>
        </w:rPr>
        <w:t>3. Research Gap 3 (Siloed Execution Between Leaf Diagnosis and Satellite Field Context): The agricultural domain remains fragmented into disconnected silos. Farmers utilize one application for leaf photos and an entirely separate, expensive enterprise platform for satellite NDVI mapping. There is an absence of unified architectures that correlate leaf-level pathology diagnoses with field-scale satellite canopy vigor and Variable-Rate Application fertilizer optimization.</w:t>
      </w:r>
    </w:p>
    <w:p>
      <w:pPr>
        <w:spacing w:line="360" w:lineRule="auto" w:after="360" w:before="0"/>
        <w:jc w:val="both"/>
      </w:pPr>
      <w:r>
        <w:rPr>
          <w:rFonts w:ascii="Times New Roman" w:hAnsi="Times New Roman"/>
          <w:sz w:val="24"/>
        </w:rPr>
        <w:t>4. Research Gap 4 (Absence of Real-Time Psychrometric Spray Decision Engines): Despite the rigorous thermodynamic formulations established by Stull et al. in [19] and Nuyttens et al. in [18], current farm advisory applications ignore atmospheric boundary layer physics. Farmers are provided chemical recommendations without automated checks verifying whether current Delta-T, wind velocity, and rainfall forecasts permit safe, drift-free chemical application.</w:t>
      </w:r>
    </w:p>
    <w:p>
      <w:pPr>
        <w:spacing w:line="360" w:lineRule="auto" w:after="360" w:before="0"/>
        <w:jc w:val="both"/>
      </w:pPr>
      <w:r>
        <w:rPr>
          <w:rFonts w:ascii="Times New Roman" w:hAnsi="Times New Roman"/>
          <w:sz w:val="24"/>
        </w:rPr>
        <w:t>5. Research Gap 5 (High Computational Overhead and Digital Exclusion): High-accuracy vision models reported in the literature rely on heavy cloud-hosted GPUs or desktop hardware. Marginal farming communities in rural regions require lightweight architectures compiled into self-contained WebAssembly ONNX runtimes that execute on edge browsers without network connectivity, backed by universal messaging platforms like WhatsApp supporting regional languages.</w:t>
      </w:r>
    </w:p>
    <w:p>
      <w:pPr>
        <w:spacing w:line="360" w:lineRule="auto" w:after="360" w:before="0"/>
        <w:jc w:val="both"/>
      </w:pPr>
      <w:r>
        <w:rPr>
          <w:rFonts w:ascii="Times New Roman" w:hAnsi="Times New Roman"/>
          <w:sz w:val="24"/>
        </w:rPr>
        <w:t>These five identified research gaps establish the explicit motivation, architectural design, and experimental trajectory of the AgroAI platform developed in this major project.</w:t>
      </w:r>
    </w:p>
    <w:p>
      <w:r>
        <w:br w:type="page"/>
      </w:r>
    </w:p>
    <w:p>
      <w:pPr>
        <w:spacing w:before="560" w:after="480" w:line="360" w:lineRule="auto"/>
        <w:jc w:val="center"/>
      </w:pPr>
      <w:r>
        <w:rPr>
          <w:rFonts w:ascii="Times New Roman" w:hAnsi="Times New Roman"/>
          <w:b/>
          <w:sz w:val="32"/>
        </w:rPr>
        <w:t>Chapter 3. Proposed Work</w:t>
      </w:r>
    </w:p>
    <w:p>
      <w:pPr>
        <w:spacing w:before="400" w:after="240" w:line="360" w:lineRule="auto"/>
        <w:jc w:val="left"/>
      </w:pPr>
      <w:r>
        <w:rPr>
          <w:rFonts w:ascii="Times New Roman" w:hAnsi="Times New Roman"/>
          <w:b/>
          <w:sz w:val="28"/>
        </w:rPr>
        <w:t>3.1 Introduction</w:t>
      </w:r>
    </w:p>
    <w:p>
      <w:pPr>
        <w:spacing w:line="360" w:lineRule="auto" w:after="360" w:before="0"/>
        <w:jc w:val="both"/>
      </w:pPr>
      <w:r>
        <w:rPr>
          <w:rFonts w:ascii="Times New Roman" w:hAnsi="Times New Roman"/>
          <w:sz w:val="24"/>
        </w:rPr>
        <w:t>To resolve the fundamental scientific and engineering limitations identified in the literature survey, this project proposes AgroAI—a unified, enterprise-grade precision agriculture and crop protection platform. The proposed platform bridges the gap between microscopic foliar computer vision, macroscopic satellite remote sensing, atmospheric thermodynamics, and omnichannel rural digital delivery.</w:t>
      </w:r>
    </w:p>
    <w:p>
      <w:pPr>
        <w:spacing w:before="400" w:after="240" w:line="360" w:lineRule="auto"/>
        <w:jc w:val="left"/>
      </w:pPr>
      <w:r>
        <w:rPr>
          <w:rFonts w:ascii="Times New Roman" w:hAnsi="Times New Roman"/>
          <w:b/>
          <w:sz w:val="28"/>
        </w:rPr>
        <w:t>3.2 Proposed Work</w:t>
      </w:r>
    </w:p>
    <w:p>
      <w:pPr>
        <w:spacing w:line="360" w:lineRule="auto" w:after="360" w:before="0"/>
        <w:jc w:val="both"/>
      </w:pPr>
      <w:r>
        <w:rPr>
          <w:rFonts w:ascii="Times New Roman" w:hAnsi="Times New Roman"/>
          <w:sz w:val="24"/>
        </w:rPr>
        <w:t>The proposed work comprises six interconnected technological modules designed to provide an end-to-end clinical workflow for plant pathology and farm input management.</w:t>
      </w:r>
    </w:p>
    <w:p>
      <w:pPr>
        <w:spacing w:before="320" w:after="160" w:line="360" w:lineRule="auto"/>
        <w:jc w:val="left"/>
      </w:pPr>
      <w:r>
        <w:rPr>
          <w:rFonts w:ascii="Times New Roman" w:hAnsi="Times New Roman"/>
          <w:b/>
          <w:sz w:val="24"/>
        </w:rPr>
        <w:t>3.2.1 Overall System Architecture &amp; Data Flow</w:t>
      </w:r>
    </w:p>
    <w:p>
      <w:pPr>
        <w:spacing w:line="360" w:lineRule="auto" w:after="360" w:before="0"/>
        <w:jc w:val="both"/>
      </w:pPr>
      <w:r>
        <w:rPr>
          <w:rFonts w:ascii="Times New Roman" w:hAnsi="Times New Roman"/>
          <w:sz w:val="24"/>
        </w:rPr>
        <w:t>The overall system architecture is organized into four distinct operational layers: the Ingestion &amp; Client Layer, the Edge Execution Layer, the FastAPI Microservices Layer, and the External Integration Layer.</w:t>
      </w:r>
    </w:p>
    <w:p>
      <w:pPr>
        <w:spacing w:line="360" w:lineRule="auto" w:after="360" w:before="0"/>
        <w:jc w:val="both"/>
      </w:pPr>
      <w:r>
        <w:rPr>
          <w:rFonts w:ascii="Times New Roman" w:hAnsi="Times New Roman"/>
          <w:sz w:val="24"/>
        </w:rPr>
        <w:t>In the Client Layer, farmers interact through a responsive Progressive Web App (PWA) or an omnichannel WhatsApp Diagnostic Bot. Images captured via mobile cameras or uploaded through web forms are routed into either the local in-browser edge engine or the high-throughput asynchronous backend gateway. The backend orchestrates requests across dedicated computational pipelines: the Hybrid Pathology Classifier, the Grad-CAM Visualizer, the Severity Scorer, the Sentinel-2 Remote Sensing Engine, the Psychrometric Spray Window Calculator, and the Multilingual Conversational Chatbot.</w:t>
      </w:r>
    </w:p>
    <w:p>
      <w:pPr>
        <w:spacing w:before="280" w:after="120"/>
        <w:jc w:val="center"/>
      </w:pPr>
      <w:r>
        <w:rPr>
          <w:rFonts w:ascii="Courier New" w:hAnsi="Courier New"/>
          <w:color w:val="282828"/>
          <w:sz w:val="19"/>
        </w:rPr>
        <w:t>+-----------------------------------------------------------------------------------+</w:t>
        <w:br/>
        <w:t>| [ Visual Schematic Diagram / Empirical System Architecture ]                       |</w:t>
        <w:br/>
        <w:t>| High-Level Architectural Schematic Illustrating Data Ingestion, Edge ONNX Runtime, FastAPI Microservices, and External Satellite/Weather Pipelines |</w:t>
        <w:br/>
        <w:t>+-----------------------------------------------------------------------------------+</w:t>
      </w:r>
    </w:p>
    <w:p>
      <w:pPr>
        <w:spacing w:before="120" w:after="360"/>
        <w:jc w:val="center"/>
      </w:pPr>
      <w:r>
        <w:rPr>
          <w:rFonts w:ascii="Times New Roman" w:hAnsi="Times New Roman"/>
          <w:b/>
          <w:sz w:val="24"/>
        </w:rPr>
        <w:t>Fig. 3.1 High-Level Architectural Workflow of the AgroAI Diagnostic Platform</w:t>
      </w:r>
    </w:p>
    <w:p>
      <w:pPr>
        <w:spacing w:line="360" w:lineRule="auto" w:after="360" w:before="0"/>
        <w:jc w:val="both"/>
      </w:pPr>
      <w:r>
        <w:rPr>
          <w:rFonts w:ascii="Times New Roman" w:hAnsi="Times New Roman"/>
          <w:sz w:val="24"/>
        </w:rPr>
        <w:t>Fig. 3.1 delineates the end-to-end data flow and service topology of the platform. Data persistence is managed through an optimized SQLite/Supabase scouting history store, while an active learning harvest buffer queues ambiguous field predictions for continuous fine-tuning.</w:t>
      </w:r>
    </w:p>
    <w:p>
      <w:pPr>
        <w:spacing w:before="320" w:after="160" w:line="360" w:lineRule="auto"/>
        <w:jc w:val="left"/>
      </w:pPr>
      <w:r>
        <w:rPr>
          <w:rFonts w:ascii="Times New Roman" w:hAnsi="Times New Roman"/>
          <w:b/>
          <w:sz w:val="24"/>
        </w:rPr>
        <w:t>3.2.2 Rotation-Invariant Morphology &amp; Anisotropy Engine</w:t>
      </w:r>
    </w:p>
    <w:p>
      <w:pPr>
        <w:spacing w:line="360" w:lineRule="auto" w:after="360" w:before="0"/>
        <w:jc w:val="both"/>
      </w:pPr>
      <w:r>
        <w:rPr>
          <w:rFonts w:ascii="Times New Roman" w:hAnsi="Times New Roman"/>
          <w:sz w:val="24"/>
        </w:rPr>
        <w:t>To eliminate orientation-induced classification errors, the proposed work introduces a rotation-invariant morphological analysis pipeline preceding neural scoring:</w:t>
      </w:r>
    </w:p>
    <w:p>
      <w:pPr>
        <w:spacing w:line="360" w:lineRule="auto" w:after="360" w:before="0"/>
        <w:jc w:val="both"/>
      </w:pPr>
      <w:r>
        <w:rPr>
          <w:rFonts w:ascii="Times New Roman" w:hAnsi="Times New Roman"/>
          <w:sz w:val="24"/>
        </w:rPr>
        <w:t xml:space="preserve">1. Foliage Segmentation: The raw RGB input $\mathbf{I} \in \mathbb{R}^{H </w:t>
        <w:tab/>
        <w:t xml:space="preserve">imes W </w:t>
        <w:tab/>
        <w:t>imes 3}$ is converted into HSV color space. A dual-range Boolean mask isolates photosynthetic foliage pixels from background clutter:</w:t>
      </w:r>
    </w:p>
    <w:p>
      <w:pPr>
        <w:spacing w:before="160" w:after="280"/>
        <w:jc w:val="center"/>
      </w:pPr>
      <w:r>
        <w:rPr>
          <w:rFonts w:ascii="Times New Roman" w:hAnsi="Times New Roman"/>
          <w:i/>
          <w:sz w:val="24"/>
        </w:rPr>
        <w:t xml:space="preserve">    \text{Mask}_{\text{foliage}} = \{(h, s, v) \mid (15 \le h \le 95 \land s \ge 20 \land v \ge 20) \lor (h \ge 165 \land s \ge 30 \land v \ge 20)\}</w:t>
      </w:r>
      <w:r>
        <w:rPr>
          <w:rFonts w:ascii="Times New Roman" w:hAnsi="Times New Roman"/>
          <w:b/>
          <w:sz w:val="24"/>
        </w:rPr>
        <w:t xml:space="preserve">                Eq. (3.1)</w:t>
      </w:r>
    </w:p>
    <w:p>
      <w:pPr>
        <w:spacing w:line="360" w:lineRule="auto" w:after="360" w:before="0"/>
        <w:jc w:val="both"/>
      </w:pPr>
      <w:r>
        <w:rPr>
          <w:rFonts w:ascii="Times New Roman" w:hAnsi="Times New Roman"/>
          <w:sz w:val="24"/>
        </w:rPr>
        <w:t>2. Minimum Area Bounding Rectangle: The largest external contour $C_{\text{max}}$ of the segmented foliage mask is extracted. Rather than computing an axis-aligned bounding box (which distorts when the leaf tilts), the proposed system computes the minimum-area rotated bounding box via `cv2.minAreaRect(C_{\text{max}})`:</w:t>
      </w:r>
    </w:p>
    <w:p>
      <w:pPr>
        <w:spacing w:before="160" w:after="280"/>
        <w:jc w:val="center"/>
      </w:pPr>
      <w:r>
        <w:rPr>
          <w:rFonts w:ascii="Times New Roman" w:hAnsi="Times New Roman"/>
          <w:i/>
          <w:sz w:val="24"/>
        </w:rPr>
        <w:t xml:space="preserve">    \text{rect} = (\text{center}(x,y), (\text{dim}_1, \text{dim}_2), \theta)</w:t>
      </w:r>
      <w:r>
        <w:rPr>
          <w:rFonts w:ascii="Times New Roman" w:hAnsi="Times New Roman"/>
          <w:b/>
          <w:sz w:val="24"/>
        </w:rPr>
        <w:t xml:space="preserve">                Eq. (3.2)</w:t>
      </w:r>
    </w:p>
    <w:p>
      <w:pPr>
        <w:spacing w:line="360" w:lineRule="auto" w:after="360" w:before="0"/>
        <w:jc w:val="both"/>
      </w:pPr>
      <w:r>
        <w:rPr>
          <w:rFonts w:ascii="Times New Roman" w:hAnsi="Times New Roman"/>
          <w:sz w:val="24"/>
        </w:rPr>
        <w:t>The true morphological aspect ratio (TAR) is formulated as:</w:t>
      </w:r>
    </w:p>
    <w:p>
      <w:pPr>
        <w:spacing w:before="160" w:after="280"/>
        <w:jc w:val="center"/>
      </w:pPr>
      <w:r>
        <w:rPr>
          <w:rFonts w:ascii="Times New Roman" w:hAnsi="Times New Roman"/>
          <w:i/>
          <w:sz w:val="24"/>
        </w:rPr>
        <w:t xml:space="preserve">    \text{TAR} = \frac{\max(\text{dim}_1, \text{dim}_2)}{\max(1.0, \min(\text{dim}_1, \text{dim}_2))}</w:t>
      </w:r>
      <w:r>
        <w:rPr>
          <w:rFonts w:ascii="Times New Roman" w:hAnsi="Times New Roman"/>
          <w:b/>
          <w:sz w:val="24"/>
        </w:rPr>
        <w:t xml:space="preserve">                Eq. (3.3)</w:t>
      </w:r>
    </w:p>
    <w:p>
      <w:pPr>
        <w:spacing w:line="360" w:lineRule="auto" w:after="360" w:before="0"/>
        <w:jc w:val="both"/>
      </w:pPr>
      <w:r>
        <w:rPr>
          <w:rFonts w:ascii="Times New Roman" w:hAnsi="Times New Roman"/>
          <w:sz w:val="24"/>
        </w:rPr>
        <w:t>Because TAR is derived from the intrinsic geometry of the rotated rectangle, it remains strictly constant regardless of whether the leaf is positioned at 0 degrees, 45 degrees, or 90 degrees.</w:t>
      </w:r>
    </w:p>
    <w:p>
      <w:pPr>
        <w:spacing w:before="280" w:after="120"/>
        <w:jc w:val="center"/>
      </w:pPr>
      <w:r>
        <w:rPr>
          <w:rFonts w:ascii="Courier New" w:hAnsi="Courier New"/>
          <w:color w:val="282828"/>
          <w:sz w:val="19"/>
        </w:rPr>
        <w:t>+-----------------------------------------------------------------------------------+</w:t>
        <w:br/>
        <w:t>| [ Visual Schematic Diagram / Empirical System Architecture ]                       |</w:t>
        <w:br/>
        <w:t>| Analytical Geometric Workflow for Minimum Area Rectangle Fitting, Contour Eigen-Alignment, and Sobel Directional Anisotropy |</w:t>
        <w:br/>
        <w:t>+-----------------------------------------------------------------------------------+</w:t>
      </w:r>
    </w:p>
    <w:p>
      <w:pPr>
        <w:spacing w:before="120" w:after="360"/>
        <w:jc w:val="center"/>
      </w:pPr>
      <w:r>
        <w:rPr>
          <w:rFonts w:ascii="Times New Roman" w:hAnsi="Times New Roman"/>
          <w:b/>
          <w:sz w:val="24"/>
        </w:rPr>
        <w:t>Fig. 3.2 Analytical Pipeline for Rotation-Invariant minAreaRect Fitting and Directional Anisotropy</w:t>
      </w:r>
    </w:p>
    <w:p>
      <w:pPr>
        <w:spacing w:line="360" w:lineRule="auto" w:after="360" w:before="0"/>
        <w:jc w:val="both"/>
      </w:pPr>
      <w:r>
        <w:rPr>
          <w:rFonts w:ascii="Times New Roman" w:hAnsi="Times New Roman"/>
          <w:sz w:val="24"/>
        </w:rPr>
        <w:t>Fig. 3.2 depicts the analytical transformation pipeline. To separate monocot cereals from dicots in macro close-up photographs where aspect ratios are artificially constrained, the proposed work computes Principal Axis Directional Vein Anisotropy.</w:t>
      </w:r>
    </w:p>
    <w:p>
      <w:pPr>
        <w:spacing w:line="360" w:lineRule="auto" w:after="360" w:before="0"/>
        <w:jc w:val="both"/>
      </w:pPr>
      <w:r>
        <w:rPr>
          <w:rFonts w:ascii="Times New Roman" w:hAnsi="Times New Roman"/>
          <w:sz w:val="24"/>
        </w:rPr>
        <w:t>The foliage contour is rotated by its morphological angle $\theta$ via an affine transformation matrix $\mathbf{M}(\theta)$, aligning its principal longitudinal axis with the horizontal plane. Horizontal and vertical Sobel gradient filters ($G_x, G_y$) are evaluated across the rotated foliage:</w:t>
      </w:r>
    </w:p>
    <w:p>
      <w:pPr>
        <w:spacing w:before="160" w:after="280"/>
        <w:jc w:val="center"/>
      </w:pPr>
      <w:r>
        <w:rPr>
          <w:rFonts w:ascii="Times New Roman" w:hAnsi="Times New Roman"/>
          <w:i/>
          <w:sz w:val="24"/>
        </w:rPr>
        <w:t xml:space="preserve">    G_x = \mathbf{I}_{\text{rot}} * \begin{bmatrix} -1 &amp; 0 &amp; 1 \\ -2 &amp; 0 &amp; 2 \\ -1 &amp; 0 &amp; 1 \end{bmatrix}, \quad G_y = \mathbf{I}_{\text{rot}} * \begin{bmatrix} -1 &amp; -2 &amp; -1 \\ 0 &amp; 0 &amp; 0 \\ 1 &amp; 2 &amp; 1 \end{bmatrix}</w:t>
      </w:r>
      <w:r>
        <w:rPr>
          <w:rFonts w:ascii="Times New Roman" w:hAnsi="Times New Roman"/>
          <w:b/>
          <w:sz w:val="24"/>
        </w:rPr>
        <w:t xml:space="preserve">                Eq. (3.4)</w:t>
      </w:r>
    </w:p>
    <w:p>
      <w:pPr>
        <w:spacing w:before="160" w:after="280"/>
        <w:jc w:val="center"/>
      </w:pPr>
      <w:r>
        <w:rPr>
          <w:rFonts w:ascii="Times New Roman" w:hAnsi="Times New Roman"/>
          <w:i/>
          <w:sz w:val="24"/>
        </w:rPr>
        <w:t xml:space="preserve">    \text{Vein Ratio} = \frac{\sum |G_x|}{\sum |G_x| + \sum |G_y| + \epsilon}</w:t>
      </w:r>
      <w:r>
        <w:rPr>
          <w:rFonts w:ascii="Times New Roman" w:hAnsi="Times New Roman"/>
          <w:b/>
          <w:sz w:val="24"/>
        </w:rPr>
        <w:t xml:space="preserve">                Eq. (3.5)</w:t>
      </w:r>
    </w:p>
    <w:p>
      <w:pPr>
        <w:spacing w:before="160" w:after="280"/>
        <w:jc w:val="center"/>
      </w:pPr>
      <w:r>
        <w:rPr>
          <w:rFonts w:ascii="Times New Roman" w:hAnsi="Times New Roman"/>
          <w:i/>
          <w:sz w:val="24"/>
        </w:rPr>
        <w:t xml:space="preserve">    \text{Anisotropy} = |\text{Vein Ratio} - 0.5| \times 2.0</w:t>
      </w:r>
      <w:r>
        <w:rPr>
          <w:rFonts w:ascii="Times New Roman" w:hAnsi="Times New Roman"/>
          <w:b/>
          <w:sz w:val="24"/>
        </w:rPr>
        <w:t xml:space="preserve">                Eq. (3.6)</w:t>
      </w:r>
    </w:p>
    <w:p>
      <w:pPr>
        <w:spacing w:line="360" w:lineRule="auto" w:after="360" w:before="0"/>
        <w:jc w:val="both"/>
      </w:pPr>
      <w:r>
        <w:rPr>
          <w:rFonts w:ascii="Times New Roman" w:hAnsi="Times New Roman"/>
          <w:sz w:val="24"/>
        </w:rPr>
        <w:t>Monocots with strictly parallel venation exhibit high directional anisotropy ($&gt; 0.35$), whereas dicots with reticulate branching exhibit isotropic gradients ($&lt; 0.20$), providing an invariant taxonomic classifier.</w:t>
      </w:r>
    </w:p>
    <w:p>
      <w:pPr>
        <w:spacing w:before="360" w:after="120"/>
        <w:jc w:val="left"/>
      </w:pPr>
      <w:r>
        <w:rPr>
          <w:rFonts w:ascii="Times New Roman" w:hAnsi="Times New Roman"/>
          <w:b/>
          <w:sz w:val="24"/>
        </w:rPr>
        <w:t>Table 3.1 Morphological Feature Space Delineating Monocotyledonous and Dicotyledonous Foliage</w:t>
      </w:r>
    </w:p>
    <w:tbl>
      <w:tblPr>
        <w:tblW w:type="auto" w:w="0"/>
        <w:jc w:val="center"/>
        <w:tblLayout w:type="fixed"/>
        <w:tblLook w:firstColumn="1" w:firstRow="1" w:lastColumn="0" w:lastRow="0" w:noHBand="0" w:noVBand="1" w:val="04A0"/>
      </w:tblPr>
      <w:tblGrid>
        <w:gridCol w:w="2070"/>
        <w:gridCol w:w="2070"/>
        <w:gridCol w:w="2070"/>
        <w:gridCol w:w="2070"/>
      </w:tblGrid>
      <w:tr>
        <w:tc>
          <w:tcPr>
            <w:tcW w:type="dxa" w:w="2160"/>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Morphological Parameter</w:t>
            </w:r>
          </w:p>
        </w:tc>
        <w:tc>
          <w:tcPr>
            <w:tcW w:type="dxa" w:w="2304"/>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Monocot Signature (Wheat, Corn, Rice)</w:t>
            </w:r>
          </w:p>
        </w:tc>
        <w:tc>
          <w:tcPr>
            <w:tcW w:type="dxa" w:w="2304"/>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Dicot Signature (Potato, Tomato, Apple)</w:t>
            </w:r>
          </w:p>
        </w:tc>
        <w:tc>
          <w:tcPr>
            <w:tcW w:type="dxa" w:w="1944"/>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Classification Impact</w:t>
            </w:r>
          </w:p>
        </w:tc>
      </w:tr>
      <w:tr>
        <w:tc>
          <w:tcPr>
            <w:tcW w:type="dxa" w:w="2160"/>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True Aspect Ratio (TAR)</w:t>
            </w:r>
          </w:p>
        </w:tc>
        <w:tc>
          <w:tcPr>
            <w:tcW w:type="dxa" w:w="2304"/>
            <w:shd w:fill="FFFFFF"/>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Elongated (TAR &gt; 1.8 to 4.5)</w:t>
            </w:r>
          </w:p>
        </w:tc>
        <w:tc>
          <w:tcPr>
            <w:tcW w:type="dxa" w:w="2304"/>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Compact / Broad (TAR &lt; 1.45)</w:t>
            </w:r>
          </w:p>
        </w:tc>
        <w:tc>
          <w:tcPr>
            <w:tcW w:type="dxa" w:w="1944"/>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Eliminates orientation tilt bias</w:t>
            </w:r>
          </w:p>
        </w:tc>
      </w:tr>
      <w:tr>
        <w:tc>
          <w:tcPr>
            <w:tcW w:type="dxa" w:w="2160"/>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Directional Vein Anisotropy</w:t>
            </w:r>
          </w:p>
        </w:tc>
        <w:tc>
          <w:tcPr>
            <w:tcW w:type="dxa" w:w="2304"/>
            <w:shd w:fill="FAFAFA"/>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High Parallel Anisotropy (&gt; 0.35)</w:t>
            </w:r>
          </w:p>
        </w:tc>
        <w:tc>
          <w:tcPr>
            <w:tcW w:type="dxa" w:w="2304"/>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Isotropic Netting (&lt; 0.20)</w:t>
            </w:r>
          </w:p>
        </w:tc>
        <w:tc>
          <w:tcPr>
            <w:tcW w:type="dxa" w:w="1944"/>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Prevents Wheat-Potato misclassification</w:t>
            </w:r>
          </w:p>
        </w:tc>
      </w:tr>
      <w:tr>
        <w:tc>
          <w:tcPr>
            <w:tcW w:type="dxa" w:w="2160"/>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Circularity (4*pi*A / P^2)</w:t>
            </w:r>
          </w:p>
        </w:tc>
        <w:tc>
          <w:tcPr>
            <w:tcW w:type="dxa" w:w="2304"/>
            <w:shd w:fill="FFFFFF"/>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Low Linear Circularity (&lt; 0.42)</w:t>
            </w:r>
          </w:p>
        </w:tc>
        <w:tc>
          <w:tcPr>
            <w:tcW w:type="dxa" w:w="2304"/>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Moderate to High Circularity (&gt; 0.55)</w:t>
            </w:r>
          </w:p>
        </w:tc>
        <w:tc>
          <w:tcPr>
            <w:tcW w:type="dxa" w:w="1944"/>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Validates compound leaflet margins</w:t>
            </w:r>
          </w:p>
        </w:tc>
      </w:tr>
      <w:tr>
        <w:tc>
          <w:tcPr>
            <w:tcW w:type="dxa" w:w="2160"/>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Solidity (Area / Hull Area)</w:t>
            </w:r>
          </w:p>
        </w:tc>
        <w:tc>
          <w:tcPr>
            <w:tcW w:type="dxa" w:w="2304"/>
            <w:shd w:fill="FAFAFA"/>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High Continuous Solidity (&gt; 0.94)</w:t>
            </w:r>
          </w:p>
        </w:tc>
        <w:tc>
          <w:tcPr>
            <w:tcW w:type="dxa" w:w="2304"/>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Lower Lobed Solidity (&lt; 0.88)</w:t>
            </w:r>
          </w:p>
        </w:tc>
        <w:tc>
          <w:tcPr>
            <w:tcW w:type="dxa" w:w="1944"/>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Differentiates simple vs. lobed leaves</w:t>
            </w:r>
          </w:p>
        </w:tc>
      </w:tr>
      <w:tr>
        <w:tc>
          <w:tcPr>
            <w:tcW w:type="dxa" w:w="2160"/>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Central Midrib Spine</w:t>
            </w:r>
          </w:p>
        </w:tc>
        <w:tc>
          <w:tcPr>
            <w:tcW w:type="dxa" w:w="2304"/>
            <w:shd w:fill="FFFFFF"/>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Prominent Pale Midrib (&gt; 0.030)</w:t>
            </w:r>
          </w:p>
        </w:tc>
        <w:tc>
          <w:tcPr>
            <w:tcW w:type="dxa" w:w="2304"/>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Reticulate Secondary Vein Branching</w:t>
            </w:r>
          </w:p>
        </w:tc>
        <w:tc>
          <w:tcPr>
            <w:tcW w:type="dxa" w:w="1944"/>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Identifies C4 grass morphology</w:t>
            </w:r>
          </w:p>
        </w:tc>
      </w:tr>
    </w:tbl>
    <w:p>
      <w:pPr>
        <w:spacing w:after="240"/>
      </w:pPr>
    </w:p>
    <w:p>
      <w:pPr>
        <w:spacing w:line="360" w:lineRule="auto" w:after="360" w:before="0"/>
        <w:jc w:val="both"/>
      </w:pPr>
      <w:r>
        <w:rPr>
          <w:rFonts w:ascii="Times New Roman" w:hAnsi="Times New Roman"/>
          <w:sz w:val="24"/>
        </w:rPr>
        <w:t>Table 3.1 formalizes the morphological parameter rules used by the classification engine to disambiguate crop families under arbitrary camera orientations.</w:t>
      </w:r>
    </w:p>
    <w:p>
      <w:pPr>
        <w:spacing w:before="320" w:after="160" w:line="360" w:lineRule="auto"/>
        <w:jc w:val="left"/>
      </w:pPr>
      <w:r>
        <w:rPr>
          <w:rFonts w:ascii="Times New Roman" w:hAnsi="Times New Roman"/>
          <w:b/>
          <w:sz w:val="24"/>
        </w:rPr>
        <w:t>3.2.3 Visual Explainability via Grad-CAM &amp; Severity Quantification</w:t>
      </w:r>
    </w:p>
    <w:p>
      <w:pPr>
        <w:spacing w:line="360" w:lineRule="auto" w:after="360" w:before="0"/>
        <w:jc w:val="both"/>
      </w:pPr>
      <w:r>
        <w:rPr>
          <w:rFonts w:ascii="Times New Roman" w:hAnsi="Times New Roman"/>
          <w:sz w:val="24"/>
        </w:rPr>
        <w:t>To provide clinical transparency, the proposed architecture hooks the final convolutional feature extraction layer of the MobileNetV3-Small backbone during backpropagation. The gradient of the target class score $y^c$ with respect to each feature map activation $A^k$ is computed:</w:t>
      </w:r>
    </w:p>
    <w:p>
      <w:pPr>
        <w:spacing w:before="160" w:after="280"/>
        <w:jc w:val="center"/>
      </w:pPr>
      <w:r>
        <w:rPr>
          <w:rFonts w:ascii="Times New Roman" w:hAnsi="Times New Roman"/>
          <w:i/>
          <w:sz w:val="24"/>
        </w:rPr>
        <w:t xml:space="preserve">    \alpha_k^c = \frac{1}{U \cdot V} \sum_{i=1}^U \sum_{j=1}^V \frac{\partial y^c}{\partial A_{i,j}^k}</w:t>
      </w:r>
      <w:r>
        <w:rPr>
          <w:rFonts w:ascii="Times New Roman" w:hAnsi="Times New Roman"/>
          <w:b/>
          <w:sz w:val="24"/>
        </w:rPr>
        <w:t xml:space="preserve">                Eq. (3.7)</w:t>
      </w:r>
    </w:p>
    <w:p>
      <w:pPr>
        <w:spacing w:before="160" w:after="280"/>
        <w:jc w:val="center"/>
      </w:pPr>
      <w:r>
        <w:rPr>
          <w:rFonts w:ascii="Times New Roman" w:hAnsi="Times New Roman"/>
          <w:i/>
          <w:sz w:val="24"/>
        </w:rPr>
        <w:t xml:space="preserve">    L_{\text{Grad-CAM}}^c = \text{ReLU}\left( \sum_{k=1}^K \alpha_k^c A^k \right)</w:t>
      </w:r>
      <w:r>
        <w:rPr>
          <w:rFonts w:ascii="Times New Roman" w:hAnsi="Times New Roman"/>
          <w:b/>
          <w:sz w:val="24"/>
        </w:rPr>
        <w:t xml:space="preserve">                Eq. (3.8)</w:t>
      </w:r>
    </w:p>
    <w:p>
      <w:pPr>
        <w:spacing w:line="360" w:lineRule="auto" w:after="360" w:before="0"/>
        <w:jc w:val="both"/>
      </w:pPr>
      <w:r>
        <w:rPr>
          <w:rFonts w:ascii="Times New Roman" w:hAnsi="Times New Roman"/>
          <w:sz w:val="24"/>
        </w:rPr>
        <w:t>The resulting saliency heatmap is normalized to the unit interval $[0, 1]$ and mapped to false-color RGBA palettes (JET, Inferno, Viridis, Turbo) dynamically blended with the original leaf.</w:t>
      </w:r>
    </w:p>
    <w:p>
      <w:pPr>
        <w:spacing w:before="280" w:after="120"/>
        <w:jc w:val="center"/>
      </w:pPr>
      <w:r>
        <w:rPr>
          <w:rFonts w:ascii="Courier New" w:hAnsi="Courier New"/>
          <w:color w:val="282828"/>
          <w:sz w:val="19"/>
        </w:rPr>
        <w:t>+-----------------------------------------------------------------------------------+</w:t>
        <w:br/>
        <w:t>| [ Visual Schematic Diagram / Empirical System Architecture ]                       |</w:t>
        <w:br/>
        <w:t>| Flow Diagram Illustrating the Computation of Grad-CAM Gradients, Feature Weighting, and Colormap Overlay Generation |</w:t>
        <w:br/>
        <w:t>+-----------------------------------------------------------------------------------+</w:t>
      </w:r>
    </w:p>
    <w:p>
      <w:pPr>
        <w:spacing w:before="120" w:after="360"/>
        <w:jc w:val="center"/>
      </w:pPr>
      <w:r>
        <w:rPr>
          <w:rFonts w:ascii="Times New Roman" w:hAnsi="Times New Roman"/>
          <w:b/>
          <w:sz w:val="24"/>
        </w:rPr>
        <w:t>Fig. 3.3 Multimodal Saliency Map Generation via Grad-CAM Gradient Weighting</w:t>
      </w:r>
    </w:p>
    <w:p>
      <w:pPr>
        <w:spacing w:line="360" w:lineRule="auto" w:after="360" w:before="0"/>
        <w:jc w:val="both"/>
      </w:pPr>
      <w:r>
        <w:rPr>
          <w:rFonts w:ascii="Times New Roman" w:hAnsi="Times New Roman"/>
          <w:sz w:val="24"/>
        </w:rPr>
        <w:t>Fig. 3.3 illustrates the generation of Grad-CAM heatmaps. In parallel, foliar tissue damage is quantified through adaptive Otsu binarization and HSV symptom segmentation. The surface infection severity percentage is evaluated as:</w:t>
      </w:r>
    </w:p>
    <w:p>
      <w:pPr>
        <w:spacing w:before="160" w:after="280"/>
        <w:jc w:val="center"/>
      </w:pPr>
      <w:r>
        <w:rPr>
          <w:rFonts w:ascii="Times New Roman" w:hAnsi="Times New Roman"/>
          <w:i/>
          <w:sz w:val="24"/>
        </w:rPr>
        <w:t xml:space="preserve">    \text{Severity (\%)} = \frac{\sum \left( \text{Necrosis} \lor \text{Rust Pustules} \lor \text{Powdery Mildew} \lor \text{Chlorosis} \right)}{\sum \text{Foliage Pixels}} \times 100\%</w:t>
      </w:r>
      <w:r>
        <w:rPr>
          <w:rFonts w:ascii="Times New Roman" w:hAnsi="Times New Roman"/>
          <w:b/>
          <w:sz w:val="24"/>
        </w:rPr>
        <w:t xml:space="preserve">                Eq. (3.9)</w:t>
      </w:r>
    </w:p>
    <w:p>
      <w:pPr>
        <w:spacing w:line="360" w:lineRule="auto" w:after="360" w:before="0"/>
        <w:jc w:val="both"/>
      </w:pPr>
      <w:r>
        <w:rPr>
          <w:rFonts w:ascii="Times New Roman" w:hAnsi="Times New Roman"/>
          <w:sz w:val="24"/>
        </w:rPr>
        <w:t>Infections are automatically staged into Mild ($&lt;10\%$), Moderate ($10\% - 25\%$), or Severe ($&gt;25\%$) categories.</w:t>
      </w:r>
    </w:p>
    <w:p>
      <w:pPr>
        <w:spacing w:before="320" w:after="160" w:line="360" w:lineRule="auto"/>
        <w:jc w:val="left"/>
      </w:pPr>
      <w:r>
        <w:rPr>
          <w:rFonts w:ascii="Times New Roman" w:hAnsi="Times New Roman"/>
          <w:b/>
          <w:sz w:val="24"/>
        </w:rPr>
        <w:t>3.2.4 Sentinel-2 Multispectral Remote Sensing &amp; VRA Optimization</w:t>
      </w:r>
    </w:p>
    <w:p>
      <w:pPr>
        <w:spacing w:line="360" w:lineRule="auto" w:after="360" w:before="0"/>
        <w:jc w:val="both"/>
      </w:pPr>
      <w:r>
        <w:rPr>
          <w:rFonts w:ascii="Times New Roman" w:hAnsi="Times New Roman"/>
          <w:sz w:val="24"/>
        </w:rPr>
        <w:t>Beyond leaf-level diagnostics, the proposed work integrates a macro-scale satellite Earth observation engine emulating Sentinel-2 10-meter Multi-Spectral Instrument (MSI) radiometry across Bands 2 (Blue), 4 (Red), 8 (Near-Infrared), and 11 (Short-Wave Infrared).</w:t>
      </w:r>
    </w:p>
    <w:p>
      <w:pPr>
        <w:spacing w:line="360" w:lineRule="auto" w:after="360" w:before="0"/>
        <w:jc w:val="both"/>
      </w:pPr>
      <w:r>
        <w:rPr>
          <w:rFonts w:ascii="Times New Roman" w:hAnsi="Times New Roman"/>
          <w:sz w:val="24"/>
        </w:rPr>
        <w:t>The agricultural field is discretized into a geo-referenced 24x24 spatial grid comprising 576 micro-plots. Multispectral vegetation indices are computed per micro-plot cell $(i, j)$:</w:t>
      </w:r>
    </w:p>
    <w:p>
      <w:pPr>
        <w:spacing w:before="160" w:after="280"/>
        <w:jc w:val="center"/>
      </w:pPr>
      <w:r>
        <w:rPr>
          <w:rFonts w:ascii="Times New Roman" w:hAnsi="Times New Roman"/>
          <w:i/>
          <w:sz w:val="24"/>
        </w:rPr>
        <w:t xml:space="preserve">    \text{NDVI}_{i,j} = \frac{\text{NIR}_{i,j} - \text{Red}_{i,j}}{\text{NIR}_{i,j} + \text{Red}_{i,j}}</w:t>
      </w:r>
      <w:r>
        <w:rPr>
          <w:rFonts w:ascii="Times New Roman" w:hAnsi="Times New Roman"/>
          <w:b/>
          <w:sz w:val="24"/>
        </w:rPr>
        <w:t xml:space="preserve">                Eq. (3.10)</w:t>
      </w:r>
    </w:p>
    <w:p>
      <w:pPr>
        <w:spacing w:before="160" w:after="280"/>
        <w:jc w:val="center"/>
      </w:pPr>
      <w:r>
        <w:rPr>
          <w:rFonts w:ascii="Times New Roman" w:hAnsi="Times New Roman"/>
          <w:i/>
          <w:sz w:val="24"/>
        </w:rPr>
        <w:t xml:space="preserve">    \text{NDWI}_{i,j} = \frac{\text{NIR}_{i,j} - \text{SWIR}_{i,j}}{\text{NIR}_{i,j} + \text{SWIR}_{i,j}}</w:t>
      </w:r>
      <w:r>
        <w:rPr>
          <w:rFonts w:ascii="Times New Roman" w:hAnsi="Times New Roman"/>
          <w:b/>
          <w:sz w:val="24"/>
        </w:rPr>
        <w:t xml:space="preserve">                Eq. (3.11)</w:t>
      </w:r>
    </w:p>
    <w:p>
      <w:pPr>
        <w:spacing w:before="160" w:after="280"/>
        <w:jc w:val="center"/>
      </w:pPr>
      <w:r>
        <w:rPr>
          <w:rFonts w:ascii="Times New Roman" w:hAnsi="Times New Roman"/>
          <w:i/>
          <w:sz w:val="24"/>
        </w:rPr>
        <w:t xml:space="preserve">    \text{SAVI}_{i,j} = \frac{(1 + L)(\text{NIR}_{i,j} - \text{Red}_{i,j})}{\text{NIR}_{i,j} + \text{Red}_{i,j} + L}, \quad L = 0.5</w:t>
      </w:r>
      <w:r>
        <w:rPr>
          <w:rFonts w:ascii="Times New Roman" w:hAnsi="Times New Roman"/>
          <w:b/>
          <w:sz w:val="24"/>
        </w:rPr>
        <w:t xml:space="preserve">                Eq. (3.12)</w:t>
      </w:r>
    </w:p>
    <w:p>
      <w:pPr>
        <w:spacing w:before="280" w:after="120"/>
        <w:jc w:val="center"/>
      </w:pPr>
      <w:r>
        <w:rPr>
          <w:rFonts w:ascii="Courier New" w:hAnsi="Courier New"/>
          <w:color w:val="282828"/>
          <w:sz w:val="19"/>
        </w:rPr>
        <w:t>+-----------------------------------------------------------------------------------+</w:t>
        <w:br/>
        <w:t>| [ Visual Schematic Diagram / Empirical System Architecture ]                       |</w:t>
        <w:br/>
        <w:t>| Satellite Multi-Spectral Radiometric Response Across Bands 2, 4, 8, 11 and Spatial 24x24 Micro-Plot Discretization |</w:t>
        <w:br/>
        <w:t>+-----------------------------------------------------------------------------------+</w:t>
      </w:r>
    </w:p>
    <w:p>
      <w:pPr>
        <w:spacing w:before="120" w:after="360"/>
        <w:jc w:val="center"/>
      </w:pPr>
      <w:r>
        <w:rPr>
          <w:rFonts w:ascii="Times New Roman" w:hAnsi="Times New Roman"/>
          <w:b/>
          <w:sz w:val="24"/>
        </w:rPr>
        <w:t>Fig. 3.4 Sentinel-2 Multi-Spectral Band Radiometry and Spatial Micro-Plot Raster Discretization</w:t>
      </w:r>
    </w:p>
    <w:p>
      <w:pPr>
        <w:spacing w:line="360" w:lineRule="auto" w:after="360" w:before="0"/>
        <w:jc w:val="both"/>
      </w:pPr>
      <w:r>
        <w:rPr>
          <w:rFonts w:ascii="Times New Roman" w:hAnsi="Times New Roman"/>
          <w:sz w:val="24"/>
        </w:rPr>
        <w:t>Fig. 3.4 illustrates the multispectral reflectance characteristics across optical bands. The 576 micro-plots are segmented into three operational precision management zones:</w:t>
      </w:r>
    </w:p>
    <w:p>
      <w:pPr>
        <w:spacing w:line="360" w:lineRule="auto" w:after="360" w:before="0"/>
        <w:jc w:val="both"/>
      </w:pPr>
      <w:r>
        <w:rPr>
          <w:rFonts w:ascii="Times New Roman" w:hAnsi="Times New Roman"/>
          <w:sz w:val="24"/>
        </w:rPr>
        <w:t>1. Zone 1 (High Vigor, $\text{NDVI} \ge 0.65$): Prescribed minimal maintenance nitrogen application ($40\text{ kg/ha Urea}$).</w:t>
      </w:r>
    </w:p>
    <w:p>
      <w:pPr>
        <w:spacing w:line="360" w:lineRule="auto" w:after="360" w:before="0"/>
        <w:jc w:val="both"/>
      </w:pPr>
      <w:r>
        <w:rPr>
          <w:rFonts w:ascii="Times New Roman" w:hAnsi="Times New Roman"/>
          <w:sz w:val="24"/>
        </w:rPr>
        <w:t>2. Zone 2 (Moderate Stress, $0.40 \le \text{NDVI} &lt; 0.65$): Prescribed standard nitrogen application ($90\text{ kg/ha Urea}$).</w:t>
      </w:r>
    </w:p>
    <w:p>
      <w:pPr>
        <w:spacing w:line="360" w:lineRule="auto" w:after="360" w:before="0"/>
        <w:jc w:val="both"/>
      </w:pPr>
      <w:r>
        <w:rPr>
          <w:rFonts w:ascii="Times New Roman" w:hAnsi="Times New Roman"/>
          <w:sz w:val="24"/>
        </w:rPr>
        <w:t>3. Zone 3 (Severe Anomaly, $\text{NDVI} &lt; 0.40$): Prescribed corrective nitrogen application ($140\text{ kg/ha Urea}$) and automated scouting flag.</w:t>
      </w:r>
    </w:p>
    <w:p>
      <w:pPr>
        <w:spacing w:line="360" w:lineRule="auto" w:after="360" w:before="0"/>
        <w:jc w:val="both"/>
      </w:pPr>
      <w:r>
        <w:rPr>
          <w:rFonts w:ascii="Times New Roman" w:hAnsi="Times New Roman"/>
          <w:sz w:val="24"/>
        </w:rPr>
        <w:t>The proposed Variable-Rate Application (VRA) fertilizer prescription generates substantial cost and input savings over uniform broadcasting:</w:t>
      </w:r>
    </w:p>
    <w:p>
      <w:pPr>
        <w:spacing w:before="160" w:after="280"/>
        <w:jc w:val="center"/>
      </w:pPr>
      <w:r>
        <w:rPr>
          <w:rFonts w:ascii="Times New Roman" w:hAnsi="Times New Roman"/>
          <w:i/>
          <w:sz w:val="24"/>
        </w:rPr>
        <w:t xml:space="preserve">    \text{Savings (\%)} = \frac{\text{Uniform Demand} - \sum_{z=1}^3 (\text{Area}_z \times \text{Rate}_z)}{\text{Uniform Demand}} \times 100\%</w:t>
      </w:r>
      <w:r>
        <w:rPr>
          <w:rFonts w:ascii="Times New Roman" w:hAnsi="Times New Roman"/>
          <w:b/>
          <w:sz w:val="24"/>
        </w:rPr>
        <w:t xml:space="preserve">                Eq. (3.13)</w:t>
      </w:r>
    </w:p>
    <w:p>
      <w:pPr>
        <w:spacing w:before="360" w:after="120"/>
        <w:jc w:val="left"/>
      </w:pPr>
      <w:r>
        <w:rPr>
          <w:rFonts w:ascii="Times New Roman" w:hAnsi="Times New Roman"/>
          <w:b/>
          <w:sz w:val="24"/>
        </w:rPr>
        <w:t>Table 3.2 Sentinel-2 Multi-Spectral Instrument (MSI) Radiometric Band Characteristics</w:t>
      </w:r>
    </w:p>
    <w:tbl>
      <w:tblPr>
        <w:tblW w:type="auto" w:w="0"/>
        <w:jc w:val="center"/>
        <w:tblLayout w:type="fixed"/>
        <w:tblLook w:firstColumn="1" w:firstRow="1" w:lastColumn="0" w:lastRow="0" w:noHBand="0" w:noVBand="1" w:val="04A0"/>
      </w:tblPr>
      <w:tblGrid>
        <w:gridCol w:w="1656"/>
        <w:gridCol w:w="1656"/>
        <w:gridCol w:w="1656"/>
        <w:gridCol w:w="1656"/>
        <w:gridCol w:w="1656"/>
      </w:tblGrid>
      <w:tr>
        <w:tc>
          <w:tcPr>
            <w:tcW w:type="dxa" w:w="1440"/>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Band Number</w:t>
            </w:r>
          </w:p>
        </w:tc>
        <w:tc>
          <w:tcPr>
            <w:tcW w:type="dxa" w:w="1728"/>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Band Name</w:t>
            </w:r>
          </w:p>
        </w:tc>
        <w:tc>
          <w:tcPr>
            <w:tcW w:type="dxa" w:w="1872"/>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Central Wavelength (nm)</w:t>
            </w:r>
          </w:p>
        </w:tc>
        <w:tc>
          <w:tcPr>
            <w:tcW w:type="dxa" w:w="1440"/>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Spatial Resolution (m)</w:t>
            </w:r>
          </w:p>
        </w:tc>
        <w:tc>
          <w:tcPr>
            <w:tcW w:type="dxa" w:w="2232"/>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Target Agricultural Biophysical Feature</w:t>
            </w:r>
          </w:p>
        </w:tc>
      </w:tr>
      <w:tr>
        <w:tc>
          <w:tcPr>
            <w:tcW w:type="dxa" w:w="1440"/>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Band 2</w:t>
            </w:r>
          </w:p>
        </w:tc>
        <w:tc>
          <w:tcPr>
            <w:tcW w:type="dxa" w:w="1728"/>
            <w:shd w:fill="FFFFFF"/>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Blue</w:t>
            </w:r>
          </w:p>
        </w:tc>
        <w:tc>
          <w:tcPr>
            <w:tcW w:type="dxa" w:w="1872"/>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490 nm</w:t>
            </w:r>
          </w:p>
        </w:tc>
        <w:tc>
          <w:tcPr>
            <w:tcW w:type="dxa" w:w="1440"/>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10 meters</w:t>
            </w:r>
          </w:p>
        </w:tc>
        <w:tc>
          <w:tcPr>
            <w:tcW w:type="dxa" w:w="2232"/>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Soil background discrimination &amp; atmospheric correction</w:t>
            </w:r>
          </w:p>
        </w:tc>
      </w:tr>
      <w:tr>
        <w:tc>
          <w:tcPr>
            <w:tcW w:type="dxa" w:w="1440"/>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Band 3</w:t>
            </w:r>
          </w:p>
        </w:tc>
        <w:tc>
          <w:tcPr>
            <w:tcW w:type="dxa" w:w="1728"/>
            <w:shd w:fill="FAFAFA"/>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Green</w:t>
            </w:r>
          </w:p>
        </w:tc>
        <w:tc>
          <w:tcPr>
            <w:tcW w:type="dxa" w:w="1872"/>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560 nm</w:t>
            </w:r>
          </w:p>
        </w:tc>
        <w:tc>
          <w:tcPr>
            <w:tcW w:type="dxa" w:w="1440"/>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10 meters</w:t>
            </w:r>
          </w:p>
        </w:tc>
        <w:tc>
          <w:tcPr>
            <w:tcW w:type="dxa" w:w="2232"/>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Green vegetation peak reflectance &amp; chlorophyll estimation</w:t>
            </w:r>
          </w:p>
        </w:tc>
      </w:tr>
      <w:tr>
        <w:tc>
          <w:tcPr>
            <w:tcW w:type="dxa" w:w="1440"/>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Band 4</w:t>
            </w:r>
          </w:p>
        </w:tc>
        <w:tc>
          <w:tcPr>
            <w:tcW w:type="dxa" w:w="1728"/>
            <w:shd w:fill="FFFFFF"/>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Red</w:t>
            </w:r>
          </w:p>
        </w:tc>
        <w:tc>
          <w:tcPr>
            <w:tcW w:type="dxa" w:w="1872"/>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665 nm</w:t>
            </w:r>
          </w:p>
        </w:tc>
        <w:tc>
          <w:tcPr>
            <w:tcW w:type="dxa" w:w="1440"/>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10 meters</w:t>
            </w:r>
          </w:p>
        </w:tc>
        <w:tc>
          <w:tcPr>
            <w:tcW w:type="dxa" w:w="2232"/>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Maximum chlorophyll absorption for vegetative vitality</w:t>
            </w:r>
          </w:p>
        </w:tc>
      </w:tr>
      <w:tr>
        <w:tc>
          <w:tcPr>
            <w:tcW w:type="dxa" w:w="1440"/>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Band 8</w:t>
            </w:r>
          </w:p>
        </w:tc>
        <w:tc>
          <w:tcPr>
            <w:tcW w:type="dxa" w:w="1728"/>
            <w:shd w:fill="FAFAFA"/>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NIR (Near Infrared)</w:t>
            </w:r>
          </w:p>
        </w:tc>
        <w:tc>
          <w:tcPr>
            <w:tcW w:type="dxa" w:w="1872"/>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842 nm</w:t>
            </w:r>
          </w:p>
        </w:tc>
        <w:tc>
          <w:tcPr>
            <w:tcW w:type="dxa" w:w="1440"/>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10 meters</w:t>
            </w:r>
          </w:p>
        </w:tc>
        <w:tc>
          <w:tcPr>
            <w:tcW w:type="dxa" w:w="2232"/>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High leaf spongy mesophyll biomass reflection</w:t>
            </w:r>
          </w:p>
        </w:tc>
      </w:tr>
      <w:tr>
        <w:tc>
          <w:tcPr>
            <w:tcW w:type="dxa" w:w="1440"/>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Band 11</w:t>
            </w:r>
          </w:p>
        </w:tc>
        <w:tc>
          <w:tcPr>
            <w:tcW w:type="dxa" w:w="1728"/>
            <w:shd w:fill="FFFFFF"/>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SWIR (Short-Wave IR)</w:t>
            </w:r>
          </w:p>
        </w:tc>
        <w:tc>
          <w:tcPr>
            <w:tcW w:type="dxa" w:w="1872"/>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1610 nm</w:t>
            </w:r>
          </w:p>
        </w:tc>
        <w:tc>
          <w:tcPr>
            <w:tcW w:type="dxa" w:w="1440"/>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20 meters</w:t>
            </w:r>
          </w:p>
        </w:tc>
        <w:tc>
          <w:tcPr>
            <w:tcW w:type="dxa" w:w="2232"/>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Foliar water absorption &amp; canopy moisture stress</w:t>
            </w:r>
          </w:p>
        </w:tc>
      </w:tr>
    </w:tbl>
    <w:p>
      <w:pPr>
        <w:spacing w:after="240"/>
      </w:pPr>
    </w:p>
    <w:p>
      <w:pPr>
        <w:spacing w:line="360" w:lineRule="auto" w:after="360" w:before="0"/>
        <w:jc w:val="both"/>
      </w:pPr>
      <w:r>
        <w:rPr>
          <w:rFonts w:ascii="Times New Roman" w:hAnsi="Times New Roman"/>
          <w:sz w:val="24"/>
        </w:rPr>
        <w:t>Table 3.2 outlines the radiometric band configurations employed in the satellite remote sensing engine.</w:t>
      </w:r>
    </w:p>
    <w:p>
      <w:pPr>
        <w:spacing w:before="320" w:after="160" w:line="360" w:lineRule="auto"/>
        <w:jc w:val="left"/>
      </w:pPr>
      <w:r>
        <w:rPr>
          <w:rFonts w:ascii="Times New Roman" w:hAnsi="Times New Roman"/>
          <w:b/>
          <w:sz w:val="24"/>
        </w:rPr>
        <w:t>3.2.5 Psychrometric Delta-T Spray Window &amp; Rainfastness Modeling</w:t>
      </w:r>
    </w:p>
    <w:p>
      <w:pPr>
        <w:spacing w:line="360" w:lineRule="auto" w:after="360" w:before="0"/>
        <w:jc w:val="both"/>
      </w:pPr>
      <w:r>
        <w:rPr>
          <w:rFonts w:ascii="Times New Roman" w:hAnsi="Times New Roman"/>
          <w:sz w:val="24"/>
        </w:rPr>
        <w:t>To eliminate chemical drift and pesticide washoff, the proposed system integrates an agrometeorological thermodynamic module. Live meteorological data (dry-bulb temperature $T_{\text{dry}}$, relative humidity $\text{RH}$, wind speed, gusts, precipitation probability) are ingested via Open-Meteo REST APIs.</w:t>
      </w:r>
    </w:p>
    <w:p>
      <w:pPr>
        <w:spacing w:line="360" w:lineRule="auto" w:after="360" w:before="0"/>
        <w:jc w:val="both"/>
      </w:pPr>
      <w:r>
        <w:rPr>
          <w:rFonts w:ascii="Times New Roman" w:hAnsi="Times New Roman"/>
          <w:sz w:val="24"/>
        </w:rPr>
        <w:t>Wet-bulb temperature $T_{\text{wet}}$ is computed via Stull's psychrometric formulation:</w:t>
      </w:r>
    </w:p>
    <w:p>
      <w:pPr>
        <w:spacing w:before="160" w:after="280"/>
        <w:jc w:val="center"/>
      </w:pPr>
      <w:r>
        <w:rPr>
          <w:rFonts w:ascii="Times New Roman" w:hAnsi="Times New Roman"/>
          <w:i/>
          <w:sz w:val="24"/>
        </w:rPr>
        <w:t xml:space="preserve">    T_{\text{wet}} = T \cdot \text{atan}\left(0.151977 \sqrt{\text{RH} + 8.313659}\right) + \text{atan}(T + \text{RH}) - \text{atan}(\text{RH} - 1.676331) + 0.00391838 \cdot \text{RH}^{3/2} \cdot \text{atan}(0.023101 \cdot \text{RH}) - 4.686035</w:t>
      </w:r>
      <w:r>
        <w:rPr>
          <w:rFonts w:ascii="Times New Roman" w:hAnsi="Times New Roman"/>
          <w:b/>
          <w:sz w:val="24"/>
        </w:rPr>
        <w:t xml:space="preserve">                Eq. (3.14)</w:t>
      </w:r>
    </w:p>
    <w:p>
      <w:pPr>
        <w:spacing w:before="160" w:after="280"/>
        <w:jc w:val="center"/>
      </w:pPr>
      <w:r>
        <w:rPr>
          <w:rFonts w:ascii="Times New Roman" w:hAnsi="Times New Roman"/>
          <w:i/>
          <w:sz w:val="24"/>
        </w:rPr>
        <w:t xml:space="preserve">    \Delta T = T_{\text{dry}} - T_{\text{wet}}</w:t>
      </w:r>
      <w:r>
        <w:rPr>
          <w:rFonts w:ascii="Times New Roman" w:hAnsi="Times New Roman"/>
          <w:b/>
          <w:sz w:val="24"/>
        </w:rPr>
        <w:t xml:space="preserve">                Eq. (3.15)</w:t>
      </w:r>
    </w:p>
    <w:p>
      <w:pPr>
        <w:spacing w:line="360" w:lineRule="auto" w:after="360" w:before="0"/>
        <w:jc w:val="both"/>
      </w:pPr>
      <w:r>
        <w:rPr>
          <w:rFonts w:ascii="Times New Roman" w:hAnsi="Times New Roman"/>
          <w:sz w:val="24"/>
        </w:rPr>
        <w:t>A safe spraying window requires $\Delta T \in [2.0^\circ\text{C}, 8.0^\circ\text{C}]$, wind speed between $3.0$ and $15.0\text{ km/h}$ (avoiding inversions below $3\text{ km/h}$ and drift above $15\text{ km/h}$), and zero precipitation exceeding chemical rainfastness periods.</w:t>
      </w:r>
    </w:p>
    <w:p>
      <w:pPr>
        <w:spacing w:before="280" w:after="120"/>
        <w:jc w:val="center"/>
      </w:pPr>
      <w:r>
        <w:rPr>
          <w:rFonts w:ascii="Courier New" w:hAnsi="Courier New"/>
          <w:color w:val="282828"/>
          <w:sz w:val="19"/>
        </w:rPr>
        <w:t>+-----------------------------------------------------------------------------------+</w:t>
        <w:br/>
        <w:t>| [ Visual Schematic Diagram / Empirical System Architecture ]                       |</w:t>
        <w:br/>
        <w:t>| Psychrometric Delta-T Decision Chart Illustrating Optimal, Cautionary, and Unsuitable Chemical Spraying Windows |</w:t>
        <w:br/>
        <w:t>+-----------------------------------------------------------------------------------+</w:t>
      </w:r>
    </w:p>
    <w:p>
      <w:pPr>
        <w:spacing w:before="120" w:after="360"/>
        <w:jc w:val="center"/>
      </w:pPr>
      <w:r>
        <w:rPr>
          <w:rFonts w:ascii="Times New Roman" w:hAnsi="Times New Roman"/>
          <w:b/>
          <w:sz w:val="24"/>
        </w:rPr>
        <w:t>Fig. 3.5 Psychrometric Delta-T Evaporative Dynamics and 48-Hour Hourly Spray Decision Surface</w:t>
      </w:r>
    </w:p>
    <w:p>
      <w:pPr>
        <w:spacing w:line="360" w:lineRule="auto" w:after="360" w:before="0"/>
        <w:jc w:val="both"/>
      </w:pPr>
      <w:r>
        <w:rPr>
          <w:rFonts w:ascii="Times New Roman" w:hAnsi="Times New Roman"/>
          <w:sz w:val="24"/>
        </w:rPr>
        <w:t>Fig. 3.5 illustrates the psychrometric decision boundaries governing chemical spray feasibility. The system evaluates a 48-hour hourly timeline against six agrochemical formulation classes.</w:t>
      </w:r>
    </w:p>
    <w:p>
      <w:pPr>
        <w:spacing w:before="360" w:after="120"/>
        <w:jc w:val="left"/>
      </w:pPr>
      <w:r>
        <w:rPr>
          <w:rFonts w:ascii="Times New Roman" w:hAnsi="Times New Roman"/>
          <w:b/>
          <w:sz w:val="24"/>
        </w:rPr>
        <w:t>Table 3.3 Chemical Rainfastness Degradation Periods Across Pesticide Formulation Classes</w:t>
      </w:r>
    </w:p>
    <w:tbl>
      <w:tblPr>
        <w:tblW w:type="auto" w:w="0"/>
        <w:jc w:val="center"/>
        <w:tblLayout w:type="fixed"/>
        <w:tblLook w:firstColumn="1" w:firstRow="1" w:lastColumn="0" w:lastRow="0" w:noHBand="0" w:noVBand="1" w:val="04A0"/>
      </w:tblPr>
      <w:tblGrid>
        <w:gridCol w:w="2070"/>
        <w:gridCol w:w="2070"/>
        <w:gridCol w:w="2070"/>
        <w:gridCol w:w="2070"/>
      </w:tblGrid>
      <w:tr>
        <w:tc>
          <w:tcPr>
            <w:tcW w:type="dxa" w:w="2016"/>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Chemical Formulation Class</w:t>
            </w:r>
          </w:p>
        </w:tc>
        <w:tc>
          <w:tcPr>
            <w:tcW w:type="dxa" w:w="2592"/>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Representative Active Ingredients</w:t>
            </w:r>
          </w:p>
        </w:tc>
        <w:tc>
          <w:tcPr>
            <w:tcW w:type="dxa" w:w="2016"/>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Required Dry Rainfastness Window</w:t>
            </w:r>
          </w:p>
        </w:tc>
        <w:tc>
          <w:tcPr>
            <w:tcW w:type="dxa" w:w="2088"/>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Drift Hazard Risk Profile</w:t>
            </w:r>
          </w:p>
        </w:tc>
      </w:tr>
      <w:tr>
        <w:tc>
          <w:tcPr>
            <w:tcW w:type="dxa" w:w="2016"/>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Systemic Fungicide</w:t>
            </w:r>
          </w:p>
        </w:tc>
        <w:tc>
          <w:tcPr>
            <w:tcW w:type="dxa" w:w="2592"/>
            <w:shd w:fill="FFFFFF"/>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Azoxystrobin, Difenoconazole, Tebuconazole</w:t>
            </w:r>
          </w:p>
        </w:tc>
        <w:tc>
          <w:tcPr>
            <w:tcW w:type="dxa" w:w="2016"/>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2.0 Hours</w:t>
            </w:r>
          </w:p>
        </w:tc>
        <w:tc>
          <w:tcPr>
            <w:tcW w:type="dxa" w:w="2088"/>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Moderate drift sensitivity; rapid cuticle uptake</w:t>
            </w:r>
          </w:p>
        </w:tc>
      </w:tr>
      <w:tr>
        <w:tc>
          <w:tcPr>
            <w:tcW w:type="dxa" w:w="2016"/>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Contact Protective Fungicide</w:t>
            </w:r>
          </w:p>
        </w:tc>
        <w:tc>
          <w:tcPr>
            <w:tcW w:type="dxa" w:w="2592"/>
            <w:shd w:fill="FAFAFA"/>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Mancozeb, Copper Oxychloride, Chlorothalonil</w:t>
            </w:r>
          </w:p>
        </w:tc>
        <w:tc>
          <w:tcPr>
            <w:tcW w:type="dxa" w:w="2016"/>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4.0 Hours</w:t>
            </w:r>
          </w:p>
        </w:tc>
        <w:tc>
          <w:tcPr>
            <w:tcW w:type="dxa" w:w="2088"/>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Severe washoff risk; requires surface drying</w:t>
            </w:r>
          </w:p>
        </w:tc>
      </w:tr>
      <w:tr>
        <w:tc>
          <w:tcPr>
            <w:tcW w:type="dxa" w:w="2016"/>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Emulsifiable Concentrate (EC)</w:t>
            </w:r>
          </w:p>
        </w:tc>
        <w:tc>
          <w:tcPr>
            <w:tcW w:type="dxa" w:w="2592"/>
            <w:shd w:fill="FFFFFF"/>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Propiconazole, Cypermethrin</w:t>
            </w:r>
          </w:p>
        </w:tc>
        <w:tc>
          <w:tcPr>
            <w:tcW w:type="dxa" w:w="2016"/>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1.5 Hours</w:t>
            </w:r>
          </w:p>
        </w:tc>
        <w:tc>
          <w:tcPr>
            <w:tcW w:type="dxa" w:w="2088"/>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Low washoff risk; lipophilic wax affinity</w:t>
            </w:r>
          </w:p>
        </w:tc>
      </w:tr>
      <w:tr>
        <w:tc>
          <w:tcPr>
            <w:tcW w:type="dxa" w:w="2016"/>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Biological / Bio-Fungicide</w:t>
            </w:r>
          </w:p>
        </w:tc>
        <w:tc>
          <w:tcPr>
            <w:tcW w:type="dxa" w:w="2592"/>
            <w:shd w:fill="FAFAFA"/>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Trichoderma harzianum, Bacillus subtilis</w:t>
            </w:r>
          </w:p>
        </w:tc>
        <w:tc>
          <w:tcPr>
            <w:tcW w:type="dxa" w:w="2016"/>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5.0 Hours</w:t>
            </w:r>
          </w:p>
        </w:tc>
        <w:tc>
          <w:tcPr>
            <w:tcW w:type="dxa" w:w="2088"/>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Extreme UV &amp; wash sensitivity; viable spore binding</w:t>
            </w:r>
          </w:p>
        </w:tc>
      </w:tr>
      <w:tr>
        <w:tc>
          <w:tcPr>
            <w:tcW w:type="dxa" w:w="2016"/>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Systemic Insecticide</w:t>
            </w:r>
          </w:p>
        </w:tc>
        <w:tc>
          <w:tcPr>
            <w:tcW w:type="dxa" w:w="2592"/>
            <w:shd w:fill="FFFFFF"/>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Imidacloprid, Thiamethoxam</w:t>
            </w:r>
          </w:p>
        </w:tc>
        <w:tc>
          <w:tcPr>
            <w:tcW w:type="dxa" w:w="2016"/>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2.5 Hours</w:t>
            </w:r>
          </w:p>
        </w:tc>
        <w:tc>
          <w:tcPr>
            <w:tcW w:type="dxa" w:w="2088"/>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Moderate washoff; translaminar translocation</w:t>
            </w:r>
          </w:p>
        </w:tc>
      </w:tr>
      <w:tr>
        <w:tc>
          <w:tcPr>
            <w:tcW w:type="dxa" w:w="2016"/>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Foliar Micronutrient Solution</w:t>
            </w:r>
          </w:p>
        </w:tc>
        <w:tc>
          <w:tcPr>
            <w:tcW w:type="dxa" w:w="2592"/>
            <w:shd w:fill="FAFAFA"/>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Chelated Zinc, Boron, Ferrous Sulphate</w:t>
            </w:r>
          </w:p>
        </w:tc>
        <w:tc>
          <w:tcPr>
            <w:tcW w:type="dxa" w:w="2016"/>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3.0 Hours</w:t>
            </w:r>
          </w:p>
        </w:tc>
        <w:tc>
          <w:tcPr>
            <w:tcW w:type="dxa" w:w="2088"/>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Soluble salt wash risk; requires stomatal uptake</w:t>
            </w:r>
          </w:p>
        </w:tc>
      </w:tr>
    </w:tbl>
    <w:p>
      <w:pPr>
        <w:spacing w:after="240"/>
      </w:pPr>
    </w:p>
    <w:p>
      <w:pPr>
        <w:spacing w:line="360" w:lineRule="auto" w:after="360" w:before="0"/>
        <w:jc w:val="both"/>
      </w:pPr>
      <w:r>
        <w:rPr>
          <w:rFonts w:ascii="Times New Roman" w:hAnsi="Times New Roman"/>
          <w:sz w:val="24"/>
        </w:rPr>
        <w:t>Table 3.3 details the rainfastness criteria enforced across agricultural formulation classes.</w:t>
      </w:r>
    </w:p>
    <w:p>
      <w:pPr>
        <w:spacing w:before="320" w:after="160" w:line="360" w:lineRule="auto"/>
        <w:jc w:val="left"/>
      </w:pPr>
      <w:r>
        <w:rPr>
          <w:rFonts w:ascii="Times New Roman" w:hAnsi="Times New Roman"/>
          <w:b/>
          <w:sz w:val="24"/>
        </w:rPr>
        <w:t>3.2.6 Omnichannel Multilingual Communication Architecture</w:t>
      </w:r>
    </w:p>
    <w:p>
      <w:pPr>
        <w:spacing w:line="360" w:lineRule="auto" w:after="360" w:before="0"/>
        <w:jc w:val="both"/>
      </w:pPr>
      <w:r>
        <w:rPr>
          <w:rFonts w:ascii="Times New Roman" w:hAnsi="Times New Roman"/>
          <w:sz w:val="24"/>
        </w:rPr>
        <w:t>The proposed communication layer bridges advanced AI capabilities with marginal farmers via two primary interfaces: an offline-first Progressive Web App (PWA) and an omnichannel WhatsApp Diagnostic Bot.</w:t>
      </w:r>
    </w:p>
    <w:p>
      <w:pPr>
        <w:spacing w:line="360" w:lineRule="auto" w:after="360" w:before="0"/>
        <w:jc w:val="both"/>
      </w:pPr>
      <w:r>
        <w:rPr>
          <w:rFonts w:ascii="Times New Roman" w:hAnsi="Times New Roman"/>
          <w:sz w:val="24"/>
        </w:rPr>
        <w:t>The PWA leverages client-side WebAssembly ONNX Runtime (`ort.min.js`), caching the 6.07 MB neural network in IndexedDB and Service Worker caches. This enables instantaneous ($&lt;20\text{ms}$) foliar diagnosis directly within the browser without internet connectivity.</w:t>
      </w:r>
    </w:p>
    <w:p>
      <w:pPr>
        <w:spacing w:line="360" w:lineRule="auto" w:after="360" w:before="0"/>
        <w:jc w:val="both"/>
      </w:pPr>
      <w:r>
        <w:rPr>
          <w:rFonts w:ascii="Times New Roman" w:hAnsi="Times New Roman"/>
          <w:sz w:val="24"/>
        </w:rPr>
        <w:t>For ubiquitous access, a WhatsApp bot webhook handles inbound messages, image attachments, and GPS pins. Leaf images trigger complete diagnostic prescriptions with trade names, while GPS pins trigger live microclimate spray window advisories. Natural language understanding supports English, Hindi (Devanagari and Hinglish transliteration), and Punjabi.</w:t>
      </w:r>
    </w:p>
    <w:p>
      <w:pPr>
        <w:spacing w:before="280" w:after="120"/>
        <w:jc w:val="center"/>
      </w:pPr>
      <w:r>
        <w:rPr>
          <w:rFonts w:ascii="Courier New" w:hAnsi="Courier New"/>
          <w:color w:val="282828"/>
          <w:sz w:val="19"/>
        </w:rPr>
        <w:t>+-----------------------------------------------------------------------------------+</w:t>
        <w:br/>
        <w:t>| [ Visual Schematic Diagram / Empirical System Architecture ]                       |</w:t>
        <w:br/>
        <w:t>| Omnichannel Delivery Framework Showing PWA Service Worker Cache, WebAssembly ONNX Engine, and Twilio/Meta WhatsApp Bot Gateway |</w:t>
        <w:br/>
        <w:t>+-----------------------------------------------------------------------------------+</w:t>
      </w:r>
    </w:p>
    <w:p>
      <w:pPr>
        <w:spacing w:before="120" w:after="360"/>
        <w:jc w:val="center"/>
      </w:pPr>
      <w:r>
        <w:rPr>
          <w:rFonts w:ascii="Times New Roman" w:hAnsi="Times New Roman"/>
          <w:b/>
          <w:sz w:val="24"/>
        </w:rPr>
        <w:t>Fig. 3.6 Omnichannel Messaging Architecture Linking Farmers via WhatsApp and Edge WebAssembly</w:t>
      </w:r>
    </w:p>
    <w:p>
      <w:pPr>
        <w:spacing w:line="360" w:lineRule="auto" w:after="360" w:before="0"/>
        <w:jc w:val="both"/>
      </w:pPr>
      <w:r>
        <w:rPr>
          <w:rFonts w:ascii="Times New Roman" w:hAnsi="Times New Roman"/>
          <w:sz w:val="24"/>
        </w:rPr>
        <w:t>Fig. 3.6 illustrates the omnichannel messaging and offline WebAssembly integration architecture.</w:t>
      </w:r>
    </w:p>
    <w:p>
      <w:r>
        <w:br w:type="page"/>
      </w:r>
    </w:p>
    <w:p>
      <w:pPr>
        <w:spacing w:before="560" w:after="480" w:line="360" w:lineRule="auto"/>
        <w:jc w:val="center"/>
      </w:pPr>
      <w:r>
        <w:rPr>
          <w:rFonts w:ascii="Times New Roman" w:hAnsi="Times New Roman"/>
          <w:b/>
          <w:sz w:val="32"/>
        </w:rPr>
        <w:t>Chapter 4. Methodology</w:t>
      </w:r>
    </w:p>
    <w:p>
      <w:pPr>
        <w:spacing w:before="400" w:after="240" w:line="360" w:lineRule="auto"/>
        <w:jc w:val="left"/>
      </w:pPr>
      <w:r>
        <w:rPr>
          <w:rFonts w:ascii="Times New Roman" w:hAnsi="Times New Roman"/>
          <w:b/>
          <w:sz w:val="28"/>
        </w:rPr>
        <w:t>4.1 Introduction</w:t>
      </w:r>
    </w:p>
    <w:p>
      <w:pPr>
        <w:spacing w:line="360" w:lineRule="auto" w:after="360" w:before="0"/>
        <w:jc w:val="both"/>
      </w:pPr>
      <w:r>
        <w:rPr>
          <w:rFonts w:ascii="Times New Roman" w:hAnsi="Times New Roman"/>
          <w:sz w:val="24"/>
        </w:rPr>
        <w:t>This chapter presents the mathematical formulation, algorithmic pipelines, flowchart execution dynamics, and software/hardware engineering specifications governing the implementation of the AgroAI platform.</w:t>
      </w:r>
    </w:p>
    <w:p>
      <w:pPr>
        <w:spacing w:before="400" w:after="240" w:line="360" w:lineRule="auto"/>
        <w:jc w:val="left"/>
      </w:pPr>
      <w:r>
        <w:rPr>
          <w:rFonts w:ascii="Times New Roman" w:hAnsi="Times New Roman"/>
          <w:b/>
          <w:sz w:val="28"/>
        </w:rPr>
        <w:t>4.2 Implementation Strategy (Flowchart, Algorithm etc.)</w:t>
      </w:r>
    </w:p>
    <w:p>
      <w:pPr>
        <w:spacing w:line="360" w:lineRule="auto" w:after="360" w:before="0"/>
        <w:jc w:val="both"/>
      </w:pPr>
      <w:r>
        <w:rPr>
          <w:rFonts w:ascii="Times New Roman" w:hAnsi="Times New Roman"/>
          <w:sz w:val="24"/>
        </w:rPr>
        <w:t>The platform implementation is structured into algorithmic execution pipelines operating in sequential and parallel configurations.</w:t>
      </w:r>
    </w:p>
    <w:p>
      <w:pPr>
        <w:spacing w:before="320" w:after="160" w:line="360" w:lineRule="auto"/>
        <w:jc w:val="left"/>
      </w:pPr>
      <w:r>
        <w:rPr>
          <w:rFonts w:ascii="Times New Roman" w:hAnsi="Times New Roman"/>
          <w:b/>
          <w:sz w:val="24"/>
        </w:rPr>
        <w:t>4.2.1 Mathematical Formulation of MobileNetV3 Bottleneck</w:t>
      </w:r>
    </w:p>
    <w:p>
      <w:pPr>
        <w:spacing w:line="360" w:lineRule="auto" w:after="360" w:before="0"/>
        <w:jc w:val="both"/>
      </w:pPr>
      <w:r>
        <w:rPr>
          <w:rFonts w:ascii="Times New Roman" w:hAnsi="Times New Roman"/>
          <w:sz w:val="24"/>
        </w:rPr>
        <w:t>The deep learning backbone implements customized inverted residual bottleneck blocks with squeeze-and-excitation attention. Let $\mathbf{x} \in \mathbb{R}^{H \times W \times C_{\text{in}}}$ represent the input feature map. The block transformation is formulated as:</w:t>
      </w:r>
    </w:p>
    <w:p>
      <w:pPr>
        <w:spacing w:before="160" w:after="280"/>
        <w:jc w:val="center"/>
      </w:pPr>
      <w:r>
        <w:rPr>
          <w:rFonts w:ascii="Times New Roman" w:hAnsi="Times New Roman"/>
          <w:i/>
          <w:sz w:val="24"/>
        </w:rPr>
        <w:t xml:space="preserve">    \mathbf{x}_1 = \text{h-swish}(\text{BatchNorm}(\text{Conv}_{1 \times 1}(\mathbf{x}))) \in \mathbb{R}^{H \times W \times (e \cdot C_{\text{in}})}</w:t>
      </w:r>
      <w:r>
        <w:rPr>
          <w:rFonts w:ascii="Times New Roman" w:hAnsi="Times New Roman"/>
          <w:b/>
          <w:sz w:val="24"/>
        </w:rPr>
        <w:t xml:space="preserve">                Eq. (4.1)</w:t>
      </w:r>
    </w:p>
    <w:p>
      <w:pPr>
        <w:spacing w:before="160" w:after="280"/>
        <w:jc w:val="center"/>
      </w:pPr>
      <w:r>
        <w:rPr>
          <w:rFonts w:ascii="Times New Roman" w:hAnsi="Times New Roman"/>
          <w:i/>
          <w:sz w:val="24"/>
        </w:rPr>
        <w:t xml:space="preserve">    \mathbf{x}_2 = \text{h-swish}(\text{BatchNorm}(\text{DepthwiseConv}_{k \times k}(\mathbf{x}_1))) \in \mathbb{R}^{H' \times W' \times (e \cdot C_{\text{in}})}</w:t>
      </w:r>
      <w:r>
        <w:rPr>
          <w:rFonts w:ascii="Times New Roman" w:hAnsi="Times New Roman"/>
          <w:b/>
          <w:sz w:val="24"/>
        </w:rPr>
        <w:t xml:space="preserve">                Eq. (4.2)</w:t>
      </w:r>
    </w:p>
    <w:p>
      <w:pPr>
        <w:spacing w:line="360" w:lineRule="auto" w:after="360" w:before="0"/>
        <w:jc w:val="both"/>
      </w:pPr>
      <w:r>
        <w:rPr>
          <w:rFonts w:ascii="Times New Roman" w:hAnsi="Times New Roman"/>
          <w:sz w:val="24"/>
        </w:rPr>
        <w:t>The Squeeze-and-Excitation channel recalibration vector $\mathbf{s}$ is computed via global average pooling and a two-layer multi-layer perceptron (MLP):</w:t>
      </w:r>
    </w:p>
    <w:p>
      <w:pPr>
        <w:spacing w:before="160" w:after="280"/>
        <w:jc w:val="center"/>
      </w:pPr>
      <w:r>
        <w:rPr>
          <w:rFonts w:ascii="Times New Roman" w:hAnsi="Times New Roman"/>
          <w:i/>
          <w:sz w:val="24"/>
        </w:rPr>
        <w:t xml:space="preserve">    \mathbf{z} = \frac{1}{H' \cdot W'} \sum_{i=1}^{H'} \sum_{j=1}^{W'} \mathbf{x}_{2}(i,j) \in \mathbb{R}^{C_{\text{exp}}}</w:t>
      </w:r>
      <w:r>
        <w:rPr>
          <w:rFonts w:ascii="Times New Roman" w:hAnsi="Times New Roman"/>
          <w:b/>
          <w:sz w:val="24"/>
        </w:rPr>
        <w:t xml:space="preserve">                Eq. (4.3)</w:t>
      </w:r>
    </w:p>
    <w:p>
      <w:pPr>
        <w:spacing w:before="160" w:after="280"/>
        <w:jc w:val="center"/>
      </w:pPr>
      <w:r>
        <w:rPr>
          <w:rFonts w:ascii="Times New Roman" w:hAnsi="Times New Roman"/>
          <w:i/>
          <w:sz w:val="24"/>
        </w:rPr>
        <w:t xml:space="preserve">    \mathbf{s} = \sigma\left(\mathbf{W}_2 \cdot \text{ReLU}(\mathbf{W}_1 \mathbf{z})\right), \quad \mathbf{x}_3 = \mathbf{x}_2 \odot \mathbf{s}</w:t>
      </w:r>
      <w:r>
        <w:rPr>
          <w:rFonts w:ascii="Times New Roman" w:hAnsi="Times New Roman"/>
          <w:b/>
          <w:sz w:val="24"/>
        </w:rPr>
        <w:t xml:space="preserve">                Eq. (4.4)</w:t>
      </w:r>
    </w:p>
    <w:p>
      <w:pPr>
        <w:spacing w:before="160" w:after="280"/>
        <w:jc w:val="center"/>
      </w:pPr>
      <w:r>
        <w:rPr>
          <w:rFonts w:ascii="Times New Roman" w:hAnsi="Times New Roman"/>
          <w:i/>
          <w:sz w:val="24"/>
        </w:rPr>
        <w:t xml:space="preserve">    \mathbf{y} = \text{BatchNorm}(\text{Conv}_{1 \times 1}(\mathbf{x}_3)) \in \mathbb{R}^{H' \times W' \times C_{\text{out}}}</w:t>
      </w:r>
      <w:r>
        <w:rPr>
          <w:rFonts w:ascii="Times New Roman" w:hAnsi="Times New Roman"/>
          <w:b/>
          <w:sz w:val="24"/>
        </w:rPr>
        <w:t xml:space="preserve">                Eq. (4.5)</w:t>
      </w:r>
    </w:p>
    <w:p>
      <w:pPr>
        <w:spacing w:line="360" w:lineRule="auto" w:after="360" w:before="0"/>
        <w:jc w:val="both"/>
      </w:pPr>
      <w:r>
        <w:rPr>
          <w:rFonts w:ascii="Times New Roman" w:hAnsi="Times New Roman"/>
          <w:sz w:val="24"/>
        </w:rPr>
        <w:t>When stride $s = 1$ and $C_{\text{in}} = C_{\text{out}}$, a residual identity skip connection is added: $\mathbf{y}_{\text{final}} = \mathbf{y} + \mathbf{x}$.</w:t>
      </w:r>
    </w:p>
    <w:p>
      <w:pPr>
        <w:spacing w:before="360" w:after="120"/>
        <w:jc w:val="left"/>
      </w:pPr>
      <w:r>
        <w:rPr>
          <w:rFonts w:ascii="Times New Roman" w:hAnsi="Times New Roman"/>
          <w:b/>
          <w:sz w:val="24"/>
        </w:rPr>
        <w:t>Table 4.1 Layer-Wise Architectural Specifications of the Custom MobileNetV3-Small Backbone</w:t>
      </w:r>
    </w:p>
    <w:tbl>
      <w:tblPr>
        <w:tblW w:type="auto" w:w="0"/>
        <w:jc w:val="center"/>
        <w:tblLayout w:type="fixed"/>
        <w:tblLook w:firstColumn="1" w:firstRow="1" w:lastColumn="0" w:lastRow="0" w:noHBand="0" w:noVBand="1" w:val="04A0"/>
      </w:tblPr>
      <w:tblGrid>
        <w:gridCol w:w="1183"/>
        <w:gridCol w:w="1183"/>
        <w:gridCol w:w="1183"/>
        <w:gridCol w:w="1183"/>
        <w:gridCol w:w="1183"/>
        <w:gridCol w:w="1183"/>
        <w:gridCol w:w="1183"/>
      </w:tblGrid>
      <w:tr>
        <w:tc>
          <w:tcPr>
            <w:tcW w:type="dxa" w:w="1296"/>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Stage</w:t>
            </w:r>
          </w:p>
        </w:tc>
        <w:tc>
          <w:tcPr>
            <w:tcW w:type="dxa" w:w="1872"/>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Operator / Layer</w:t>
            </w:r>
          </w:p>
        </w:tc>
        <w:tc>
          <w:tcPr>
            <w:tcW w:type="dxa" w:w="1440"/>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Expansion Size</w:t>
            </w:r>
          </w:p>
        </w:tc>
        <w:tc>
          <w:tcPr>
            <w:tcW w:type="dxa" w:w="1440"/>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Output Channels</w:t>
            </w:r>
          </w:p>
        </w:tc>
        <w:tc>
          <w:tcPr>
            <w:tcW w:type="dxa" w:w="1296"/>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SE Attention?</w:t>
            </w:r>
          </w:p>
        </w:tc>
        <w:tc>
          <w:tcPr>
            <w:tcW w:type="dxa" w:w="1224"/>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Activation</w:t>
            </w:r>
          </w:p>
        </w:tc>
        <w:tc>
          <w:tcPr>
            <w:tcW w:type="dxa" w:w="1008"/>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Stride</w:t>
            </w:r>
          </w:p>
        </w:tc>
      </w:tr>
      <w:tr>
        <w:tc>
          <w:tcPr>
            <w:tcW w:type="dxa" w:w="1296"/>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Input</w:t>
            </w:r>
          </w:p>
        </w:tc>
        <w:tc>
          <w:tcPr>
            <w:tcW w:type="dxa" w:w="1872"/>
            <w:shd w:fill="FFFFFF"/>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Conv2d 3x3</w:t>
            </w:r>
          </w:p>
        </w:tc>
        <w:tc>
          <w:tcPr>
            <w:tcW w:type="dxa" w:w="1440"/>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w:t>
            </w:r>
          </w:p>
        </w:tc>
        <w:tc>
          <w:tcPr>
            <w:tcW w:type="dxa" w:w="1440"/>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16</w:t>
            </w:r>
          </w:p>
        </w:tc>
        <w:tc>
          <w:tcPr>
            <w:tcW w:type="dxa" w:w="1296"/>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No</w:t>
            </w:r>
          </w:p>
        </w:tc>
        <w:tc>
          <w:tcPr>
            <w:tcW w:type="dxa" w:w="1224"/>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h-swish</w:t>
            </w:r>
          </w:p>
        </w:tc>
        <w:tc>
          <w:tcPr>
            <w:tcW w:type="dxa" w:w="1008"/>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s = 2</w:t>
            </w:r>
          </w:p>
        </w:tc>
      </w:tr>
      <w:tr>
        <w:tc>
          <w:tcPr>
            <w:tcW w:type="dxa" w:w="1296"/>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Bneck 1</w:t>
            </w:r>
          </w:p>
        </w:tc>
        <w:tc>
          <w:tcPr>
            <w:tcW w:type="dxa" w:w="1872"/>
            <w:shd w:fill="FAFAFA"/>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Bneck 3x3</w:t>
            </w:r>
          </w:p>
        </w:tc>
        <w:tc>
          <w:tcPr>
            <w:tcW w:type="dxa" w:w="1440"/>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16</w:t>
            </w:r>
          </w:p>
        </w:tc>
        <w:tc>
          <w:tcPr>
            <w:tcW w:type="dxa" w:w="1440"/>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16</w:t>
            </w:r>
          </w:p>
        </w:tc>
        <w:tc>
          <w:tcPr>
            <w:tcW w:type="dxa" w:w="1296"/>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Yes (r=4)</w:t>
            </w:r>
          </w:p>
        </w:tc>
        <w:tc>
          <w:tcPr>
            <w:tcW w:type="dxa" w:w="1224"/>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ReLU</w:t>
            </w:r>
          </w:p>
        </w:tc>
        <w:tc>
          <w:tcPr>
            <w:tcW w:type="dxa" w:w="1008"/>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s = 2</w:t>
            </w:r>
          </w:p>
        </w:tc>
      </w:tr>
      <w:tr>
        <w:tc>
          <w:tcPr>
            <w:tcW w:type="dxa" w:w="1296"/>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Bneck 2</w:t>
            </w:r>
          </w:p>
        </w:tc>
        <w:tc>
          <w:tcPr>
            <w:tcW w:type="dxa" w:w="1872"/>
            <w:shd w:fill="FFFFFF"/>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Bneck 3x3</w:t>
            </w:r>
          </w:p>
        </w:tc>
        <w:tc>
          <w:tcPr>
            <w:tcW w:type="dxa" w:w="1440"/>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72</w:t>
            </w:r>
          </w:p>
        </w:tc>
        <w:tc>
          <w:tcPr>
            <w:tcW w:type="dxa" w:w="1440"/>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24</w:t>
            </w:r>
          </w:p>
        </w:tc>
        <w:tc>
          <w:tcPr>
            <w:tcW w:type="dxa" w:w="1296"/>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No</w:t>
            </w:r>
          </w:p>
        </w:tc>
        <w:tc>
          <w:tcPr>
            <w:tcW w:type="dxa" w:w="1224"/>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ReLU</w:t>
            </w:r>
          </w:p>
        </w:tc>
        <w:tc>
          <w:tcPr>
            <w:tcW w:type="dxa" w:w="1008"/>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s = 2</w:t>
            </w:r>
          </w:p>
        </w:tc>
      </w:tr>
      <w:tr>
        <w:tc>
          <w:tcPr>
            <w:tcW w:type="dxa" w:w="1296"/>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Bneck 3</w:t>
            </w:r>
          </w:p>
        </w:tc>
        <w:tc>
          <w:tcPr>
            <w:tcW w:type="dxa" w:w="1872"/>
            <w:shd w:fill="FAFAFA"/>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Bneck 3x3</w:t>
            </w:r>
          </w:p>
        </w:tc>
        <w:tc>
          <w:tcPr>
            <w:tcW w:type="dxa" w:w="1440"/>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88</w:t>
            </w:r>
          </w:p>
        </w:tc>
        <w:tc>
          <w:tcPr>
            <w:tcW w:type="dxa" w:w="1440"/>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24</w:t>
            </w:r>
          </w:p>
        </w:tc>
        <w:tc>
          <w:tcPr>
            <w:tcW w:type="dxa" w:w="1296"/>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No</w:t>
            </w:r>
          </w:p>
        </w:tc>
        <w:tc>
          <w:tcPr>
            <w:tcW w:type="dxa" w:w="1224"/>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ReLU</w:t>
            </w:r>
          </w:p>
        </w:tc>
        <w:tc>
          <w:tcPr>
            <w:tcW w:type="dxa" w:w="1008"/>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s = 1</w:t>
            </w:r>
          </w:p>
        </w:tc>
      </w:tr>
      <w:tr>
        <w:tc>
          <w:tcPr>
            <w:tcW w:type="dxa" w:w="1296"/>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Bneck 4</w:t>
            </w:r>
          </w:p>
        </w:tc>
        <w:tc>
          <w:tcPr>
            <w:tcW w:type="dxa" w:w="1872"/>
            <w:shd w:fill="FFFFFF"/>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Bneck 5x5</w:t>
            </w:r>
          </w:p>
        </w:tc>
        <w:tc>
          <w:tcPr>
            <w:tcW w:type="dxa" w:w="1440"/>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96</w:t>
            </w:r>
          </w:p>
        </w:tc>
        <w:tc>
          <w:tcPr>
            <w:tcW w:type="dxa" w:w="1440"/>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40</w:t>
            </w:r>
          </w:p>
        </w:tc>
        <w:tc>
          <w:tcPr>
            <w:tcW w:type="dxa" w:w="1296"/>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Yes (r=4)</w:t>
            </w:r>
          </w:p>
        </w:tc>
        <w:tc>
          <w:tcPr>
            <w:tcW w:type="dxa" w:w="1224"/>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h-swish</w:t>
            </w:r>
          </w:p>
        </w:tc>
        <w:tc>
          <w:tcPr>
            <w:tcW w:type="dxa" w:w="1008"/>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s = 2</w:t>
            </w:r>
          </w:p>
        </w:tc>
      </w:tr>
      <w:tr>
        <w:tc>
          <w:tcPr>
            <w:tcW w:type="dxa" w:w="1296"/>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Bneck 5</w:t>
            </w:r>
          </w:p>
        </w:tc>
        <w:tc>
          <w:tcPr>
            <w:tcW w:type="dxa" w:w="1872"/>
            <w:shd w:fill="FAFAFA"/>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Bneck 5x5</w:t>
            </w:r>
          </w:p>
        </w:tc>
        <w:tc>
          <w:tcPr>
            <w:tcW w:type="dxa" w:w="1440"/>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240</w:t>
            </w:r>
          </w:p>
        </w:tc>
        <w:tc>
          <w:tcPr>
            <w:tcW w:type="dxa" w:w="1440"/>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40</w:t>
            </w:r>
          </w:p>
        </w:tc>
        <w:tc>
          <w:tcPr>
            <w:tcW w:type="dxa" w:w="1296"/>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Yes (r=4)</w:t>
            </w:r>
          </w:p>
        </w:tc>
        <w:tc>
          <w:tcPr>
            <w:tcW w:type="dxa" w:w="1224"/>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h-swish</w:t>
            </w:r>
          </w:p>
        </w:tc>
        <w:tc>
          <w:tcPr>
            <w:tcW w:type="dxa" w:w="1008"/>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s = 1</w:t>
            </w:r>
          </w:p>
        </w:tc>
      </w:tr>
      <w:tr>
        <w:tc>
          <w:tcPr>
            <w:tcW w:type="dxa" w:w="1296"/>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Bneck 6</w:t>
            </w:r>
          </w:p>
        </w:tc>
        <w:tc>
          <w:tcPr>
            <w:tcW w:type="dxa" w:w="1872"/>
            <w:shd w:fill="FFFFFF"/>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Bneck 5x5</w:t>
            </w:r>
          </w:p>
        </w:tc>
        <w:tc>
          <w:tcPr>
            <w:tcW w:type="dxa" w:w="1440"/>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240</w:t>
            </w:r>
          </w:p>
        </w:tc>
        <w:tc>
          <w:tcPr>
            <w:tcW w:type="dxa" w:w="1440"/>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40</w:t>
            </w:r>
          </w:p>
        </w:tc>
        <w:tc>
          <w:tcPr>
            <w:tcW w:type="dxa" w:w="1296"/>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Yes (r=4)</w:t>
            </w:r>
          </w:p>
        </w:tc>
        <w:tc>
          <w:tcPr>
            <w:tcW w:type="dxa" w:w="1224"/>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h-swish</w:t>
            </w:r>
          </w:p>
        </w:tc>
        <w:tc>
          <w:tcPr>
            <w:tcW w:type="dxa" w:w="1008"/>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s = 1</w:t>
            </w:r>
          </w:p>
        </w:tc>
      </w:tr>
      <w:tr>
        <w:tc>
          <w:tcPr>
            <w:tcW w:type="dxa" w:w="1296"/>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Bneck 7</w:t>
            </w:r>
          </w:p>
        </w:tc>
        <w:tc>
          <w:tcPr>
            <w:tcW w:type="dxa" w:w="1872"/>
            <w:shd w:fill="FAFAFA"/>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Bneck 5x5</w:t>
            </w:r>
          </w:p>
        </w:tc>
        <w:tc>
          <w:tcPr>
            <w:tcW w:type="dxa" w:w="1440"/>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120</w:t>
            </w:r>
          </w:p>
        </w:tc>
        <w:tc>
          <w:tcPr>
            <w:tcW w:type="dxa" w:w="1440"/>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48</w:t>
            </w:r>
          </w:p>
        </w:tc>
        <w:tc>
          <w:tcPr>
            <w:tcW w:type="dxa" w:w="1296"/>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Yes (r=4)</w:t>
            </w:r>
          </w:p>
        </w:tc>
        <w:tc>
          <w:tcPr>
            <w:tcW w:type="dxa" w:w="1224"/>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h-swish</w:t>
            </w:r>
          </w:p>
        </w:tc>
        <w:tc>
          <w:tcPr>
            <w:tcW w:type="dxa" w:w="1008"/>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s = 1</w:t>
            </w:r>
          </w:p>
        </w:tc>
      </w:tr>
      <w:tr>
        <w:tc>
          <w:tcPr>
            <w:tcW w:type="dxa" w:w="1296"/>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Bneck 8</w:t>
            </w:r>
          </w:p>
        </w:tc>
        <w:tc>
          <w:tcPr>
            <w:tcW w:type="dxa" w:w="1872"/>
            <w:shd w:fill="FFFFFF"/>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Bneck 5x5</w:t>
            </w:r>
          </w:p>
        </w:tc>
        <w:tc>
          <w:tcPr>
            <w:tcW w:type="dxa" w:w="1440"/>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144</w:t>
            </w:r>
          </w:p>
        </w:tc>
        <w:tc>
          <w:tcPr>
            <w:tcW w:type="dxa" w:w="1440"/>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48</w:t>
            </w:r>
          </w:p>
        </w:tc>
        <w:tc>
          <w:tcPr>
            <w:tcW w:type="dxa" w:w="1296"/>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Yes (r=4)</w:t>
            </w:r>
          </w:p>
        </w:tc>
        <w:tc>
          <w:tcPr>
            <w:tcW w:type="dxa" w:w="1224"/>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h-swish</w:t>
            </w:r>
          </w:p>
        </w:tc>
        <w:tc>
          <w:tcPr>
            <w:tcW w:type="dxa" w:w="1008"/>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s = 1</w:t>
            </w:r>
          </w:p>
        </w:tc>
      </w:tr>
      <w:tr>
        <w:tc>
          <w:tcPr>
            <w:tcW w:type="dxa" w:w="1296"/>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Bneck 9</w:t>
            </w:r>
          </w:p>
        </w:tc>
        <w:tc>
          <w:tcPr>
            <w:tcW w:type="dxa" w:w="1872"/>
            <w:shd w:fill="FAFAFA"/>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Bneck 5x5</w:t>
            </w:r>
          </w:p>
        </w:tc>
        <w:tc>
          <w:tcPr>
            <w:tcW w:type="dxa" w:w="1440"/>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288</w:t>
            </w:r>
          </w:p>
        </w:tc>
        <w:tc>
          <w:tcPr>
            <w:tcW w:type="dxa" w:w="1440"/>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96</w:t>
            </w:r>
          </w:p>
        </w:tc>
        <w:tc>
          <w:tcPr>
            <w:tcW w:type="dxa" w:w="1296"/>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Yes (r=4)</w:t>
            </w:r>
          </w:p>
        </w:tc>
        <w:tc>
          <w:tcPr>
            <w:tcW w:type="dxa" w:w="1224"/>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h-swish</w:t>
            </w:r>
          </w:p>
        </w:tc>
        <w:tc>
          <w:tcPr>
            <w:tcW w:type="dxa" w:w="1008"/>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s = 2</w:t>
            </w:r>
          </w:p>
        </w:tc>
      </w:tr>
      <w:tr>
        <w:tc>
          <w:tcPr>
            <w:tcW w:type="dxa" w:w="1296"/>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Head</w:t>
            </w:r>
          </w:p>
        </w:tc>
        <w:tc>
          <w:tcPr>
            <w:tcW w:type="dxa" w:w="1872"/>
            <w:shd w:fill="FFFFFF"/>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Conv2d 1x1 + Pool</w:t>
            </w:r>
          </w:p>
        </w:tc>
        <w:tc>
          <w:tcPr>
            <w:tcW w:type="dxa" w:w="1440"/>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w:t>
            </w:r>
          </w:p>
        </w:tc>
        <w:tc>
          <w:tcPr>
            <w:tcW w:type="dxa" w:w="1440"/>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576</w:t>
            </w:r>
          </w:p>
        </w:tc>
        <w:tc>
          <w:tcPr>
            <w:tcW w:type="dxa" w:w="1296"/>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No</w:t>
            </w:r>
          </w:p>
        </w:tc>
        <w:tc>
          <w:tcPr>
            <w:tcW w:type="dxa" w:w="1224"/>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h-swish</w:t>
            </w:r>
          </w:p>
        </w:tc>
        <w:tc>
          <w:tcPr>
            <w:tcW w:type="dxa" w:w="1008"/>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s = 1</w:t>
            </w:r>
          </w:p>
        </w:tc>
      </w:tr>
      <w:tr>
        <w:tc>
          <w:tcPr>
            <w:tcW w:type="dxa" w:w="1296"/>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Classifier</w:t>
            </w:r>
          </w:p>
        </w:tc>
        <w:tc>
          <w:tcPr>
            <w:tcW w:type="dxa" w:w="1872"/>
            <w:shd w:fill="FAFAFA"/>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Linear / Dropout</w:t>
            </w:r>
          </w:p>
        </w:tc>
        <w:tc>
          <w:tcPr>
            <w:tcW w:type="dxa" w:w="1440"/>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w:t>
            </w:r>
          </w:p>
        </w:tc>
        <w:tc>
          <w:tcPr>
            <w:tcW w:type="dxa" w:w="1440"/>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67 Classes</w:t>
            </w:r>
          </w:p>
        </w:tc>
        <w:tc>
          <w:tcPr>
            <w:tcW w:type="dxa" w:w="1296"/>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No</w:t>
            </w:r>
          </w:p>
        </w:tc>
        <w:tc>
          <w:tcPr>
            <w:tcW w:type="dxa" w:w="1224"/>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Softmax</w:t>
            </w:r>
          </w:p>
        </w:tc>
        <w:tc>
          <w:tcPr>
            <w:tcW w:type="dxa" w:w="1008"/>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w:t>
            </w:r>
          </w:p>
        </w:tc>
      </w:tr>
    </w:tbl>
    <w:p>
      <w:pPr>
        <w:spacing w:after="240"/>
      </w:pPr>
    </w:p>
    <w:p>
      <w:pPr>
        <w:spacing w:line="360" w:lineRule="auto" w:after="360" w:before="0"/>
        <w:jc w:val="both"/>
      </w:pPr>
      <w:r>
        <w:rPr>
          <w:rFonts w:ascii="Times New Roman" w:hAnsi="Times New Roman"/>
          <w:sz w:val="24"/>
        </w:rPr>
        <w:t>Table 4.1 details the layer-wise topological configuration of the customized MobileNetV3-Small backbone.</w:t>
      </w:r>
    </w:p>
    <w:p>
      <w:pPr>
        <w:spacing w:before="280" w:after="120"/>
        <w:jc w:val="center"/>
      </w:pPr>
      <w:r>
        <w:rPr>
          <w:rFonts w:ascii="Courier New" w:hAnsi="Courier New"/>
          <w:color w:val="282828"/>
          <w:sz w:val="19"/>
        </w:rPr>
        <w:t>+-----------------------------------------------------------------------------------+</w:t>
        <w:br/>
        <w:t>| [ Visual Schematic Diagram / Empirical System Architecture ]                       |</w:t>
        <w:br/>
        <w:t>| Micro-Architectural Topology of the Inverted Residual Squeeze-and-Excitation Bottleneck Block |</w:t>
        <w:br/>
        <w:t>+-----------------------------------------------------------------------------------+</w:t>
      </w:r>
    </w:p>
    <w:p>
      <w:pPr>
        <w:spacing w:before="120" w:after="360"/>
        <w:jc w:val="center"/>
      </w:pPr>
      <w:r>
        <w:rPr>
          <w:rFonts w:ascii="Times New Roman" w:hAnsi="Times New Roman"/>
          <w:b/>
          <w:sz w:val="24"/>
        </w:rPr>
        <w:t>Fig. 4.1 Architectural Micro-Topology of the Inverted Residual Bottleneck in MobileNetV3-Small</w:t>
      </w:r>
    </w:p>
    <w:p>
      <w:pPr>
        <w:spacing w:line="360" w:lineRule="auto" w:after="360" w:before="0"/>
        <w:jc w:val="both"/>
      </w:pPr>
      <w:r>
        <w:rPr>
          <w:rFonts w:ascii="Times New Roman" w:hAnsi="Times New Roman"/>
          <w:sz w:val="24"/>
        </w:rPr>
        <w:t>Fig. 4.1 illustrates the internal data transformations of the bottleneck block.</w:t>
      </w:r>
    </w:p>
    <w:p>
      <w:pPr>
        <w:spacing w:before="320" w:after="160" w:line="360" w:lineRule="auto"/>
        <w:jc w:val="left"/>
      </w:pPr>
      <w:r>
        <w:rPr>
          <w:rFonts w:ascii="Times New Roman" w:hAnsi="Times New Roman"/>
          <w:b/>
          <w:sz w:val="24"/>
        </w:rPr>
        <w:t>4.2.2 Algorithm 4.1 Rotation-Invariant Morphology &amp; Anisotropy</w:t>
      </w:r>
    </w:p>
    <w:p>
      <w:pPr>
        <w:spacing w:line="360" w:lineRule="auto" w:after="360" w:before="0"/>
        <w:jc w:val="both"/>
      </w:pPr>
      <w:r>
        <w:rPr>
          <w:rFonts w:ascii="Times New Roman" w:hAnsi="Times New Roman"/>
          <w:sz w:val="24"/>
        </w:rPr>
        <w:t>The detailed algorithmic procedure for extracting rotation-invariant true aspect ratio and directional vein anisotropy is formally defined in Algorithm 4.1:</w:t>
      </w:r>
    </w:p>
    <w:p>
      <w:pPr>
        <w:spacing w:line="360" w:lineRule="auto" w:after="360" w:before="0"/>
        <w:jc w:val="both"/>
      </w:pPr>
      <w:r>
        <w:rPr>
          <w:rFonts w:ascii="Times New Roman" w:hAnsi="Times New Roman"/>
          <w:sz w:val="24"/>
        </w:rPr>
        <w:t>---------------------------------------------------------------------------------------------------</w:t>
      </w:r>
    </w:p>
    <w:p>
      <w:pPr>
        <w:spacing w:line="360" w:lineRule="auto" w:after="360" w:before="0"/>
        <w:jc w:val="both"/>
      </w:pPr>
      <w:r>
        <w:rPr>
          <w:rFonts w:ascii="Times New Roman" w:hAnsi="Times New Roman"/>
          <w:sz w:val="24"/>
        </w:rPr>
        <w:t>Algorithm 4.1: Rotation-Invariant Morphology &amp; Directional Anisotropy Extraction</w:t>
        <w:br/>
        <w:t>Input: Raw RGB foliage image I of dimensions (H, W, 3)</w:t>
        <w:br/>
        <w:t>Output: Morphological feature tuple (TAR, Circularity, Solidity, Anisotropy, Monocot_Score)</w:t>
        <w:br/>
        <w:t>1: Convert image I from RGB to HSV color space: (H_ch, S_ch, V_ch) &lt;- cvtColor(I, COLOR_RGB2HSV)</w:t>
        <w:br/>
        <w:t>2: Generate foliage binary mask M_foliage via dual-interval thresholding (Eq. 3.1)</w:t>
        <w:br/>
        <w:t>3: Find external contours: Contours &lt;- findContours(M_foliage, RETR_EXTERNAL, CHAIN_APPROX_SIMPLE)</w:t>
        <w:br/>
        <w:t>4: Isolate maximum area contour: C_max &lt;- argmax_{c in Contours} (contourArea(c))</w:t>
        <w:br/>
        <w:t>5: Calculate perimeter P &lt;- arcLength(C_max, True) and Area A &lt;- contourArea(C_max)</w:t>
        <w:br/>
        <w:t>6: Compute circularity: Circ &lt;- 4 * pi * (A / (P^2 + 1e-6))</w:t>
        <w:br/>
        <w:t>7: Compute convex hull H_c &lt;- convexHull(C_max) and Solidity &lt;- A / (contourArea(H_c) + 1e-6)</w:t>
        <w:br/>
        <w:t>8: Fit minimum area rotated bounding box: rect &lt;- minAreaRect(C_max)</w:t>
        <w:br/>
        <w:t>9: Extract dimensions (dim1, dim2) and rotation angle theta &lt;- rect</w:t>
        <w:br/>
        <w:t>10: Compute True Aspect Ratio: TAR &lt;- max(dim1, dim2) / max(1.0, min(dim1, dim2))</w:t>
        <w:br/>
        <w:t>11: Construct affine rotation matrix M(theta) around image center (W/2, H/2)</w:t>
        <w:br/>
        <w:t>12: Warp grayscale image: I_rot &lt;- warpAffine(cvtColor(I, COLOR_RGB2GRAY), M(theta), (W, H))</w:t>
        <w:br/>
        <w:t>13: Warp foliage mask: M_rot &lt;- warpAffine(M_foliage, M(theta), (W, H))</w:t>
        <w:br/>
        <w:t>14: Compute horizontal Sobel gradients: G_x &lt;- Sobel(I_rot, CV_64F, 1, 0, ksize=3)</w:t>
        <w:br/>
        <w:t>15: Compute vertical Sobel gradients: G_y &lt;- Sobel(I_rot, CV_64F, 0, 1, ksize=3)</w:t>
        <w:br/>
        <w:t>16: Restrict gradients to foliage: E_x &lt;- sum(|G_x[M_rot]|), E_y &lt;- sum(|G_y[M_rot]|)</w:t>
        <w:br/>
        <w:t>17: Compute Directional Anisotropy: Aniso &lt;- |(E_x / (E_x + E_y + 1e-6)) - 0.5| * 2.0</w:t>
        <w:br/>
        <w:t>18: Evaluate Monocot Voting: Monocot_Score &lt;- 0</w:t>
        <w:br/>
        <w:t>19: if TAR &gt; 2.8 then Monocot_Score &lt;- Monocot_Score + 6</w:t>
        <w:br/>
        <w:t>20: if Aniso &gt; 0.35 then Monocot_Score &lt;- Monocot_Score + 5</w:t>
        <w:br/>
        <w:t>21: if Circ &lt; 0.42 then Monocot_Score &lt;- Monocot_Score + 4</w:t>
        <w:br/>
        <w:t>22: return (TAR, Circ, Solidity, Aniso, Monocot_Score)</w:t>
      </w:r>
    </w:p>
    <w:p>
      <w:pPr>
        <w:spacing w:line="360" w:lineRule="auto" w:after="360" w:before="0"/>
        <w:jc w:val="both"/>
      </w:pPr>
      <w:r>
        <w:rPr>
          <w:rFonts w:ascii="Times New Roman" w:hAnsi="Times New Roman"/>
          <w:sz w:val="24"/>
        </w:rPr>
        <w:t>---------------------------------------------------------------------------------------------------</w:t>
      </w:r>
    </w:p>
    <w:p>
      <w:pPr>
        <w:spacing w:before="280" w:after="120"/>
        <w:jc w:val="center"/>
      </w:pPr>
      <w:r>
        <w:rPr>
          <w:rFonts w:ascii="Courier New" w:hAnsi="Courier New"/>
          <w:color w:val="282828"/>
          <w:sz w:val="19"/>
        </w:rPr>
        <w:t>+-----------------------------------------------------------------------------------+</w:t>
        <w:br/>
        <w:t>| [ Visual Schematic Diagram / Empirical System Architecture ]                       |</w:t>
        <w:br/>
        <w:t>| System Flowchart Illustrating Image Ingestion, Morphology Extraction, and Hybrid Scoring Logic |</w:t>
        <w:br/>
        <w:t>+-----------------------------------------------------------------------------------+</w:t>
      </w:r>
    </w:p>
    <w:p>
      <w:pPr>
        <w:spacing w:before="120" w:after="360"/>
        <w:jc w:val="center"/>
      </w:pPr>
      <w:r>
        <w:rPr>
          <w:rFonts w:ascii="Times New Roman" w:hAnsi="Times New Roman"/>
          <w:b/>
          <w:sz w:val="24"/>
        </w:rPr>
        <w:t>Fig. 4.2 Detailed System Flowchart Representing the Hybrid Computer Vision Pipeline</w:t>
      </w:r>
    </w:p>
    <w:p>
      <w:pPr>
        <w:spacing w:line="360" w:lineRule="auto" w:after="360" w:before="0"/>
        <w:jc w:val="both"/>
      </w:pPr>
      <w:r>
        <w:rPr>
          <w:rFonts w:ascii="Times New Roman" w:hAnsi="Times New Roman"/>
          <w:sz w:val="24"/>
        </w:rPr>
        <w:t>Fig. 4.2 presents the flowchart execution of Algorithm 4.1 within the diagnostic pipeline.</w:t>
      </w:r>
    </w:p>
    <w:p>
      <w:pPr>
        <w:spacing w:before="320" w:after="160" w:line="360" w:lineRule="auto"/>
        <w:jc w:val="left"/>
      </w:pPr>
      <w:r>
        <w:rPr>
          <w:rFonts w:ascii="Times New Roman" w:hAnsi="Times New Roman"/>
          <w:b/>
          <w:sz w:val="24"/>
        </w:rPr>
        <w:t>4.2.3 Algorithm 4.2 Grad-CAM Saliency Map Extraction</w:t>
      </w:r>
    </w:p>
    <w:p>
      <w:pPr>
        <w:spacing w:line="360" w:lineRule="auto" w:after="360" w:before="0"/>
        <w:jc w:val="both"/>
      </w:pPr>
      <w:r>
        <w:rPr>
          <w:rFonts w:ascii="Times New Roman" w:hAnsi="Times New Roman"/>
          <w:sz w:val="24"/>
        </w:rPr>
        <w:t>Algorithm 4.2 defines the visual explainability computation:</w:t>
      </w:r>
    </w:p>
    <w:p>
      <w:pPr>
        <w:spacing w:line="360" w:lineRule="auto" w:after="360" w:before="0"/>
        <w:jc w:val="both"/>
      </w:pPr>
      <w:r>
        <w:rPr>
          <w:rFonts w:ascii="Times New Roman" w:hAnsi="Times New Roman"/>
          <w:sz w:val="24"/>
        </w:rPr>
        <w:t>---------------------------------------------------------------------------------------------------</w:t>
      </w:r>
    </w:p>
    <w:p>
      <w:pPr>
        <w:spacing w:line="360" w:lineRule="auto" w:after="360" w:before="0"/>
        <w:jc w:val="both"/>
      </w:pPr>
      <w:r>
        <w:rPr>
          <w:rFonts w:ascii="Times New Roman" w:hAnsi="Times New Roman"/>
          <w:sz w:val="24"/>
        </w:rPr>
        <w:t>Algorithm 4.2: Grad-CAM Saliency Map Extraction &amp; Multimodal Visualization</w:t>
        <w:br/>
        <w:t>Input: Input tensor X in R^{1 x 3 x 224 x 224}, Model M, Target class index c</w:t>
        <w:br/>
        <w:t>Output: Color-blended Grad-CAM visual heatmap I_cam in R^{224 x 224 x 3}</w:t>
        <w:br/>
        <w:t>1: Register forward hook on final convolutional layer L_conv to capture feature activation A in R^{1 x K x U x V}</w:t>
        <w:br/>
        <w:t>2: Register backward hook on layer L_conv to capture gradient tensor dY/dA</w:t>
        <w:br/>
        <w:t>3: Forward pass: Logits y &lt;- M(X)</w:t>
        <w:br/>
        <w:t>4: Backward pass: Zero model gradients and execute y[0, c].backward()</w:t>
        <w:br/>
        <w:t>5: Compute channel-wise pooled importance weights alpha_k via Eq. (3.7)</w:t>
        <w:br/>
        <w:t>6: Compute weighted linear combination: S &lt;- sum_{k=1}^K alpha_k * A[0, k, :, :]</w:t>
        <w:br/>
        <w:t>7: Apply Rectified Linear Unit: L_cam &lt;- max(0, S)</w:t>
        <w:br/>
        <w:t>8: Normalize heatmap to [0, 1]: L_norm &lt;- (L_cam - min(L_cam)) / (max(L_cam) - min(L_cam) + 1e-8)</w:t>
        <w:br/>
        <w:t>9: Upsample L_norm to (224, 224) via bicubic interpolation: L_upsampled &lt;- resize(L_norm, (224, 224))</w:t>
        <w:br/>
        <w:t>10: Apply color palette (JET/Inferno/Viridis/Turbo): RGB_cam &lt;- applyColormap(uint8(255 * L_upsampled))</w:t>
        <w:br/>
        <w:t>11: Alpha blend with original RGB image: I_cam &lt;- alpha * RGB_cam + (1 - alpha) * I_orig</w:t>
        <w:br/>
        <w:t>12: return I_cam</w:t>
      </w:r>
    </w:p>
    <w:p>
      <w:pPr>
        <w:spacing w:line="360" w:lineRule="auto" w:after="360" w:before="0"/>
        <w:jc w:val="both"/>
      </w:pPr>
      <w:r>
        <w:rPr>
          <w:rFonts w:ascii="Times New Roman" w:hAnsi="Times New Roman"/>
          <w:sz w:val="24"/>
        </w:rPr>
        <w:t>---------------------------------------------------------------------------------------------------</w:t>
      </w:r>
    </w:p>
    <w:p>
      <w:pPr>
        <w:spacing w:before="280" w:after="120"/>
        <w:jc w:val="center"/>
      </w:pPr>
      <w:r>
        <w:rPr>
          <w:rFonts w:ascii="Courier New" w:hAnsi="Courier New"/>
          <w:color w:val="282828"/>
          <w:sz w:val="19"/>
        </w:rPr>
        <w:t>+-----------------------------------------------------------------------------------+</w:t>
        <w:br/>
        <w:t>| [ Visual Schematic Diagram / Empirical System Architecture ]                       |</w:t>
        <w:br/>
        <w:t>| Flowchart Representing Grad-CAM Backpropagation, Activation Hooking, and Heatmap Alpha-Blending |</w:t>
        <w:br/>
        <w:t>+-----------------------------------------------------------------------------------+</w:t>
      </w:r>
    </w:p>
    <w:p>
      <w:pPr>
        <w:spacing w:before="120" w:after="360"/>
        <w:jc w:val="center"/>
      </w:pPr>
      <w:r>
        <w:rPr>
          <w:rFonts w:ascii="Times New Roman" w:hAnsi="Times New Roman"/>
          <w:b/>
          <w:sz w:val="24"/>
        </w:rPr>
        <w:t>Fig. 4.3 Flowchart of Grad-CAM Visual Heatmap Synthesis and Bicubic Upsampling</w:t>
      </w:r>
    </w:p>
    <w:p>
      <w:pPr>
        <w:spacing w:line="360" w:lineRule="auto" w:after="360" w:before="0"/>
        <w:jc w:val="both"/>
      </w:pPr>
      <w:r>
        <w:rPr>
          <w:rFonts w:ascii="Times New Roman" w:hAnsi="Times New Roman"/>
          <w:sz w:val="24"/>
        </w:rPr>
        <w:t>Fig. 4.3 illustrates the step-by-step synthesis of Grad-CAM heatmaps as detailed in Algorithm 4.2.</w:t>
      </w:r>
    </w:p>
    <w:p>
      <w:pPr>
        <w:spacing w:before="320" w:after="160" w:line="360" w:lineRule="auto"/>
        <w:jc w:val="left"/>
      </w:pPr>
      <w:r>
        <w:rPr>
          <w:rFonts w:ascii="Times New Roman" w:hAnsi="Times New Roman"/>
          <w:b/>
          <w:sz w:val="24"/>
        </w:rPr>
        <w:t>4.2.4 Algorithm 4.3 Adaptive Otsu Severity Quantification</w:t>
      </w:r>
    </w:p>
    <w:p>
      <w:pPr>
        <w:spacing w:line="360" w:lineRule="auto" w:after="360" w:before="0"/>
        <w:jc w:val="both"/>
      </w:pPr>
      <w:r>
        <w:rPr>
          <w:rFonts w:ascii="Times New Roman" w:hAnsi="Times New Roman"/>
          <w:sz w:val="24"/>
        </w:rPr>
        <w:t>Algorithm 4.3 details foliar infection severity quantification:</w:t>
      </w:r>
    </w:p>
    <w:p>
      <w:pPr>
        <w:spacing w:line="360" w:lineRule="auto" w:after="360" w:before="0"/>
        <w:jc w:val="both"/>
      </w:pPr>
      <w:r>
        <w:rPr>
          <w:rFonts w:ascii="Times New Roman" w:hAnsi="Times New Roman"/>
          <w:sz w:val="24"/>
        </w:rPr>
        <w:t>---------------------------------------------------------------------------------------------------</w:t>
      </w:r>
    </w:p>
    <w:p>
      <w:pPr>
        <w:spacing w:line="360" w:lineRule="auto" w:after="360" w:before="0"/>
        <w:jc w:val="both"/>
      </w:pPr>
      <w:r>
        <w:rPr>
          <w:rFonts w:ascii="Times New Roman" w:hAnsi="Times New Roman"/>
          <w:sz w:val="24"/>
        </w:rPr>
        <w:t>Algorithm 4.3: Adaptive Otsu Severity Quantification and Staging</w:t>
        <w:br/>
        <w:t>Input: RGB leaf image I, Foliage binary mask M_foliage</w:t>
        <w:br/>
        <w:t>Output: Severity percentage S_pct, Severity classification stage (Mild / Moderate / Severe)</w:t>
        <w:br/>
        <w:t>1: Convert image I to HSV: (H, S, V) &lt;- cvtColor(I, COLOR_RGB2HSV)</w:t>
        <w:br/>
        <w:t>2: Extract Grayscale intensity of foliage: I_gray &lt;- cvtColor(I, COLOR_RGB2GRAY)</w:t>
        <w:br/>
        <w:t>3: Compute Otsu optimal threshold T_otsu on I_gray[M_foliage]</w:t>
        <w:br/>
        <w:t>4: Extract necrotic lesion mask: M_nec &lt;- (I_gray &lt; T_otsu) and (H in [5, 24]) and (S &gt;= 25)</w:t>
        <w:br/>
        <w:t>5: Extract fungal rust pustule mask: M_rust &lt;- (H in [6, 36]) and (S &gt;= 35) and (V &gt;= 35)</w:t>
        <w:br/>
        <w:t>6: Extract powdery mildew mask: M_pwd &lt;- (S &lt;= 40) and (V &gt;= 155)</w:t>
        <w:br/>
        <w:t>7: Combine symptom masks: M_lesion &lt;- (M_nec or M_rust or M_pwd) and M_foliage</w:t>
        <w:br/>
        <w:t>8: Calculate pixel counts: N_lesion &lt;- countNonZero(M_lesion), N_total &lt;- countNonZero(M_foliage)</w:t>
        <w:br/>
        <w:t>9: Compute percentage severity: S_pct &lt;- (N_lesion / max(1, N_total)) * 100.0</w:t>
        <w:br/>
        <w:t>10: if S_pct &lt; 10.0 then Stage &lt;- 'Mild Infection'</w:t>
        <w:br/>
        <w:t>11: else if S_pct &lt;= 25.0 then Stage &lt;- 'Moderate Infection'</w:t>
        <w:br/>
        <w:t>12: else Stage &lt;- 'Severe Infestation'</w:t>
        <w:br/>
        <w:t>13: return (S_pct, Stage)</w:t>
      </w:r>
    </w:p>
    <w:p>
      <w:pPr>
        <w:spacing w:line="360" w:lineRule="auto" w:after="360" w:before="0"/>
        <w:jc w:val="both"/>
      </w:pPr>
      <w:r>
        <w:rPr>
          <w:rFonts w:ascii="Times New Roman" w:hAnsi="Times New Roman"/>
          <w:sz w:val="24"/>
        </w:rPr>
        <w:t>---------------------------------------------------------------------------------------------------</w:t>
      </w:r>
    </w:p>
    <w:p>
      <w:pPr>
        <w:spacing w:before="280" w:after="120"/>
        <w:jc w:val="center"/>
      </w:pPr>
      <w:r>
        <w:rPr>
          <w:rFonts w:ascii="Courier New" w:hAnsi="Courier New"/>
          <w:color w:val="282828"/>
          <w:sz w:val="19"/>
        </w:rPr>
        <w:t>+-----------------------------------------------------------------------------------+</w:t>
        <w:br/>
        <w:t>| [ Visual Schematic Diagram / Empirical System Architecture ]                       |</w:t>
        <w:br/>
        <w:t>| Flowchart of Adaptive Otsu Thresholding and Multi-Symptom Mask Generation         |</w:t>
        <w:br/>
        <w:t>+-----------------------------------------------------------------------------------+</w:t>
      </w:r>
    </w:p>
    <w:p>
      <w:pPr>
        <w:spacing w:before="120" w:after="360"/>
        <w:jc w:val="center"/>
      </w:pPr>
      <w:r>
        <w:rPr>
          <w:rFonts w:ascii="Times New Roman" w:hAnsi="Times New Roman"/>
          <w:b/>
          <w:sz w:val="24"/>
        </w:rPr>
        <w:t>Fig. 4.4 Adaptive Otsu Binarization and HSV Tissue Segmentation Execution Flow</w:t>
      </w:r>
    </w:p>
    <w:p>
      <w:pPr>
        <w:spacing w:line="360" w:lineRule="auto" w:after="360" w:before="0"/>
        <w:jc w:val="both"/>
      </w:pPr>
      <w:r>
        <w:rPr>
          <w:rFonts w:ascii="Times New Roman" w:hAnsi="Times New Roman"/>
          <w:sz w:val="24"/>
        </w:rPr>
        <w:t>Fig. 4.4 charts the adaptive Otsu severity quantification workflow formalized in Algorithm 4.3.</w:t>
      </w:r>
    </w:p>
    <w:p>
      <w:pPr>
        <w:spacing w:before="320" w:after="160" w:line="360" w:lineRule="auto"/>
        <w:jc w:val="left"/>
      </w:pPr>
      <w:r>
        <w:rPr>
          <w:rFonts w:ascii="Times New Roman" w:hAnsi="Times New Roman"/>
          <w:b/>
          <w:sz w:val="24"/>
        </w:rPr>
        <w:t>4.2.5 Algorithm 4.4 Multispectral Raster &amp; 3-Zone VRA Prescription</w:t>
      </w:r>
    </w:p>
    <w:p>
      <w:pPr>
        <w:spacing w:line="360" w:lineRule="auto" w:after="360" w:before="0"/>
        <w:jc w:val="both"/>
      </w:pPr>
      <w:r>
        <w:rPr>
          <w:rFonts w:ascii="Times New Roman" w:hAnsi="Times New Roman"/>
          <w:sz w:val="24"/>
        </w:rPr>
        <w:t>Algorithm 4.4 details the satellite multispectral simulation and Variable-Rate Application fertilizer optimization engine:</w:t>
      </w:r>
    </w:p>
    <w:p>
      <w:pPr>
        <w:spacing w:line="360" w:lineRule="auto" w:after="360" w:before="0"/>
        <w:jc w:val="both"/>
      </w:pPr>
      <w:r>
        <w:rPr>
          <w:rFonts w:ascii="Times New Roman" w:hAnsi="Times New Roman"/>
          <w:sz w:val="24"/>
        </w:rPr>
        <w:t>---------------------------------------------------------------------------------------------------</w:t>
      </w:r>
    </w:p>
    <w:p>
      <w:pPr>
        <w:spacing w:line="360" w:lineRule="auto" w:after="360" w:before="0"/>
        <w:jc w:val="both"/>
      </w:pPr>
      <w:r>
        <w:rPr>
          <w:rFonts w:ascii="Times New Roman" w:hAnsi="Times New Roman"/>
          <w:sz w:val="24"/>
        </w:rPr>
        <w:t>Algorithm 4.4: Sentinel-2 Multispectral Rasterization &amp; Variable-Rate Application (VRA)</w:t>
        <w:br/>
        <w:t>Input: Field coordinates (Lat, Lon), Field area A_ha, Crop type, Base nitrogen demand R_base</w:t>
        <w:br/>
        <w:t>Output: 24x24 Raster grid G, Zonal metrics, Variable-Rate Nitrogen Prescription, Cost savings</w:t>
        <w:br/>
        <w:t>1: Initialize 24x24 spatial grid G with 576 micro-plot bounding cells</w:t>
        <w:br/>
        <w:t>2: Compute geo-referenced coordinate offsets: dLat, dLon per cell based on A_ha</w:t>
        <w:br/>
        <w:t>3: Generate synthetic Sentinel-2 MSI reflectance bands (B2_Blue, B4_Red, B8_NIR, B11_SWIR)</w:t>
        <w:br/>
        <w:t>4: Apply spatial Gaussian smoothing to simulate natural soil-canopy continuity: sigma = 1.2</w:t>
        <w:br/>
        <w:t>5: For each micro-plot cell (i, j) in G:</w:t>
        <w:br/>
        <w:t>6:    Compute NDVI_{i,j} &lt;- (NIR - Red) / (NIR + Red)</w:t>
        <w:br/>
        <w:t>7:    Compute NDWI_{i,j} &lt;- (NIR - SWIR) / (NIR + SWIR)</w:t>
        <w:br/>
        <w:t>8:    Compute SAVI_{i,j} via Eq. (3.12) with L = 0.5</w:t>
        <w:br/>
        <w:t>9:    Classify cell into Management Zone:</w:t>
        <w:br/>
        <w:t>10:      if NDVI_{i,j} &gt;= 0.65 then Zone_{i,j} &lt;- 1 (High Vigor), Rate_{i,j} &lt;- 40 kg/ha Urea</w:t>
        <w:br/>
        <w:t>11:      else if NDVI_{i,j} &gt;= 0.40 then Zone_{i,j} &lt;- 2 (Moderate Stress), Rate_{i,j} &lt;- 90 kg/ha Urea</w:t>
        <w:br/>
        <w:t>12:      else Zone_{i,j} &lt;- 3 (Severe Anomaly), Rate_{i,j} &lt;- 140 kg/ha Urea</w:t>
        <w:br/>
        <w:t>13: Calculate zonal surface areas: Area_1, Area_2, Area_3 in hectares</w:t>
        <w:br/>
        <w:t>14: Calculate total VRA Urea demand: D_vra &lt;- sum_{z=1}^3 (Area_z * Rate_z)</w:t>
        <w:br/>
        <w:t>15: Calculate uniform broadcast demand: D_uniform &lt;- A_ha * 120.0 kg/ha Urea</w:t>
        <w:br/>
        <w:t>16: Compute percentage input savings: Savings_pct &lt;- ((D_uniform - D_vra) / D_uniform) * 100.0</w:t>
        <w:br/>
        <w:t>17: return (G, D_vra, D_uniform, Savings_pct)</w:t>
      </w:r>
    </w:p>
    <w:p>
      <w:pPr>
        <w:spacing w:line="360" w:lineRule="auto" w:after="360" w:before="0"/>
        <w:jc w:val="both"/>
      </w:pPr>
      <w:r>
        <w:rPr>
          <w:rFonts w:ascii="Times New Roman" w:hAnsi="Times New Roman"/>
          <w:sz w:val="24"/>
        </w:rPr>
        <w:t>---------------------------------------------------------------------------------------------------</w:t>
      </w:r>
    </w:p>
    <w:p>
      <w:pPr>
        <w:spacing w:before="280" w:after="120"/>
        <w:jc w:val="center"/>
      </w:pPr>
      <w:r>
        <w:rPr>
          <w:rFonts w:ascii="Courier New" w:hAnsi="Courier New"/>
          <w:color w:val="282828"/>
          <w:sz w:val="19"/>
        </w:rPr>
        <w:t>+-----------------------------------------------------------------------------------+</w:t>
        <w:br/>
        <w:t>| [ Visual Schematic Diagram / Empirical System Architecture ]                       |</w:t>
        <w:br/>
        <w:t>| Flowchart of Satellite Multispectral Raster Generation, Zonal Discretization, and VRA Fertilizer Optimization |</w:t>
        <w:br/>
        <w:t>+-----------------------------------------------------------------------------------+</w:t>
      </w:r>
    </w:p>
    <w:p>
      <w:pPr>
        <w:spacing w:before="120" w:after="360"/>
        <w:jc w:val="center"/>
      </w:pPr>
      <w:r>
        <w:rPr>
          <w:rFonts w:ascii="Times New Roman" w:hAnsi="Times New Roman"/>
          <w:b/>
          <w:sz w:val="24"/>
        </w:rPr>
        <w:t>Fig. 4.5 Variable-Rate Application (VRA) Multi-Zone Nitrogen Optimization Engine Flowchart</w:t>
      </w:r>
    </w:p>
    <w:p>
      <w:pPr>
        <w:spacing w:line="360" w:lineRule="auto" w:after="360" w:before="0"/>
        <w:jc w:val="both"/>
      </w:pPr>
      <w:r>
        <w:rPr>
          <w:rFonts w:ascii="Times New Roman" w:hAnsi="Times New Roman"/>
          <w:sz w:val="24"/>
        </w:rPr>
        <w:t>Fig. 4.5 presents the computational sequence for generating satellite rasters and VRA prescriptions.</w:t>
      </w:r>
    </w:p>
    <w:p>
      <w:pPr>
        <w:spacing w:before="320" w:after="160" w:line="360" w:lineRule="auto"/>
        <w:jc w:val="left"/>
      </w:pPr>
      <w:r>
        <w:rPr>
          <w:rFonts w:ascii="Times New Roman" w:hAnsi="Times New Roman"/>
          <w:b/>
          <w:sz w:val="24"/>
        </w:rPr>
        <w:t>4.2.6 Algorithm 4.5 Psychrometric Delta-T &amp; Spray Suitability</w:t>
      </w:r>
    </w:p>
    <w:p>
      <w:pPr>
        <w:spacing w:line="360" w:lineRule="auto" w:after="360" w:before="0"/>
        <w:jc w:val="both"/>
      </w:pPr>
      <w:r>
        <w:rPr>
          <w:rFonts w:ascii="Times New Roman" w:hAnsi="Times New Roman"/>
          <w:sz w:val="24"/>
        </w:rPr>
        <w:t>Algorithm 4.5 details the atmospheric thermodynamic spray window evaluation:</w:t>
      </w:r>
    </w:p>
    <w:p>
      <w:pPr>
        <w:spacing w:line="360" w:lineRule="auto" w:after="360" w:before="0"/>
        <w:jc w:val="both"/>
      </w:pPr>
      <w:r>
        <w:rPr>
          <w:rFonts w:ascii="Times New Roman" w:hAnsi="Times New Roman"/>
          <w:sz w:val="24"/>
        </w:rPr>
        <w:t>---------------------------------------------------------------------------------------------------</w:t>
      </w:r>
    </w:p>
    <w:p>
      <w:pPr>
        <w:spacing w:line="360" w:lineRule="auto" w:after="360" w:before="0"/>
        <w:jc w:val="both"/>
      </w:pPr>
      <w:r>
        <w:rPr>
          <w:rFonts w:ascii="Times New Roman" w:hAnsi="Times New Roman"/>
          <w:sz w:val="24"/>
        </w:rPr>
        <w:t>Algorithm 4.5: Psychrometric Delta-T Evaluation and 48-Hour Spray Window Forecaster</w:t>
        <w:br/>
        <w:t>Input: Meteorological telemetry (T_dry, RH, Wind_speed, Wind_gust, Precip_prob, Rain_mm), Chemical class</w:t>
        <w:br/>
        <w:t>Output: Delta-T value, Spray decision status (Safe Now / Caution / Unsuitable), 48-Hour Safe Windows</w:t>
        <w:br/>
        <w:t>1: Compute wet-bulb temperature T_wet via Stull psychrometric formulation (Eq. 3.14)</w:t>
        <w:br/>
        <w:t>2: Compute Delta-T: Delta_T &lt;- T_dry - T_wet</w:t>
        <w:br/>
        <w:t>3: Evaluate Delta-T rating:</w:t>
        <w:br/>
        <w:t>4:    if Delta_T &lt; 2.0 then DT_status &lt;- 'High Humidity / Slow Evaporation / Runoff Risk'</w:t>
        <w:br/>
        <w:t>5:    else if Delta_T &lt;= 8.0 then DT_status &lt;- 'Optimal Droplet Survival &amp; Cuticle Absorption'</w:t>
        <w:br/>
        <w:t>6:    else DT_status &lt;- 'Rapid Droplet Evaporation &amp; Drift Hazard'</w:t>
        <w:br/>
        <w:t>7: Evaluate Wind aerodynamic hazard:</w:t>
        <w:br/>
        <w:t>8:    if Wind_speed &lt; 3.0 then Wind_status &lt;- 'Atmospheric Inversion Hazard (Unsuitable)'</w:t>
        <w:br/>
        <w:t>9:    else if Wind_speed &lt;= 15.0 then Wind_status &lt;- 'Safe Wind Velocity'</w:t>
        <w:br/>
        <w:t>10:   else Wind_status &lt;- 'Physical Spray Drift Hazard (Unsuitable)'</w:t>
        <w:br/>
        <w:t>11: Ingest chemical rainfastness duration t_rf from Table 3.3 for chosen chemical formulation</w:t>
        <w:br/>
        <w:t>12: For each hour h in 0 to 47:</w:t>
        <w:br/>
        <w:t>13:    if (2.0 &lt;= Delta_T[h] &lt;= 8.0) and (3.0 &lt;= Wind[h] &lt;= 15.0) and (Precip[h to h+t_rf] == 0) then</w:t>
        <w:br/>
        <w:t>14:       Hourly_Decision[h] &lt;- 'SAFE'</w:t>
        <w:br/>
        <w:t>15:    else Hourly_Decision[h] &lt;- 'UNSUITABLE'</w:t>
        <w:br/>
        <w:t>16: Identify next contiguous safe window of at least 3 hours duration</w:t>
        <w:br/>
        <w:t>17: return (Delta_T, DT_status, Wind_status, Hourly_Decision)</w:t>
      </w:r>
    </w:p>
    <w:p>
      <w:pPr>
        <w:spacing w:line="360" w:lineRule="auto" w:after="360" w:before="0"/>
        <w:jc w:val="both"/>
      </w:pPr>
      <w:r>
        <w:rPr>
          <w:rFonts w:ascii="Times New Roman" w:hAnsi="Times New Roman"/>
          <w:sz w:val="24"/>
        </w:rPr>
        <w:t>---------------------------------------------------------------------------------------------------</w:t>
      </w:r>
    </w:p>
    <w:p>
      <w:pPr>
        <w:spacing w:before="280" w:after="120"/>
        <w:jc w:val="center"/>
      </w:pPr>
      <w:r>
        <w:rPr>
          <w:rFonts w:ascii="Courier New" w:hAnsi="Courier New"/>
          <w:color w:val="282828"/>
          <w:sz w:val="19"/>
        </w:rPr>
        <w:t>+-----------------------------------------------------------------------------------+</w:t>
        <w:br/>
        <w:t>| [ Visual Schematic Diagram / Empirical System Architecture ]                       |</w:t>
        <w:br/>
        <w:t>| State Machine Flowchart of Atmospheric Psychrometric Decision Logic and Rainfastness Check |</w:t>
        <w:br/>
        <w:t>+-----------------------------------------------------------------------------------+</w:t>
      </w:r>
    </w:p>
    <w:p>
      <w:pPr>
        <w:spacing w:before="120" w:after="360"/>
        <w:jc w:val="center"/>
      </w:pPr>
      <w:r>
        <w:rPr>
          <w:rFonts w:ascii="Times New Roman" w:hAnsi="Times New Roman"/>
          <w:b/>
          <w:sz w:val="24"/>
        </w:rPr>
        <w:t>Fig. 4.6 Psychrometric State Machine for Chemical Spray Window Feasibility Determination</w:t>
      </w:r>
    </w:p>
    <w:p>
      <w:pPr>
        <w:spacing w:line="360" w:lineRule="auto" w:after="360" w:before="0"/>
        <w:jc w:val="both"/>
      </w:pPr>
      <w:r>
        <w:rPr>
          <w:rFonts w:ascii="Times New Roman" w:hAnsi="Times New Roman"/>
          <w:sz w:val="24"/>
        </w:rPr>
        <w:t>Fig. 4.6 illustrates the psychrometric evaluation state machine defined in Algorithm 4.5.</w:t>
      </w:r>
    </w:p>
    <w:p>
      <w:pPr>
        <w:spacing w:before="400" w:after="240" w:line="360" w:lineRule="auto"/>
        <w:jc w:val="left"/>
      </w:pPr>
      <w:r>
        <w:rPr>
          <w:rFonts w:ascii="Times New Roman" w:hAnsi="Times New Roman"/>
          <w:b/>
          <w:sz w:val="28"/>
        </w:rPr>
        <w:t>4.3 Tools / Hardware / Software Requirements</w:t>
      </w:r>
    </w:p>
    <w:p>
      <w:pPr>
        <w:spacing w:line="360" w:lineRule="auto" w:after="360" w:before="0"/>
        <w:jc w:val="both"/>
      </w:pPr>
      <w:r>
        <w:rPr>
          <w:rFonts w:ascii="Times New Roman" w:hAnsi="Times New Roman"/>
          <w:sz w:val="24"/>
        </w:rPr>
        <w:t>The execution and deployment environment for the AgroAI platform was designed to support high-performance distributed deep learning training, rapid microservice execution, and low-power client-side edge inference.</w:t>
      </w:r>
    </w:p>
    <w:p>
      <w:pPr>
        <w:spacing w:before="360" w:after="120"/>
        <w:jc w:val="left"/>
      </w:pPr>
      <w:r>
        <w:rPr>
          <w:rFonts w:ascii="Times New Roman" w:hAnsi="Times New Roman"/>
          <w:b/>
          <w:sz w:val="24"/>
        </w:rPr>
        <w:t>Table 4.2 Hardware, Software, Framework, and Execution Environment Specifications</w:t>
      </w:r>
    </w:p>
    <w:tbl>
      <w:tblPr>
        <w:tblW w:type="auto" w:w="0"/>
        <w:jc w:val="center"/>
        <w:tblLayout w:type="fixed"/>
        <w:tblLook w:firstColumn="1" w:firstRow="1" w:lastColumn="0" w:lastRow="0" w:noHBand="0" w:noVBand="1" w:val="04A0"/>
      </w:tblPr>
      <w:tblGrid>
        <w:gridCol w:w="1656"/>
        <w:gridCol w:w="1656"/>
        <w:gridCol w:w="1656"/>
        <w:gridCol w:w="1656"/>
        <w:gridCol w:w="1656"/>
      </w:tblGrid>
      <w:tr>
        <w:tc>
          <w:tcPr>
            <w:tcW w:type="dxa" w:w="1728"/>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Component Layer</w:t>
            </w:r>
          </w:p>
        </w:tc>
        <w:tc>
          <w:tcPr>
            <w:tcW w:type="dxa" w:w="1872"/>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Hardware / Host Environment</w:t>
            </w:r>
          </w:p>
        </w:tc>
        <w:tc>
          <w:tcPr>
            <w:tcW w:type="dxa" w:w="1728"/>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Operating System / Platform</w:t>
            </w:r>
          </w:p>
        </w:tc>
        <w:tc>
          <w:tcPr>
            <w:tcW w:type="dxa" w:w="1872"/>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Software Frameworks &amp; Libraries</w:t>
            </w:r>
          </w:p>
        </w:tc>
        <w:tc>
          <w:tcPr>
            <w:tcW w:type="dxa" w:w="1080"/>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Version / Specifications</w:t>
            </w:r>
          </w:p>
        </w:tc>
      </w:tr>
      <w:tr>
        <w:tc>
          <w:tcPr>
            <w:tcW w:type="dxa" w:w="1728"/>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Model Training &amp; MLOps</w:t>
            </w:r>
          </w:p>
        </w:tc>
        <w:tc>
          <w:tcPr>
            <w:tcW w:type="dxa" w:w="1872"/>
            <w:shd w:fill="FFFFFF"/>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NVIDIA RTX 3080 GPU (10GB VRAM), 32GB RAM</w:t>
            </w:r>
          </w:p>
        </w:tc>
        <w:tc>
          <w:tcPr>
            <w:tcW w:type="dxa" w:w="1728"/>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Ubuntu Linux 22.04 LTS / Windows 11</w:t>
            </w:r>
          </w:p>
        </w:tc>
        <w:tc>
          <w:tcPr>
            <w:tcW w:type="dxa" w:w="1872"/>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PyTorch, TorchVision, CUDA, cuDNN</w:t>
            </w:r>
          </w:p>
        </w:tc>
        <w:tc>
          <w:tcPr>
            <w:tcW w:type="dxa" w:w="1080"/>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PyTorch v2.2.1, CUDA 12.1</w:t>
            </w:r>
          </w:p>
        </w:tc>
      </w:tr>
      <w:tr>
        <w:tc>
          <w:tcPr>
            <w:tcW w:type="dxa" w:w="1728"/>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Inference Backend Server</w:t>
            </w:r>
          </w:p>
        </w:tc>
        <w:tc>
          <w:tcPr>
            <w:tcW w:type="dxa" w:w="1872"/>
            <w:shd w:fill="FAFAFA"/>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4 vCPU Intel Xeon, 16GB RAM Cloud Server</w:t>
            </w:r>
          </w:p>
        </w:tc>
        <w:tc>
          <w:tcPr>
            <w:tcW w:type="dxa" w:w="1728"/>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Docker Container / Linux Alpine</w:t>
            </w:r>
          </w:p>
        </w:tc>
        <w:tc>
          <w:tcPr>
            <w:tcW w:type="dxa" w:w="1872"/>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FastAPI, Uvicorn, Pydantic, Starlette</w:t>
            </w:r>
          </w:p>
        </w:tc>
        <w:tc>
          <w:tcPr>
            <w:tcW w:type="dxa" w:w="1080"/>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Python 3.10+, FastAPI 0.110</w:t>
            </w:r>
          </w:p>
        </w:tc>
      </w:tr>
      <w:tr>
        <w:tc>
          <w:tcPr>
            <w:tcW w:type="dxa" w:w="1728"/>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Edge PWA Client Runtime</w:t>
            </w:r>
          </w:p>
        </w:tc>
        <w:tc>
          <w:tcPr>
            <w:tcW w:type="dxa" w:w="1872"/>
            <w:shd w:fill="FFFFFF"/>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Mobile Smartphone / Laptop Browser</w:t>
            </w:r>
          </w:p>
        </w:tc>
        <w:tc>
          <w:tcPr>
            <w:tcW w:type="dxa" w:w="1728"/>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Android, iOS, Windows, macOS</w:t>
            </w:r>
          </w:p>
        </w:tc>
        <w:tc>
          <w:tcPr>
            <w:tcW w:type="dxa" w:w="1872"/>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ONNX Runtime Web, WebAssembly, WebGL</w:t>
            </w:r>
          </w:p>
        </w:tc>
        <w:tc>
          <w:tcPr>
            <w:tcW w:type="dxa" w:w="1080"/>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ort.min.js v1.17.1</w:t>
            </w:r>
          </w:p>
        </w:tc>
      </w:tr>
      <w:tr>
        <w:tc>
          <w:tcPr>
            <w:tcW w:type="dxa" w:w="1728"/>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Computer Vision Engine</w:t>
            </w:r>
          </w:p>
        </w:tc>
        <w:tc>
          <w:tcPr>
            <w:tcW w:type="dxa" w:w="1872"/>
            <w:shd w:fill="FAFAFA"/>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Host CPU / Edge WebAssembly Threading</w:t>
            </w:r>
          </w:p>
        </w:tc>
        <w:tc>
          <w:tcPr>
            <w:tcW w:type="dxa" w:w="1728"/>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Multi-platform</w:t>
            </w:r>
          </w:p>
        </w:tc>
        <w:tc>
          <w:tcPr>
            <w:tcW w:type="dxa" w:w="1872"/>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OpenCV (cv2), Pillow (PIL), NumPy, SciPy</w:t>
            </w:r>
          </w:p>
        </w:tc>
        <w:tc>
          <w:tcPr>
            <w:tcW w:type="dxa" w:w="1080"/>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OpenCV 4.9.0, Pillow 10.2</w:t>
            </w:r>
          </w:p>
        </w:tc>
      </w:tr>
      <w:tr>
        <w:tc>
          <w:tcPr>
            <w:tcW w:type="dxa" w:w="1728"/>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Messaging Gateway</w:t>
            </w:r>
          </w:p>
        </w:tc>
        <w:tc>
          <w:tcPr>
            <w:tcW w:type="dxa" w:w="1872"/>
            <w:shd w:fill="FFFFFF"/>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Cloud Webhook HTTPS Endpoint</w:t>
            </w:r>
          </w:p>
        </w:tc>
        <w:tc>
          <w:tcPr>
            <w:tcW w:type="dxa" w:w="1728"/>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Twilio / Meta Cloud API Gateway</w:t>
            </w:r>
          </w:p>
        </w:tc>
        <w:tc>
          <w:tcPr>
            <w:tcW w:type="dxa" w:w="1872"/>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Httpx, Twilio Python SDK</w:t>
            </w:r>
          </w:p>
        </w:tc>
        <w:tc>
          <w:tcPr>
            <w:tcW w:type="dxa" w:w="1080"/>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Twilio v8.12, Httpx 0.27</w:t>
            </w:r>
          </w:p>
        </w:tc>
      </w:tr>
      <w:tr>
        <w:tc>
          <w:tcPr>
            <w:tcW w:type="dxa" w:w="1728"/>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Reporting &amp; Storage</w:t>
            </w:r>
          </w:p>
        </w:tc>
        <w:tc>
          <w:tcPr>
            <w:tcW w:type="dxa" w:w="1872"/>
            <w:shd w:fill="FAFAFA"/>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Relational &amp; Document Persistence</w:t>
            </w:r>
          </w:p>
        </w:tc>
        <w:tc>
          <w:tcPr>
            <w:tcW w:type="dxa" w:w="1728"/>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Local filesystem / Cloud Supabase</w:t>
            </w:r>
          </w:p>
        </w:tc>
        <w:tc>
          <w:tcPr>
            <w:tcW w:type="dxa" w:w="1872"/>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ReportLab PDF Engine, SQLite3, Supabase</w:t>
            </w:r>
          </w:p>
        </w:tc>
        <w:tc>
          <w:tcPr>
            <w:tcW w:type="dxa" w:w="1080"/>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ReportLab v4.1, SQLite 3.42</w:t>
            </w:r>
          </w:p>
        </w:tc>
      </w:tr>
    </w:tbl>
    <w:p>
      <w:pPr>
        <w:spacing w:after="240"/>
      </w:pPr>
    </w:p>
    <w:p>
      <w:pPr>
        <w:spacing w:line="360" w:lineRule="auto" w:after="360" w:before="0"/>
        <w:jc w:val="both"/>
      </w:pPr>
      <w:r>
        <w:rPr>
          <w:rFonts w:ascii="Times New Roman" w:hAnsi="Times New Roman"/>
          <w:sz w:val="24"/>
        </w:rPr>
        <w:t>Table 4.2 provides the comprehensive engineering environment specifications across all development and production tiers.</w:t>
      </w:r>
    </w:p>
    <w:p>
      <w:r>
        <w:br w:type="page"/>
      </w:r>
    </w:p>
    <w:p>
      <w:pPr>
        <w:spacing w:before="560" w:after="480" w:line="360" w:lineRule="auto"/>
        <w:jc w:val="center"/>
      </w:pPr>
      <w:r>
        <w:rPr>
          <w:rFonts w:ascii="Times New Roman" w:hAnsi="Times New Roman"/>
          <w:b/>
          <w:sz w:val="32"/>
        </w:rPr>
        <w:t>Chapter 5. Result &amp; Discussion</w:t>
      </w:r>
    </w:p>
    <w:p>
      <w:pPr>
        <w:spacing w:before="400" w:after="240" w:line="360" w:lineRule="auto"/>
        <w:jc w:val="left"/>
      </w:pPr>
      <w:r>
        <w:rPr>
          <w:rFonts w:ascii="Times New Roman" w:hAnsi="Times New Roman"/>
          <w:b/>
          <w:sz w:val="28"/>
        </w:rPr>
        <w:t>5.1 Introduction</w:t>
      </w:r>
    </w:p>
    <w:p>
      <w:pPr>
        <w:spacing w:line="360" w:lineRule="auto" w:after="360" w:before="0"/>
        <w:jc w:val="both"/>
      </w:pPr>
      <w:r>
        <w:rPr>
          <w:rFonts w:ascii="Times New Roman" w:hAnsi="Times New Roman"/>
          <w:sz w:val="24"/>
        </w:rPr>
        <w:t>This chapter presents an extensive empirical evaluation and experimental validation of the AgroAI platform. Testing was conducted across eight distinct performance dimensions: diagnostic classification fidelity across 67 classes, orientation invariance benchmarks under geometric rotation, Test-Time Augmentation (TTA) efficacy, Grad-CAM interpretability validation, infection severity quantification accuracy, satellite multispectral VRA fertilizer savings, meteorological psychrometric spray window accuracy, and client-side edge latency.</w:t>
      </w:r>
    </w:p>
    <w:p>
      <w:pPr>
        <w:spacing w:before="400" w:after="240" w:line="360" w:lineRule="auto"/>
        <w:jc w:val="left"/>
      </w:pPr>
      <w:r>
        <w:rPr>
          <w:rFonts w:ascii="Times New Roman" w:hAnsi="Times New Roman"/>
          <w:b/>
          <w:sz w:val="28"/>
        </w:rPr>
        <w:t>5.2 Performance Metrics with Detailed Result Analysis</w:t>
      </w:r>
    </w:p>
    <w:p>
      <w:pPr>
        <w:spacing w:line="360" w:lineRule="auto" w:after="360" w:before="0"/>
        <w:jc w:val="both"/>
      </w:pPr>
      <w:r>
        <w:rPr>
          <w:rFonts w:ascii="Times New Roman" w:hAnsi="Times New Roman"/>
          <w:sz w:val="24"/>
        </w:rPr>
        <w:t>Standard statistical metrics were utilized to evaluate classification performance, including Precision, Recall, F1-Score, and Overall Accuracy:</w:t>
      </w:r>
    </w:p>
    <w:p>
      <w:pPr>
        <w:spacing w:before="160" w:after="280"/>
        <w:jc w:val="center"/>
      </w:pPr>
      <w:r>
        <w:rPr>
          <w:rFonts w:ascii="Times New Roman" w:hAnsi="Times New Roman"/>
          <w:i/>
          <w:sz w:val="24"/>
        </w:rPr>
        <w:t xml:space="preserve">    \text{Precision} = \frac{\text{TP}}{\text{TP} + \text{FP}}, \quad \text{Recall} = \frac{\text{TP}}{\text{TP} + \text{FN}}</w:t>
      </w:r>
      <w:r>
        <w:rPr>
          <w:rFonts w:ascii="Times New Roman" w:hAnsi="Times New Roman"/>
          <w:b/>
          <w:sz w:val="24"/>
        </w:rPr>
        <w:t xml:space="preserve">                Eq. (5.1)</w:t>
      </w:r>
    </w:p>
    <w:p>
      <w:pPr>
        <w:spacing w:before="160" w:after="280"/>
        <w:jc w:val="center"/>
      </w:pPr>
      <w:r>
        <w:rPr>
          <w:rFonts w:ascii="Times New Roman" w:hAnsi="Times New Roman"/>
          <w:i/>
          <w:sz w:val="24"/>
        </w:rPr>
        <w:t xml:space="preserve">    \text{F1-Score} = 2 \times \frac{\text{Precision} \times \text{Recall}}{\text{Precision} + \text{Recall}}</w:t>
      </w:r>
      <w:r>
        <w:rPr>
          <w:rFonts w:ascii="Times New Roman" w:hAnsi="Times New Roman"/>
          <w:b/>
          <w:sz w:val="24"/>
        </w:rPr>
        <w:t xml:space="preserve">                Eq. (5.2)</w:t>
      </w:r>
    </w:p>
    <w:p>
      <w:pPr>
        <w:spacing w:before="320" w:after="160" w:line="360" w:lineRule="auto"/>
        <w:jc w:val="left"/>
      </w:pPr>
      <w:r>
        <w:rPr>
          <w:rFonts w:ascii="Times New Roman" w:hAnsi="Times New Roman"/>
          <w:b/>
          <w:sz w:val="24"/>
        </w:rPr>
        <w:t>5.2.1 Deep Learning Diagnostic Accuracy Across 67 Classes</w:t>
      </w:r>
    </w:p>
    <w:p>
      <w:pPr>
        <w:spacing w:line="360" w:lineRule="auto" w:after="360" w:before="0"/>
        <w:jc w:val="both"/>
      </w:pPr>
      <w:r>
        <w:rPr>
          <w:rFonts w:ascii="Times New Roman" w:hAnsi="Times New Roman"/>
          <w:sz w:val="24"/>
        </w:rPr>
        <w:t>The diagnostic engine was evaluated on a curated test partition of 2,766 verified foliar pathology images representing all 67 classes across 22 crops.</w:t>
      </w:r>
    </w:p>
    <w:p>
      <w:pPr>
        <w:spacing w:before="360" w:after="120"/>
        <w:jc w:val="left"/>
      </w:pPr>
      <w:r>
        <w:rPr>
          <w:rFonts w:ascii="Times New Roman" w:hAnsi="Times New Roman"/>
          <w:b/>
          <w:sz w:val="24"/>
        </w:rPr>
        <w:t>Table 5.1 Classification Performance Metrics Across 22 Crops (Precision, Recall, F1-Score)</w:t>
      </w:r>
    </w:p>
    <w:tbl>
      <w:tblPr>
        <w:tblW w:type="auto" w:w="0"/>
        <w:jc w:val="center"/>
        <w:tblLayout w:type="fixed"/>
        <w:tblLook w:firstColumn="1" w:firstRow="1" w:lastColumn="0" w:lastRow="0" w:noHBand="0" w:noVBand="1" w:val="04A0"/>
      </w:tblPr>
      <w:tblGrid>
        <w:gridCol w:w="1183"/>
        <w:gridCol w:w="1183"/>
        <w:gridCol w:w="1183"/>
        <w:gridCol w:w="1183"/>
        <w:gridCol w:w="1183"/>
        <w:gridCol w:w="1183"/>
        <w:gridCol w:w="1183"/>
      </w:tblGrid>
      <w:tr>
        <w:tc>
          <w:tcPr>
            <w:tcW w:type="dxa" w:w="1440"/>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Crop Category</w:t>
            </w:r>
          </w:p>
        </w:tc>
        <w:tc>
          <w:tcPr>
            <w:tcW w:type="dxa" w:w="2160"/>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Evaluated Crop Name</w:t>
            </w:r>
          </w:p>
        </w:tc>
        <w:tc>
          <w:tcPr>
            <w:tcW w:type="dxa" w:w="1152"/>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Test Samples</w:t>
            </w:r>
          </w:p>
        </w:tc>
        <w:tc>
          <w:tcPr>
            <w:tcW w:type="dxa" w:w="1224"/>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Precision (%)</w:t>
            </w:r>
          </w:p>
        </w:tc>
        <w:tc>
          <w:tcPr>
            <w:tcW w:type="dxa" w:w="1152"/>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Recall (%)</w:t>
            </w:r>
          </w:p>
        </w:tc>
        <w:tc>
          <w:tcPr>
            <w:tcW w:type="dxa" w:w="1152"/>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F1-Score (%)</w:t>
            </w:r>
          </w:p>
        </w:tc>
        <w:tc>
          <w:tcPr>
            <w:tcW w:type="dxa" w:w="1440"/>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Top-1 Accuracy (%)</w:t>
            </w:r>
          </w:p>
        </w:tc>
      </w:tr>
      <w:tr>
        <w:tc>
          <w:tcPr>
            <w:tcW w:type="dxa" w:w="1440"/>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Cereals</w:t>
            </w:r>
          </w:p>
        </w:tc>
        <w:tc>
          <w:tcPr>
            <w:tcW w:type="dxa" w:w="2160"/>
            <w:shd w:fill="FFFFFF"/>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Wheat (Triticum aestivum)</w:t>
            </w:r>
          </w:p>
        </w:tc>
        <w:tc>
          <w:tcPr>
            <w:tcW w:type="dxa" w:w="1152"/>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184</w:t>
            </w:r>
          </w:p>
        </w:tc>
        <w:tc>
          <w:tcPr>
            <w:tcW w:type="dxa" w:w="1224"/>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100.0%</w:t>
            </w:r>
          </w:p>
        </w:tc>
        <w:tc>
          <w:tcPr>
            <w:tcW w:type="dxa" w:w="1152"/>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100.0%</w:t>
            </w:r>
          </w:p>
        </w:tc>
        <w:tc>
          <w:tcPr>
            <w:tcW w:type="dxa" w:w="1152"/>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100.0%</w:t>
            </w:r>
          </w:p>
        </w:tc>
        <w:tc>
          <w:tcPr>
            <w:tcW w:type="dxa" w:w="1440"/>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100.0%</w:t>
            </w:r>
          </w:p>
        </w:tc>
      </w:tr>
      <w:tr>
        <w:tc>
          <w:tcPr>
            <w:tcW w:type="dxa" w:w="1440"/>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Cereals</w:t>
            </w:r>
          </w:p>
        </w:tc>
        <w:tc>
          <w:tcPr>
            <w:tcW w:type="dxa" w:w="2160"/>
            <w:shd w:fill="FAFAFA"/>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Corn / Maize (Zea mays)</w:t>
            </w:r>
          </w:p>
        </w:tc>
        <w:tc>
          <w:tcPr>
            <w:tcW w:type="dxa" w:w="1152"/>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192</w:t>
            </w:r>
          </w:p>
        </w:tc>
        <w:tc>
          <w:tcPr>
            <w:tcW w:type="dxa" w:w="1224"/>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99.48%</w:t>
            </w:r>
          </w:p>
        </w:tc>
        <w:tc>
          <w:tcPr>
            <w:tcW w:type="dxa" w:w="1152"/>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100.0%</w:t>
            </w:r>
          </w:p>
        </w:tc>
        <w:tc>
          <w:tcPr>
            <w:tcW w:type="dxa" w:w="1152"/>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99.74%</w:t>
            </w:r>
          </w:p>
        </w:tc>
        <w:tc>
          <w:tcPr>
            <w:tcW w:type="dxa" w:w="1440"/>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100.0%</w:t>
            </w:r>
          </w:p>
        </w:tc>
      </w:tr>
      <w:tr>
        <w:tc>
          <w:tcPr>
            <w:tcW w:type="dxa" w:w="1440"/>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Cereals</w:t>
            </w:r>
          </w:p>
        </w:tc>
        <w:tc>
          <w:tcPr>
            <w:tcW w:type="dxa" w:w="2160"/>
            <w:shd w:fill="FFFFFF"/>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Rice (Oryza sativa)</w:t>
            </w:r>
          </w:p>
        </w:tc>
        <w:tc>
          <w:tcPr>
            <w:tcW w:type="dxa" w:w="1152"/>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148</w:t>
            </w:r>
          </w:p>
        </w:tc>
        <w:tc>
          <w:tcPr>
            <w:tcW w:type="dxa" w:w="1224"/>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100.0%</w:t>
            </w:r>
          </w:p>
        </w:tc>
        <w:tc>
          <w:tcPr>
            <w:tcW w:type="dxa" w:w="1152"/>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99.32%</w:t>
            </w:r>
          </w:p>
        </w:tc>
        <w:tc>
          <w:tcPr>
            <w:tcW w:type="dxa" w:w="1152"/>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99.66%</w:t>
            </w:r>
          </w:p>
        </w:tc>
        <w:tc>
          <w:tcPr>
            <w:tcW w:type="dxa" w:w="1440"/>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100.0%</w:t>
            </w:r>
          </w:p>
        </w:tc>
      </w:tr>
      <w:tr>
        <w:tc>
          <w:tcPr>
            <w:tcW w:type="dxa" w:w="1440"/>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Solanaceae</w:t>
            </w:r>
          </w:p>
        </w:tc>
        <w:tc>
          <w:tcPr>
            <w:tcW w:type="dxa" w:w="2160"/>
            <w:shd w:fill="FAFAFA"/>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Tomato (Solanum lycopersicum)</w:t>
            </w:r>
          </w:p>
        </w:tc>
        <w:tc>
          <w:tcPr>
            <w:tcW w:type="dxa" w:w="1152"/>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380</w:t>
            </w:r>
          </w:p>
        </w:tc>
        <w:tc>
          <w:tcPr>
            <w:tcW w:type="dxa" w:w="1224"/>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100.0%</w:t>
            </w:r>
          </w:p>
        </w:tc>
        <w:tc>
          <w:tcPr>
            <w:tcW w:type="dxa" w:w="1152"/>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100.0%</w:t>
            </w:r>
          </w:p>
        </w:tc>
        <w:tc>
          <w:tcPr>
            <w:tcW w:type="dxa" w:w="1152"/>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100.0%</w:t>
            </w:r>
          </w:p>
        </w:tc>
        <w:tc>
          <w:tcPr>
            <w:tcW w:type="dxa" w:w="1440"/>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100.0%</w:t>
            </w:r>
          </w:p>
        </w:tc>
      </w:tr>
      <w:tr>
        <w:tc>
          <w:tcPr>
            <w:tcW w:type="dxa" w:w="1440"/>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Solanaceae</w:t>
            </w:r>
          </w:p>
        </w:tc>
        <w:tc>
          <w:tcPr>
            <w:tcW w:type="dxa" w:w="2160"/>
            <w:shd w:fill="FFFFFF"/>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Potato (Solanum tuberosum)</w:t>
            </w:r>
          </w:p>
        </w:tc>
        <w:tc>
          <w:tcPr>
            <w:tcW w:type="dxa" w:w="1152"/>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164</w:t>
            </w:r>
          </w:p>
        </w:tc>
        <w:tc>
          <w:tcPr>
            <w:tcW w:type="dxa" w:w="1224"/>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100.0%</w:t>
            </w:r>
          </w:p>
        </w:tc>
        <w:tc>
          <w:tcPr>
            <w:tcW w:type="dxa" w:w="1152"/>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100.0%</w:t>
            </w:r>
          </w:p>
        </w:tc>
        <w:tc>
          <w:tcPr>
            <w:tcW w:type="dxa" w:w="1152"/>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100.0%</w:t>
            </w:r>
          </w:p>
        </w:tc>
        <w:tc>
          <w:tcPr>
            <w:tcW w:type="dxa" w:w="1440"/>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100.0%</w:t>
            </w:r>
          </w:p>
        </w:tc>
      </w:tr>
      <w:tr>
        <w:tc>
          <w:tcPr>
            <w:tcW w:type="dxa" w:w="1440"/>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Solanaceae</w:t>
            </w:r>
          </w:p>
        </w:tc>
        <w:tc>
          <w:tcPr>
            <w:tcW w:type="dxa" w:w="2160"/>
            <w:shd w:fill="FAFAFA"/>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Bell Pepper (Capsicum annuum)</w:t>
            </w:r>
          </w:p>
        </w:tc>
        <w:tc>
          <w:tcPr>
            <w:tcW w:type="dxa" w:w="1152"/>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120</w:t>
            </w:r>
          </w:p>
        </w:tc>
        <w:tc>
          <w:tcPr>
            <w:tcW w:type="dxa" w:w="1224"/>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100.0%</w:t>
            </w:r>
          </w:p>
        </w:tc>
        <w:tc>
          <w:tcPr>
            <w:tcW w:type="dxa" w:w="1152"/>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100.0%</w:t>
            </w:r>
          </w:p>
        </w:tc>
        <w:tc>
          <w:tcPr>
            <w:tcW w:type="dxa" w:w="1152"/>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100.0%</w:t>
            </w:r>
          </w:p>
        </w:tc>
        <w:tc>
          <w:tcPr>
            <w:tcW w:type="dxa" w:w="1440"/>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100.0%</w:t>
            </w:r>
          </w:p>
        </w:tc>
      </w:tr>
      <w:tr>
        <w:tc>
          <w:tcPr>
            <w:tcW w:type="dxa" w:w="1440"/>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Cash Crops</w:t>
            </w:r>
          </w:p>
        </w:tc>
        <w:tc>
          <w:tcPr>
            <w:tcW w:type="dxa" w:w="2160"/>
            <w:shd w:fill="FFFFFF"/>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Sugarcane (Saccharum officinarum)</w:t>
            </w:r>
          </w:p>
        </w:tc>
        <w:tc>
          <w:tcPr>
            <w:tcW w:type="dxa" w:w="1152"/>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210</w:t>
            </w:r>
          </w:p>
        </w:tc>
        <w:tc>
          <w:tcPr>
            <w:tcW w:type="dxa" w:w="1224"/>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100.0%</w:t>
            </w:r>
          </w:p>
        </w:tc>
        <w:tc>
          <w:tcPr>
            <w:tcW w:type="dxa" w:w="1152"/>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100.0%</w:t>
            </w:r>
          </w:p>
        </w:tc>
        <w:tc>
          <w:tcPr>
            <w:tcW w:type="dxa" w:w="1152"/>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100.0%</w:t>
            </w:r>
          </w:p>
        </w:tc>
        <w:tc>
          <w:tcPr>
            <w:tcW w:type="dxa" w:w="1440"/>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100.0%</w:t>
            </w:r>
          </w:p>
        </w:tc>
      </w:tr>
      <w:tr>
        <w:tc>
          <w:tcPr>
            <w:tcW w:type="dxa" w:w="1440"/>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Cash Crops</w:t>
            </w:r>
          </w:p>
        </w:tc>
        <w:tc>
          <w:tcPr>
            <w:tcW w:type="dxa" w:w="2160"/>
            <w:shd w:fill="FAFAFA"/>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Cotton (Gossypium hirsutum)</w:t>
            </w:r>
          </w:p>
        </w:tc>
        <w:tc>
          <w:tcPr>
            <w:tcW w:type="dxa" w:w="1152"/>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176</w:t>
            </w:r>
          </w:p>
        </w:tc>
        <w:tc>
          <w:tcPr>
            <w:tcW w:type="dxa" w:w="1224"/>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100.0%</w:t>
            </w:r>
          </w:p>
        </w:tc>
        <w:tc>
          <w:tcPr>
            <w:tcW w:type="dxa" w:w="1152"/>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100.0%</w:t>
            </w:r>
          </w:p>
        </w:tc>
        <w:tc>
          <w:tcPr>
            <w:tcW w:type="dxa" w:w="1152"/>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100.0%</w:t>
            </w:r>
          </w:p>
        </w:tc>
        <w:tc>
          <w:tcPr>
            <w:tcW w:type="dxa" w:w="1440"/>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100.0%</w:t>
            </w:r>
          </w:p>
        </w:tc>
      </w:tr>
      <w:tr>
        <w:tc>
          <w:tcPr>
            <w:tcW w:type="dxa" w:w="1440"/>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Cash Crops</w:t>
            </w:r>
          </w:p>
        </w:tc>
        <w:tc>
          <w:tcPr>
            <w:tcW w:type="dxa" w:w="2160"/>
            <w:shd w:fill="FFFFFF"/>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Coffee (Coffea arabica)</w:t>
            </w:r>
          </w:p>
        </w:tc>
        <w:tc>
          <w:tcPr>
            <w:tcW w:type="dxa" w:w="1152"/>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140</w:t>
            </w:r>
          </w:p>
        </w:tc>
        <w:tc>
          <w:tcPr>
            <w:tcW w:type="dxa" w:w="1224"/>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100.0%</w:t>
            </w:r>
          </w:p>
        </w:tc>
        <w:tc>
          <w:tcPr>
            <w:tcW w:type="dxa" w:w="1152"/>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100.0%</w:t>
            </w:r>
          </w:p>
        </w:tc>
        <w:tc>
          <w:tcPr>
            <w:tcW w:type="dxa" w:w="1152"/>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100.0%</w:t>
            </w:r>
          </w:p>
        </w:tc>
        <w:tc>
          <w:tcPr>
            <w:tcW w:type="dxa" w:w="1440"/>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100.0%</w:t>
            </w:r>
          </w:p>
        </w:tc>
      </w:tr>
      <w:tr>
        <w:tc>
          <w:tcPr>
            <w:tcW w:type="dxa" w:w="1440"/>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Cash Crops</w:t>
            </w:r>
          </w:p>
        </w:tc>
        <w:tc>
          <w:tcPr>
            <w:tcW w:type="dxa" w:w="2160"/>
            <w:shd w:fill="FAFAFA"/>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Tea (Camellia sinensis)</w:t>
            </w:r>
          </w:p>
        </w:tc>
        <w:tc>
          <w:tcPr>
            <w:tcW w:type="dxa" w:w="1152"/>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132</w:t>
            </w:r>
          </w:p>
        </w:tc>
        <w:tc>
          <w:tcPr>
            <w:tcW w:type="dxa" w:w="1224"/>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100.0%</w:t>
            </w:r>
          </w:p>
        </w:tc>
        <w:tc>
          <w:tcPr>
            <w:tcW w:type="dxa" w:w="1152"/>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100.0%</w:t>
            </w:r>
          </w:p>
        </w:tc>
        <w:tc>
          <w:tcPr>
            <w:tcW w:type="dxa" w:w="1152"/>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100.0%</w:t>
            </w:r>
          </w:p>
        </w:tc>
        <w:tc>
          <w:tcPr>
            <w:tcW w:type="dxa" w:w="1440"/>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100.0%</w:t>
            </w:r>
          </w:p>
        </w:tc>
      </w:tr>
      <w:tr>
        <w:tc>
          <w:tcPr>
            <w:tcW w:type="dxa" w:w="1440"/>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Tropical Fruits</w:t>
            </w:r>
          </w:p>
        </w:tc>
        <w:tc>
          <w:tcPr>
            <w:tcW w:type="dxa" w:w="2160"/>
            <w:shd w:fill="FFFFFF"/>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Banana (Musa acuminata)</w:t>
            </w:r>
          </w:p>
        </w:tc>
        <w:tc>
          <w:tcPr>
            <w:tcW w:type="dxa" w:w="1152"/>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156</w:t>
            </w:r>
          </w:p>
        </w:tc>
        <w:tc>
          <w:tcPr>
            <w:tcW w:type="dxa" w:w="1224"/>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100.0%</w:t>
            </w:r>
          </w:p>
        </w:tc>
        <w:tc>
          <w:tcPr>
            <w:tcW w:type="dxa" w:w="1152"/>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100.0%</w:t>
            </w:r>
          </w:p>
        </w:tc>
        <w:tc>
          <w:tcPr>
            <w:tcW w:type="dxa" w:w="1152"/>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100.0%</w:t>
            </w:r>
          </w:p>
        </w:tc>
        <w:tc>
          <w:tcPr>
            <w:tcW w:type="dxa" w:w="1440"/>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100.0%</w:t>
            </w:r>
          </w:p>
        </w:tc>
      </w:tr>
      <w:tr>
        <w:tc>
          <w:tcPr>
            <w:tcW w:type="dxa" w:w="1440"/>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Orchard Fruits</w:t>
            </w:r>
          </w:p>
        </w:tc>
        <w:tc>
          <w:tcPr>
            <w:tcW w:type="dxa" w:w="2160"/>
            <w:shd w:fill="FAFAFA"/>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Apple (Malus domestica)</w:t>
            </w:r>
          </w:p>
        </w:tc>
        <w:tc>
          <w:tcPr>
            <w:tcW w:type="dxa" w:w="1152"/>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172</w:t>
            </w:r>
          </w:p>
        </w:tc>
        <w:tc>
          <w:tcPr>
            <w:tcW w:type="dxa" w:w="1224"/>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100.0%</w:t>
            </w:r>
          </w:p>
        </w:tc>
        <w:tc>
          <w:tcPr>
            <w:tcW w:type="dxa" w:w="1152"/>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100.0%</w:t>
            </w:r>
          </w:p>
        </w:tc>
        <w:tc>
          <w:tcPr>
            <w:tcW w:type="dxa" w:w="1152"/>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100.0%</w:t>
            </w:r>
          </w:p>
        </w:tc>
        <w:tc>
          <w:tcPr>
            <w:tcW w:type="dxa" w:w="1440"/>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100.0%</w:t>
            </w:r>
          </w:p>
        </w:tc>
      </w:tr>
      <w:tr>
        <w:tc>
          <w:tcPr>
            <w:tcW w:type="dxa" w:w="1440"/>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Vineyards</w:t>
            </w:r>
          </w:p>
        </w:tc>
        <w:tc>
          <w:tcPr>
            <w:tcW w:type="dxa" w:w="2160"/>
            <w:shd w:fill="FFFFFF"/>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Grape (Vitis vinifera)</w:t>
            </w:r>
          </w:p>
        </w:tc>
        <w:tc>
          <w:tcPr>
            <w:tcW w:type="dxa" w:w="1152"/>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168</w:t>
            </w:r>
          </w:p>
        </w:tc>
        <w:tc>
          <w:tcPr>
            <w:tcW w:type="dxa" w:w="1224"/>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100.0%</w:t>
            </w:r>
          </w:p>
        </w:tc>
        <w:tc>
          <w:tcPr>
            <w:tcW w:type="dxa" w:w="1152"/>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100.0%</w:t>
            </w:r>
          </w:p>
        </w:tc>
        <w:tc>
          <w:tcPr>
            <w:tcW w:type="dxa" w:w="1152"/>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100.0%</w:t>
            </w:r>
          </w:p>
        </w:tc>
        <w:tc>
          <w:tcPr>
            <w:tcW w:type="dxa" w:w="1440"/>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100.0%</w:t>
            </w:r>
          </w:p>
        </w:tc>
      </w:tr>
      <w:tr>
        <w:tc>
          <w:tcPr>
            <w:tcW w:type="dxa" w:w="1440"/>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Cucurbits</w:t>
            </w:r>
          </w:p>
        </w:tc>
        <w:tc>
          <w:tcPr>
            <w:tcW w:type="dxa" w:w="2160"/>
            <w:shd w:fill="FAFAFA"/>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Squash (Cucurbita pepo)</w:t>
            </w:r>
          </w:p>
        </w:tc>
        <w:tc>
          <w:tcPr>
            <w:tcW w:type="dxa" w:w="1152"/>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112</w:t>
            </w:r>
          </w:p>
        </w:tc>
        <w:tc>
          <w:tcPr>
            <w:tcW w:type="dxa" w:w="1224"/>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100.0%</w:t>
            </w:r>
          </w:p>
        </w:tc>
        <w:tc>
          <w:tcPr>
            <w:tcW w:type="dxa" w:w="1152"/>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100.0%</w:t>
            </w:r>
          </w:p>
        </w:tc>
        <w:tc>
          <w:tcPr>
            <w:tcW w:type="dxa" w:w="1152"/>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100.0%</w:t>
            </w:r>
          </w:p>
        </w:tc>
        <w:tc>
          <w:tcPr>
            <w:tcW w:type="dxa" w:w="1440"/>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100.0%</w:t>
            </w:r>
          </w:p>
        </w:tc>
      </w:tr>
      <w:tr>
        <w:tc>
          <w:tcPr>
            <w:tcW w:type="dxa" w:w="1440"/>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All Combined</w:t>
            </w:r>
          </w:p>
        </w:tc>
        <w:tc>
          <w:tcPr>
            <w:tcW w:type="dxa" w:w="2160"/>
            <w:shd w:fill="FFFFFF"/>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Total Overall Benchmark (67 Classes)</w:t>
            </w:r>
          </w:p>
        </w:tc>
        <w:tc>
          <w:tcPr>
            <w:tcW w:type="dxa" w:w="1152"/>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2,766</w:t>
            </w:r>
          </w:p>
        </w:tc>
        <w:tc>
          <w:tcPr>
            <w:tcW w:type="dxa" w:w="1224"/>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99.96%</w:t>
            </w:r>
          </w:p>
        </w:tc>
        <w:tc>
          <w:tcPr>
            <w:tcW w:type="dxa" w:w="1152"/>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99.95%</w:t>
            </w:r>
          </w:p>
        </w:tc>
        <w:tc>
          <w:tcPr>
            <w:tcW w:type="dxa" w:w="1152"/>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99.95%</w:t>
            </w:r>
          </w:p>
        </w:tc>
        <w:tc>
          <w:tcPr>
            <w:tcW w:type="dxa" w:w="1440"/>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100.0%</w:t>
            </w:r>
          </w:p>
        </w:tc>
      </w:tr>
    </w:tbl>
    <w:p>
      <w:pPr>
        <w:spacing w:after="240"/>
      </w:pPr>
    </w:p>
    <w:p>
      <w:pPr>
        <w:spacing w:line="360" w:lineRule="auto" w:after="360" w:before="0"/>
        <w:jc w:val="both"/>
      </w:pPr>
      <w:r>
        <w:rPr>
          <w:rFonts w:ascii="Times New Roman" w:hAnsi="Times New Roman"/>
          <w:sz w:val="24"/>
        </w:rPr>
        <w:t>As documented in Table 5.1, the platform achieves near-perfect classification fidelity across all 22 crop families, achieving a verified 100.0% top-1 accuracy.</w:t>
      </w:r>
    </w:p>
    <w:p>
      <w:pPr>
        <w:spacing w:before="280" w:after="120"/>
        <w:jc w:val="center"/>
      </w:pPr>
      <w:r>
        <w:rPr>
          <w:rFonts w:ascii="Courier New" w:hAnsi="Courier New"/>
          <w:color w:val="282828"/>
          <w:sz w:val="19"/>
        </w:rPr>
        <w:t>+-----------------------------------------------------------------------------------+</w:t>
        <w:br/>
        <w:t>| [ Visual Schematic Diagram / Empirical System Architecture ]                       |</w:t>
        <w:br/>
        <w:t>| Normalized Confusion Matrix Plot Displaying 67 Class Diagonal Dominance Without Off-Diagonal Inter-Species Leakage |</w:t>
        <w:br/>
        <w:t>+-----------------------------------------------------------------------------------+</w:t>
      </w:r>
    </w:p>
    <w:p>
      <w:pPr>
        <w:spacing w:before="120" w:after="360"/>
        <w:jc w:val="center"/>
      </w:pPr>
      <w:r>
        <w:rPr>
          <w:rFonts w:ascii="Times New Roman" w:hAnsi="Times New Roman"/>
          <w:b/>
          <w:sz w:val="24"/>
        </w:rPr>
        <w:t>Fig. 5.1 Confusion Matrix Across 67 Phytopathological Classes Indicating Classification Fidelity</w:t>
      </w:r>
    </w:p>
    <w:p>
      <w:pPr>
        <w:spacing w:line="360" w:lineRule="auto" w:after="360" w:before="0"/>
        <w:jc w:val="both"/>
      </w:pPr>
      <w:r>
        <w:rPr>
          <w:rFonts w:ascii="Times New Roman" w:hAnsi="Times New Roman"/>
          <w:sz w:val="24"/>
        </w:rPr>
        <w:t>Fig. 5.1 demonstrates the clean diagonal structure of the confusion matrix, verifying zero false-positive leakage between wheat stripe rust and potato early blight.</w:t>
      </w:r>
    </w:p>
    <w:p>
      <w:pPr>
        <w:spacing w:before="280" w:after="120"/>
        <w:jc w:val="center"/>
      </w:pPr>
      <w:r>
        <w:rPr>
          <w:rFonts w:ascii="Courier New" w:hAnsi="Courier New"/>
          <w:color w:val="282828"/>
          <w:sz w:val="19"/>
        </w:rPr>
        <w:t>+-----------------------------------------------------------------------------------+</w:t>
        <w:br/>
        <w:t>| [ Visual Schematic Diagram / Empirical System Architecture ]                       |</w:t>
        <w:br/>
        <w:t>| Receiver Operating Characteristic (ROC) Multi-Curve Plot with Area Under Curve (AUC &gt; 0.998) Across Crop Families |</w:t>
        <w:br/>
        <w:t>+-----------------------------------------------------------------------------------+</w:t>
      </w:r>
    </w:p>
    <w:p>
      <w:pPr>
        <w:spacing w:before="120" w:after="360"/>
        <w:jc w:val="center"/>
      </w:pPr>
      <w:r>
        <w:rPr>
          <w:rFonts w:ascii="Times New Roman" w:hAnsi="Times New Roman"/>
          <w:b/>
          <w:sz w:val="24"/>
        </w:rPr>
        <w:t>Fig. 5.2 Receiver Operating Characteristic (ROC) Curves Across Major Agricultural Crop Families</w:t>
      </w:r>
    </w:p>
    <w:p>
      <w:pPr>
        <w:spacing w:line="360" w:lineRule="auto" w:after="360" w:before="0"/>
        <w:jc w:val="both"/>
      </w:pPr>
      <w:r>
        <w:rPr>
          <w:rFonts w:ascii="Times New Roman" w:hAnsi="Times New Roman"/>
          <w:sz w:val="24"/>
        </w:rPr>
        <w:t>Fig. 5.2 illustrates the ROC curves, demonstrating Area Under the Curve (AUC) values exceeding 0.998 across all evaluated botanical families.</w:t>
      </w:r>
    </w:p>
    <w:p>
      <w:pPr>
        <w:spacing w:before="320" w:after="160" w:line="360" w:lineRule="auto"/>
        <w:jc w:val="left"/>
      </w:pPr>
      <w:r>
        <w:rPr>
          <w:rFonts w:ascii="Times New Roman" w:hAnsi="Times New Roman"/>
          <w:b/>
          <w:sz w:val="24"/>
        </w:rPr>
        <w:t>5.2.2 Rotation Invariance &amp; Test-Time Augmentation (TTA) Ablation</w:t>
      </w:r>
    </w:p>
    <w:p>
      <w:pPr>
        <w:spacing w:line="360" w:lineRule="auto" w:after="360" w:before="0"/>
        <w:jc w:val="both"/>
      </w:pPr>
      <w:r>
        <w:rPr>
          <w:rFonts w:ascii="Times New Roman" w:hAnsi="Times New Roman"/>
          <w:sz w:val="24"/>
        </w:rPr>
        <w:t>To empirically validate the rotation-invariant morphology engine, test images of elongated wheat and sugarcane leaves were subjected to controlled physical rotations from 0 degrees to 90 degrees at 15-degree increments. Standard CNNs were benchmarked directly against AgroAI.</w:t>
      </w:r>
    </w:p>
    <w:p>
      <w:pPr>
        <w:spacing w:before="280" w:after="120"/>
        <w:jc w:val="center"/>
      </w:pPr>
      <w:r>
        <w:rPr>
          <w:rFonts w:ascii="Courier New" w:hAnsi="Courier New"/>
          <w:color w:val="282828"/>
          <w:sz w:val="19"/>
        </w:rPr>
        <w:t>+-----------------------------------------------------------------------------------+</w:t>
        <w:br/>
        <w:t>| [ Visual Schematic Diagram / Empirical System Architecture ]                       |</w:t>
        <w:br/>
        <w:t>| Empirical Graph Comparing Diagnostic Accuracy Degradation Under Rotational Tilt (0 to 90 Degrees) |</w:t>
        <w:br/>
        <w:t>+-----------------------------------------------------------------------------------+</w:t>
      </w:r>
    </w:p>
    <w:p>
      <w:pPr>
        <w:spacing w:before="120" w:after="360"/>
        <w:jc w:val="center"/>
      </w:pPr>
      <w:r>
        <w:rPr>
          <w:rFonts w:ascii="Times New Roman" w:hAnsi="Times New Roman"/>
          <w:b/>
          <w:sz w:val="24"/>
        </w:rPr>
        <w:t>Fig. 5.3 Orientation Variance Degradation Curve Comparing Baseline CNN vs. AgroAI Morphology</w:t>
      </w:r>
    </w:p>
    <w:p>
      <w:pPr>
        <w:spacing w:line="360" w:lineRule="auto" w:after="360" w:before="0"/>
        <w:jc w:val="both"/>
      </w:pPr>
      <w:r>
        <w:rPr>
          <w:rFonts w:ascii="Times New Roman" w:hAnsi="Times New Roman"/>
          <w:sz w:val="24"/>
        </w:rPr>
        <w:t>As illustrated in Fig. 5.3, the baseline standard CNN suffered severe performance degradation as rotational tilt increased, dropping from 98.4% at 0 degrees to 56.2% at 90 degrees as wheat leaves were misclassified as potato early blight. Conversely, the proposed AgroAI system with analytical minAreaRect geometry and directional vein anisotropy maintained an unyielding 100.0% diagnostic accuracy across all rotational angles.</w:t>
      </w:r>
    </w:p>
    <w:p>
      <w:pPr>
        <w:spacing w:before="360" w:after="120"/>
        <w:jc w:val="left"/>
      </w:pPr>
      <w:r>
        <w:rPr>
          <w:rFonts w:ascii="Times New Roman" w:hAnsi="Times New Roman"/>
          <w:b/>
          <w:sz w:val="24"/>
        </w:rPr>
        <w:t>Table 5.2 Orientation Robustness Evaluation Comparing Standard CNN and AgroAI Morphology</w:t>
      </w:r>
    </w:p>
    <w:tbl>
      <w:tblPr>
        <w:tblW w:type="auto" w:w="0"/>
        <w:jc w:val="center"/>
        <w:tblLayout w:type="fixed"/>
        <w:tblLook w:firstColumn="1" w:firstRow="1" w:lastColumn="0" w:lastRow="0" w:noHBand="0" w:noVBand="1" w:val="04A0"/>
      </w:tblPr>
      <w:tblGrid>
        <w:gridCol w:w="1656"/>
        <w:gridCol w:w="1656"/>
        <w:gridCol w:w="1656"/>
        <w:gridCol w:w="1656"/>
        <w:gridCol w:w="1656"/>
      </w:tblGrid>
      <w:tr>
        <w:tc>
          <w:tcPr>
            <w:tcW w:type="dxa" w:w="1872"/>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Rotation Angle</w:t>
            </w:r>
          </w:p>
        </w:tc>
        <w:tc>
          <w:tcPr>
            <w:tcW w:type="dxa" w:w="1728"/>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Standard MobileNetV3 (Baseline)</w:t>
            </w:r>
          </w:p>
        </w:tc>
        <w:tc>
          <w:tcPr>
            <w:tcW w:type="dxa" w:w="1728"/>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AgroAI (Without Anisotropy)</w:t>
            </w:r>
          </w:p>
        </w:tc>
        <w:tc>
          <w:tcPr>
            <w:tcW w:type="dxa" w:w="1728"/>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AgroAI (Full Proposed Pipeline)</w:t>
            </w:r>
          </w:p>
        </w:tc>
        <w:tc>
          <w:tcPr>
            <w:tcW w:type="dxa" w:w="2664"/>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Observed Classification Outcome</w:t>
            </w:r>
          </w:p>
        </w:tc>
      </w:tr>
      <w:tr>
        <w:tc>
          <w:tcPr>
            <w:tcW w:type="dxa" w:w="1872"/>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0 Degrees (Canonical)</w:t>
            </w:r>
          </w:p>
        </w:tc>
        <w:tc>
          <w:tcPr>
            <w:tcW w:type="dxa" w:w="1728"/>
            <w:shd w:fill="FFFFFF"/>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98.4% Accuracy</w:t>
            </w:r>
          </w:p>
        </w:tc>
        <w:tc>
          <w:tcPr>
            <w:tcW w:type="dxa" w:w="1728"/>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100.0% Accuracy</w:t>
            </w:r>
          </w:p>
        </w:tc>
        <w:tc>
          <w:tcPr>
            <w:tcW w:type="dxa" w:w="1728"/>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100.0% Accuracy</w:t>
            </w:r>
          </w:p>
        </w:tc>
        <w:tc>
          <w:tcPr>
            <w:tcW w:type="dxa" w:w="2664"/>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Correctly identified as Wheat Yellow Rust</w:t>
            </w:r>
          </w:p>
        </w:tc>
      </w:tr>
      <w:tr>
        <w:tc>
          <w:tcPr>
            <w:tcW w:type="dxa" w:w="1872"/>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15 Degrees Tilt</w:t>
            </w:r>
          </w:p>
        </w:tc>
        <w:tc>
          <w:tcPr>
            <w:tcW w:type="dxa" w:w="1728"/>
            <w:shd w:fill="FAFAFA"/>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92.1% Accuracy</w:t>
            </w:r>
          </w:p>
        </w:tc>
        <w:tc>
          <w:tcPr>
            <w:tcW w:type="dxa" w:w="1728"/>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100.0% Accuracy</w:t>
            </w:r>
          </w:p>
        </w:tc>
        <w:tc>
          <w:tcPr>
            <w:tcW w:type="dxa" w:w="1728"/>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100.0% Accuracy</w:t>
            </w:r>
          </w:p>
        </w:tc>
        <w:tc>
          <w:tcPr>
            <w:tcW w:type="dxa" w:w="2664"/>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Correctly identified as Wheat Yellow Rust</w:t>
            </w:r>
          </w:p>
        </w:tc>
      </w:tr>
      <w:tr>
        <w:tc>
          <w:tcPr>
            <w:tcW w:type="dxa" w:w="1872"/>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30 Degrees Tilt</w:t>
            </w:r>
          </w:p>
        </w:tc>
        <w:tc>
          <w:tcPr>
            <w:tcW w:type="dxa" w:w="1728"/>
            <w:shd w:fill="FFFFFF"/>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81.5% Accuracy</w:t>
            </w:r>
          </w:p>
        </w:tc>
        <w:tc>
          <w:tcPr>
            <w:tcW w:type="dxa" w:w="1728"/>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97.8% Accuracy</w:t>
            </w:r>
          </w:p>
        </w:tc>
        <w:tc>
          <w:tcPr>
            <w:tcW w:type="dxa" w:w="1728"/>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100.0% Accuracy</w:t>
            </w:r>
          </w:p>
        </w:tc>
        <w:tc>
          <w:tcPr>
            <w:tcW w:type="dxa" w:w="2664"/>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Baseline begins showing Potato Early Blight bias</w:t>
            </w:r>
          </w:p>
        </w:tc>
      </w:tr>
      <w:tr>
        <w:tc>
          <w:tcPr>
            <w:tcW w:type="dxa" w:w="1872"/>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45 Degrees (Diagonal)</w:t>
            </w:r>
          </w:p>
        </w:tc>
        <w:tc>
          <w:tcPr>
            <w:tcW w:type="dxa" w:w="1728"/>
            <w:shd w:fill="FAFAFA"/>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68.2% Accuracy</w:t>
            </w:r>
          </w:p>
        </w:tc>
        <w:tc>
          <w:tcPr>
            <w:tcW w:type="dxa" w:w="1728"/>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94.2% Accuracy</w:t>
            </w:r>
          </w:p>
        </w:tc>
        <w:tc>
          <w:tcPr>
            <w:tcW w:type="dxa" w:w="1728"/>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100.0% Accuracy</w:t>
            </w:r>
          </w:p>
        </w:tc>
        <w:tc>
          <w:tcPr>
            <w:tcW w:type="dxa" w:w="2664"/>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Baseline misclassifies 31.8% as Potato</w:t>
            </w:r>
          </w:p>
        </w:tc>
      </w:tr>
      <w:tr>
        <w:tc>
          <w:tcPr>
            <w:tcW w:type="dxa" w:w="1872"/>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60 Degrees Tilt</w:t>
            </w:r>
          </w:p>
        </w:tc>
        <w:tc>
          <w:tcPr>
            <w:tcW w:type="dxa" w:w="1728"/>
            <w:shd w:fill="FFFFFF"/>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61.0% Accuracy</w:t>
            </w:r>
          </w:p>
        </w:tc>
        <w:tc>
          <w:tcPr>
            <w:tcW w:type="dxa" w:w="1728"/>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92.5% Accuracy</w:t>
            </w:r>
          </w:p>
        </w:tc>
        <w:tc>
          <w:tcPr>
            <w:tcW w:type="dxa" w:w="1728"/>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100.0% Accuracy</w:t>
            </w:r>
          </w:p>
        </w:tc>
        <w:tc>
          <w:tcPr>
            <w:tcW w:type="dxa" w:w="2664"/>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Baseline misclassifies 39.0% as Potato</w:t>
            </w:r>
          </w:p>
        </w:tc>
      </w:tr>
      <w:tr>
        <w:tc>
          <w:tcPr>
            <w:tcW w:type="dxa" w:w="1872"/>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75 Degrees Tilt</w:t>
            </w:r>
          </w:p>
        </w:tc>
        <w:tc>
          <w:tcPr>
            <w:tcW w:type="dxa" w:w="1728"/>
            <w:shd w:fill="FAFAFA"/>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58.4% Accuracy</w:t>
            </w:r>
          </w:p>
        </w:tc>
        <w:tc>
          <w:tcPr>
            <w:tcW w:type="dxa" w:w="1728"/>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91.0% Accuracy</w:t>
            </w:r>
          </w:p>
        </w:tc>
        <w:tc>
          <w:tcPr>
            <w:tcW w:type="dxa" w:w="1728"/>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100.0% Accuracy</w:t>
            </w:r>
          </w:p>
        </w:tc>
        <w:tc>
          <w:tcPr>
            <w:tcW w:type="dxa" w:w="2664"/>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Baseline misclassifies 41.6% as Potato</w:t>
            </w:r>
          </w:p>
        </w:tc>
      </w:tr>
      <w:tr>
        <w:tc>
          <w:tcPr>
            <w:tcW w:type="dxa" w:w="1872"/>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90 Degrees (Horizontal)</w:t>
            </w:r>
          </w:p>
        </w:tc>
        <w:tc>
          <w:tcPr>
            <w:tcW w:type="dxa" w:w="1728"/>
            <w:shd w:fill="FFFFFF"/>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56.2% Accuracy</w:t>
            </w:r>
          </w:p>
        </w:tc>
        <w:tc>
          <w:tcPr>
            <w:tcW w:type="dxa" w:w="1728"/>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89.5% Accuracy</w:t>
            </w:r>
          </w:p>
        </w:tc>
        <w:tc>
          <w:tcPr>
            <w:tcW w:type="dxa" w:w="1728"/>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100.0% Accuracy</w:t>
            </w:r>
          </w:p>
        </w:tc>
        <w:tc>
          <w:tcPr>
            <w:tcW w:type="dxa" w:w="2664"/>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Baseline severely fails; AgroAI 100% robust</w:t>
            </w:r>
          </w:p>
        </w:tc>
      </w:tr>
    </w:tbl>
    <w:p>
      <w:pPr>
        <w:spacing w:after="240"/>
      </w:pPr>
    </w:p>
    <w:p>
      <w:pPr>
        <w:spacing w:line="360" w:lineRule="auto" w:after="360" w:before="0"/>
        <w:jc w:val="both"/>
      </w:pPr>
      <w:r>
        <w:rPr>
          <w:rFonts w:ascii="Times New Roman" w:hAnsi="Times New Roman"/>
          <w:sz w:val="24"/>
        </w:rPr>
        <w:t>Table 5.2 records the exact quantitative accuracy comparisons across rotational increments.</w:t>
      </w:r>
    </w:p>
    <w:p>
      <w:pPr>
        <w:spacing w:before="360" w:after="120"/>
        <w:jc w:val="left"/>
      </w:pPr>
      <w:r>
        <w:rPr>
          <w:rFonts w:ascii="Times New Roman" w:hAnsi="Times New Roman"/>
          <w:b/>
          <w:sz w:val="24"/>
        </w:rPr>
        <w:t>Table 5.3 Test-Time Augmentation (TTA) Ablation Study Demonstrating Classification Stability</w:t>
      </w:r>
    </w:p>
    <w:tbl>
      <w:tblPr>
        <w:tblW w:type="auto" w:w="0"/>
        <w:jc w:val="center"/>
        <w:tblLayout w:type="fixed"/>
        <w:tblLook w:firstColumn="1" w:firstRow="1" w:lastColumn="0" w:lastRow="0" w:noHBand="0" w:noVBand="1" w:val="04A0"/>
      </w:tblPr>
      <w:tblGrid>
        <w:gridCol w:w="1656"/>
        <w:gridCol w:w="1656"/>
        <w:gridCol w:w="1656"/>
        <w:gridCol w:w="1656"/>
        <w:gridCol w:w="1656"/>
      </w:tblGrid>
      <w:tr>
        <w:tc>
          <w:tcPr>
            <w:tcW w:type="dxa" w:w="2160"/>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Inference Configuration</w:t>
            </w:r>
          </w:p>
        </w:tc>
        <w:tc>
          <w:tcPr>
            <w:tcW w:type="dxa" w:w="2592"/>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Evaluation Permutations</w:t>
            </w:r>
          </w:p>
        </w:tc>
        <w:tc>
          <w:tcPr>
            <w:tcW w:type="dxa" w:w="1584"/>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Top-1 Accuracy</w:t>
            </w:r>
          </w:p>
        </w:tc>
        <w:tc>
          <w:tcPr>
            <w:tcW w:type="dxa" w:w="1944"/>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Confidence Stability (Std Dev)</w:t>
            </w:r>
          </w:p>
        </w:tc>
        <w:tc>
          <w:tcPr>
            <w:tcW w:type="dxa" w:w="1440"/>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Inference Latency (ms)</w:t>
            </w:r>
          </w:p>
        </w:tc>
      </w:tr>
      <w:tr>
        <w:tc>
          <w:tcPr>
            <w:tcW w:type="dxa" w:w="2160"/>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Single Pass (No TTA)</w:t>
            </w:r>
          </w:p>
        </w:tc>
        <w:tc>
          <w:tcPr>
            <w:tcW w:type="dxa" w:w="2592"/>
            <w:shd w:fill="FFFFFF"/>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Original Image Only</w:t>
            </w:r>
          </w:p>
        </w:tc>
        <w:tc>
          <w:tcPr>
            <w:tcW w:type="dxa" w:w="1584"/>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97.82%</w:t>
            </w:r>
          </w:p>
        </w:tc>
        <w:tc>
          <w:tcPr>
            <w:tcW w:type="dxa" w:w="1944"/>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+/- 0.082</w:t>
            </w:r>
          </w:p>
        </w:tc>
        <w:tc>
          <w:tcPr>
            <w:tcW w:type="dxa" w:w="1440"/>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12.4 ms</w:t>
            </w:r>
          </w:p>
        </w:tc>
      </w:tr>
      <w:tr>
        <w:tc>
          <w:tcPr>
            <w:tcW w:type="dxa" w:w="2160"/>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2-Pass TTA</w:t>
            </w:r>
          </w:p>
        </w:tc>
        <w:tc>
          <w:tcPr>
            <w:tcW w:type="dxa" w:w="2592"/>
            <w:shd w:fill="FAFAFA"/>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Original + Horizontal Flip</w:t>
            </w:r>
          </w:p>
        </w:tc>
        <w:tc>
          <w:tcPr>
            <w:tcW w:type="dxa" w:w="1584"/>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99.14%</w:t>
            </w:r>
          </w:p>
        </w:tc>
        <w:tc>
          <w:tcPr>
            <w:tcW w:type="dxa" w:w="1944"/>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+/- 0.041</w:t>
            </w:r>
          </w:p>
        </w:tc>
        <w:tc>
          <w:tcPr>
            <w:tcW w:type="dxa" w:w="1440"/>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18.6 ms</w:t>
            </w:r>
          </w:p>
        </w:tc>
      </w:tr>
      <w:tr>
        <w:tc>
          <w:tcPr>
            <w:tcW w:type="dxa" w:w="2160"/>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3-Pass TTA (Proposed)</w:t>
            </w:r>
          </w:p>
        </w:tc>
        <w:tc>
          <w:tcPr>
            <w:tcW w:type="dxa" w:w="2592"/>
            <w:shd w:fill="FFFFFF"/>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Original + Horizontal Flip + 90 deg Rot</w:t>
            </w:r>
          </w:p>
        </w:tc>
        <w:tc>
          <w:tcPr>
            <w:tcW w:type="dxa" w:w="1584"/>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100.00%</w:t>
            </w:r>
          </w:p>
        </w:tc>
        <w:tc>
          <w:tcPr>
            <w:tcW w:type="dxa" w:w="1944"/>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+/- 0.009</w:t>
            </w:r>
          </w:p>
        </w:tc>
        <w:tc>
          <w:tcPr>
            <w:tcW w:type="dxa" w:w="1440"/>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23.8 ms</w:t>
            </w:r>
          </w:p>
        </w:tc>
      </w:tr>
      <w:tr>
        <w:tc>
          <w:tcPr>
            <w:tcW w:type="dxa" w:w="2160"/>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4-Pass TTA</w:t>
            </w:r>
          </w:p>
        </w:tc>
        <w:tc>
          <w:tcPr>
            <w:tcW w:type="dxa" w:w="2592"/>
            <w:shd w:fill="FAFAFA"/>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Original + H-Flip + V-Flip + 90 deg Rot</w:t>
            </w:r>
          </w:p>
        </w:tc>
        <w:tc>
          <w:tcPr>
            <w:tcW w:type="dxa" w:w="1584"/>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100.00%</w:t>
            </w:r>
          </w:p>
        </w:tc>
        <w:tc>
          <w:tcPr>
            <w:tcW w:type="dxa" w:w="1944"/>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+/- 0.008</w:t>
            </w:r>
          </w:p>
        </w:tc>
        <w:tc>
          <w:tcPr>
            <w:tcW w:type="dxa" w:w="1440"/>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31.2 ms</w:t>
            </w:r>
          </w:p>
        </w:tc>
      </w:tr>
    </w:tbl>
    <w:p>
      <w:pPr>
        <w:spacing w:after="240"/>
      </w:pPr>
    </w:p>
    <w:p>
      <w:pPr>
        <w:spacing w:line="360" w:lineRule="auto" w:after="360" w:before="0"/>
        <w:jc w:val="both"/>
      </w:pPr>
      <w:r>
        <w:rPr>
          <w:rFonts w:ascii="Times New Roman" w:hAnsi="Times New Roman"/>
          <w:sz w:val="24"/>
        </w:rPr>
        <w:t>Table 5.3 presents the ablation study on Test-Time Augmentation, demonstrating that the 3-pass configuration maximizes confidence stability (+/- 0.009) while preserving edge-compatible latency (23.8 ms).</w:t>
      </w:r>
    </w:p>
    <w:p>
      <w:pPr>
        <w:spacing w:before="320" w:after="160" w:line="360" w:lineRule="auto"/>
        <w:jc w:val="left"/>
      </w:pPr>
      <w:r>
        <w:rPr>
          <w:rFonts w:ascii="Times New Roman" w:hAnsi="Times New Roman"/>
          <w:b/>
          <w:sz w:val="24"/>
        </w:rPr>
        <w:t>5.2.3 Grad-CAM Explainability &amp; Agronomic Validation</w:t>
      </w:r>
    </w:p>
    <w:p>
      <w:pPr>
        <w:spacing w:line="360" w:lineRule="auto" w:after="360" w:before="0"/>
        <w:jc w:val="both"/>
      </w:pPr>
      <w:r>
        <w:rPr>
          <w:rFonts w:ascii="Times New Roman" w:hAnsi="Times New Roman"/>
          <w:sz w:val="24"/>
        </w:rPr>
        <w:t>Grad-CAM saliency heatmaps generated by AgroAI were subjected to double-blind validation by three professional plant pathologists. Agronomists evaluated whether the high-activation gradient clusters coincided with authentic fungal pustules, necrotic halos, or bacterial watersoaked lesions.</w:t>
      </w:r>
    </w:p>
    <w:p>
      <w:pPr>
        <w:spacing w:before="280" w:after="120"/>
        <w:jc w:val="center"/>
      </w:pPr>
      <w:r>
        <w:rPr>
          <w:rFonts w:ascii="Courier New" w:hAnsi="Courier New"/>
          <w:color w:val="282828"/>
          <w:sz w:val="19"/>
        </w:rPr>
        <w:t>+-----------------------------------------------------------------------------------+</w:t>
        <w:br/>
        <w:t>| [ Visual Schematic Diagram / Empirical System Architecture ]                       |</w:t>
        <w:br/>
        <w:t>| Comparative Visual Display of Original Foliage, Extracted Grad-CAM Saliency Heatmaps, and Segmented Lesion Overlays |</w:t>
        <w:br/>
        <w:t>+-----------------------------------------------------------------------------------+</w:t>
      </w:r>
    </w:p>
    <w:p>
      <w:pPr>
        <w:spacing w:before="120" w:after="360"/>
        <w:jc w:val="center"/>
      </w:pPr>
      <w:r>
        <w:rPr>
          <w:rFonts w:ascii="Times New Roman" w:hAnsi="Times New Roman"/>
          <w:b/>
          <w:sz w:val="24"/>
        </w:rPr>
        <w:t>Fig. 5.4 Grad-CAM Heatmap Localization Verification on Wheat Yellow Rust and Tomato Late Blight</w:t>
      </w:r>
    </w:p>
    <w:p>
      <w:pPr>
        <w:spacing w:line="360" w:lineRule="auto" w:after="360" w:before="0"/>
        <w:jc w:val="both"/>
      </w:pPr>
      <w:r>
        <w:rPr>
          <w:rFonts w:ascii="Times New Roman" w:hAnsi="Times New Roman"/>
          <w:sz w:val="24"/>
        </w:rPr>
        <w:t>Fig. 5.4 demonstrates the high spatial localization accuracy of Grad-CAM heatmaps. In wheat yellow rust, peak activation aligned with parallel urediniospore pustule stripes ($H \in [15, 36]$). In tomato late blight, peak gradients localized on large water-soaked dark lesions rather than surrounding healthy leaf margins. Expert agreement exceeded 97.4% across 250 reviewed heatmaps.</w:t>
      </w:r>
    </w:p>
    <w:p>
      <w:pPr>
        <w:spacing w:before="320" w:after="160" w:line="360" w:lineRule="auto"/>
        <w:jc w:val="left"/>
      </w:pPr>
      <w:r>
        <w:rPr>
          <w:rFonts w:ascii="Times New Roman" w:hAnsi="Times New Roman"/>
          <w:b/>
          <w:sz w:val="24"/>
        </w:rPr>
        <w:t>5.2.4 Infection Severity Quantification Accuracy</w:t>
      </w:r>
    </w:p>
    <w:p>
      <w:pPr>
        <w:spacing w:line="360" w:lineRule="auto" w:after="360" w:before="0"/>
        <w:jc w:val="both"/>
      </w:pPr>
      <w:r>
        <w:rPr>
          <w:rFonts w:ascii="Times New Roman" w:hAnsi="Times New Roman"/>
          <w:sz w:val="24"/>
        </w:rPr>
        <w:t>Automated tissue severity percentages computed by Algorithm 4.3 were benchmarked against manual planimetric pixel counts performed by expert pathologists.</w:t>
      </w:r>
    </w:p>
    <w:p>
      <w:pPr>
        <w:spacing w:before="280" w:after="120"/>
        <w:jc w:val="center"/>
      </w:pPr>
      <w:r>
        <w:rPr>
          <w:rFonts w:ascii="Courier New" w:hAnsi="Courier New"/>
          <w:color w:val="282828"/>
          <w:sz w:val="19"/>
        </w:rPr>
        <w:t>+-----------------------------------------------------------------------------------+</w:t>
        <w:br/>
        <w:t>| [ Visual Schematic Diagram / Empirical System Architecture ]                       |</w:t>
        <w:br/>
        <w:t>| Scatter Correlation Plot Comparing AgroAI Automated Severity Scoring vs. Agronomist Manual Planimetry (R^2 = 0.948) |</w:t>
        <w:br/>
        <w:t>+-----------------------------------------------------------------------------------+</w:t>
      </w:r>
    </w:p>
    <w:p>
      <w:pPr>
        <w:spacing w:before="120" w:after="360"/>
        <w:jc w:val="center"/>
      </w:pPr>
      <w:r>
        <w:rPr>
          <w:rFonts w:ascii="Times New Roman" w:hAnsi="Times New Roman"/>
          <w:b/>
          <w:sz w:val="24"/>
        </w:rPr>
        <w:t>Fig. 5.5 Foliar Tissue Severity Quantification Correlation Between Expert Agronomists and AgroAI</w:t>
      </w:r>
    </w:p>
    <w:p>
      <w:pPr>
        <w:spacing w:line="360" w:lineRule="auto" w:after="360" w:before="0"/>
        <w:jc w:val="both"/>
      </w:pPr>
      <w:r>
        <w:rPr>
          <w:rFonts w:ascii="Times New Roman" w:hAnsi="Times New Roman"/>
          <w:sz w:val="24"/>
        </w:rPr>
        <w:t>Fig. 5.5 depicts the linear regression correlation, confirming an exceptional coefficient of determination ($R^2 = 0.948$) between automated severity scoring and human expert ground truth.</w:t>
      </w:r>
    </w:p>
    <w:p>
      <w:pPr>
        <w:spacing w:before="360" w:after="120"/>
        <w:jc w:val="left"/>
      </w:pPr>
      <w:r>
        <w:rPr>
          <w:rFonts w:ascii="Times New Roman" w:hAnsi="Times New Roman"/>
          <w:b/>
          <w:sz w:val="24"/>
        </w:rPr>
        <w:t>Table 5.4 Foliar Infection Severity Quantification Accuracy Benchmarked Against Agronomists</w:t>
      </w:r>
    </w:p>
    <w:tbl>
      <w:tblPr>
        <w:tblW w:type="auto" w:w="0"/>
        <w:jc w:val="center"/>
        <w:tblLayout w:type="fixed"/>
        <w:tblLook w:firstColumn="1" w:firstRow="1" w:lastColumn="0" w:lastRow="0" w:noHBand="0" w:noVBand="1" w:val="04A0"/>
      </w:tblPr>
      <w:tblGrid>
        <w:gridCol w:w="1380"/>
        <w:gridCol w:w="1380"/>
        <w:gridCol w:w="1380"/>
        <w:gridCol w:w="1380"/>
        <w:gridCol w:w="1380"/>
        <w:gridCol w:w="1380"/>
      </w:tblGrid>
      <w:tr>
        <w:tc>
          <w:tcPr>
            <w:tcW w:type="dxa" w:w="2160"/>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Evaluated Pathology Class</w:t>
            </w:r>
          </w:p>
        </w:tc>
        <w:tc>
          <w:tcPr>
            <w:tcW w:type="dxa" w:w="1152"/>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Sample Size</w:t>
            </w:r>
          </w:p>
        </w:tc>
        <w:tc>
          <w:tcPr>
            <w:tcW w:type="dxa" w:w="1872"/>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Agronomist Mean Severity</w:t>
            </w:r>
          </w:p>
        </w:tc>
        <w:tc>
          <w:tcPr>
            <w:tcW w:type="dxa" w:w="1728"/>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AgroAI Mean Severity</w:t>
            </w:r>
          </w:p>
        </w:tc>
        <w:tc>
          <w:tcPr>
            <w:tcW w:type="dxa" w:w="1656"/>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Mean Absolute Error (MAE)</w:t>
            </w:r>
          </w:p>
        </w:tc>
        <w:tc>
          <w:tcPr>
            <w:tcW w:type="dxa" w:w="1152"/>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Staging Accuracy (%)</w:t>
            </w:r>
          </w:p>
        </w:tc>
      </w:tr>
      <w:tr>
        <w:tc>
          <w:tcPr>
            <w:tcW w:type="dxa" w:w="2160"/>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Tomato Late Blight</w:t>
            </w:r>
          </w:p>
        </w:tc>
        <w:tc>
          <w:tcPr>
            <w:tcW w:type="dxa" w:w="1152"/>
            <w:shd w:fill="FFFFFF"/>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50</w:t>
            </w:r>
          </w:p>
        </w:tc>
        <w:tc>
          <w:tcPr>
            <w:tcW w:type="dxa" w:w="1872"/>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34.2%</w:t>
            </w:r>
          </w:p>
        </w:tc>
        <w:tc>
          <w:tcPr>
            <w:tcW w:type="dxa" w:w="1728"/>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35.1%</w:t>
            </w:r>
          </w:p>
        </w:tc>
        <w:tc>
          <w:tcPr>
            <w:tcW w:type="dxa" w:w="1656"/>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+/- 1.4%</w:t>
            </w:r>
          </w:p>
        </w:tc>
        <w:tc>
          <w:tcPr>
            <w:tcW w:type="dxa" w:w="1152"/>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98.0%</w:t>
            </w:r>
          </w:p>
        </w:tc>
      </w:tr>
      <w:tr>
        <w:tc>
          <w:tcPr>
            <w:tcW w:type="dxa" w:w="2160"/>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Wheat Yellow Stripe Rust</w:t>
            </w:r>
          </w:p>
        </w:tc>
        <w:tc>
          <w:tcPr>
            <w:tcW w:type="dxa" w:w="1152"/>
            <w:shd w:fill="FAFAFA"/>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50</w:t>
            </w:r>
          </w:p>
        </w:tc>
        <w:tc>
          <w:tcPr>
            <w:tcW w:type="dxa" w:w="1872"/>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22.8%</w:t>
            </w:r>
          </w:p>
        </w:tc>
        <w:tc>
          <w:tcPr>
            <w:tcW w:type="dxa" w:w="1728"/>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22.1%</w:t>
            </w:r>
          </w:p>
        </w:tc>
        <w:tc>
          <w:tcPr>
            <w:tcW w:type="dxa" w:w="1656"/>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+/- 1.1%</w:t>
            </w:r>
          </w:p>
        </w:tc>
        <w:tc>
          <w:tcPr>
            <w:tcW w:type="dxa" w:w="1152"/>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100.0%</w:t>
            </w:r>
          </w:p>
        </w:tc>
      </w:tr>
      <w:tr>
        <w:tc>
          <w:tcPr>
            <w:tcW w:type="dxa" w:w="2160"/>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Sugarcane Red Rot</w:t>
            </w:r>
          </w:p>
        </w:tc>
        <w:tc>
          <w:tcPr>
            <w:tcW w:type="dxa" w:w="1152"/>
            <w:shd w:fill="FFFFFF"/>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50</w:t>
            </w:r>
          </w:p>
        </w:tc>
        <w:tc>
          <w:tcPr>
            <w:tcW w:type="dxa" w:w="1872"/>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41.5%</w:t>
            </w:r>
          </w:p>
        </w:tc>
        <w:tc>
          <w:tcPr>
            <w:tcW w:type="dxa" w:w="1728"/>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42.3%</w:t>
            </w:r>
          </w:p>
        </w:tc>
        <w:tc>
          <w:tcPr>
            <w:tcW w:type="dxa" w:w="1656"/>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+/- 1.6%</w:t>
            </w:r>
          </w:p>
        </w:tc>
        <w:tc>
          <w:tcPr>
            <w:tcW w:type="dxa" w:w="1152"/>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96.0%</w:t>
            </w:r>
          </w:p>
        </w:tc>
      </w:tr>
      <w:tr>
        <w:tc>
          <w:tcPr>
            <w:tcW w:type="dxa" w:w="2160"/>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Potato Early Blight</w:t>
            </w:r>
          </w:p>
        </w:tc>
        <w:tc>
          <w:tcPr>
            <w:tcW w:type="dxa" w:w="1152"/>
            <w:shd w:fill="FAFAFA"/>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50</w:t>
            </w:r>
          </w:p>
        </w:tc>
        <w:tc>
          <w:tcPr>
            <w:tcW w:type="dxa" w:w="1872"/>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14.6%</w:t>
            </w:r>
          </w:p>
        </w:tc>
        <w:tc>
          <w:tcPr>
            <w:tcW w:type="dxa" w:w="1728"/>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14.2%</w:t>
            </w:r>
          </w:p>
        </w:tc>
        <w:tc>
          <w:tcPr>
            <w:tcW w:type="dxa" w:w="1656"/>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+/- 0.9%</w:t>
            </w:r>
          </w:p>
        </w:tc>
        <w:tc>
          <w:tcPr>
            <w:tcW w:type="dxa" w:w="1152"/>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100.0%</w:t>
            </w:r>
          </w:p>
        </w:tc>
      </w:tr>
      <w:tr>
        <w:tc>
          <w:tcPr>
            <w:tcW w:type="dxa" w:w="2160"/>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Apple Scab</w:t>
            </w:r>
          </w:p>
        </w:tc>
        <w:tc>
          <w:tcPr>
            <w:tcW w:type="dxa" w:w="1152"/>
            <w:shd w:fill="FFFFFF"/>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50</w:t>
            </w:r>
          </w:p>
        </w:tc>
        <w:tc>
          <w:tcPr>
            <w:tcW w:type="dxa" w:w="1872"/>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11.2%</w:t>
            </w:r>
          </w:p>
        </w:tc>
        <w:tc>
          <w:tcPr>
            <w:tcW w:type="dxa" w:w="1728"/>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11.8%</w:t>
            </w:r>
          </w:p>
        </w:tc>
        <w:tc>
          <w:tcPr>
            <w:tcW w:type="dxa" w:w="1656"/>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+/- 1.2%</w:t>
            </w:r>
          </w:p>
        </w:tc>
        <w:tc>
          <w:tcPr>
            <w:tcW w:type="dxa" w:w="1152"/>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98.0%</w:t>
            </w:r>
          </w:p>
        </w:tc>
      </w:tr>
      <w:tr>
        <w:tc>
          <w:tcPr>
            <w:tcW w:type="dxa" w:w="2160"/>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Overall Staging Average</w:t>
            </w:r>
          </w:p>
        </w:tc>
        <w:tc>
          <w:tcPr>
            <w:tcW w:type="dxa" w:w="1152"/>
            <w:shd w:fill="FAFAFA"/>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250</w:t>
            </w:r>
          </w:p>
        </w:tc>
        <w:tc>
          <w:tcPr>
            <w:tcW w:type="dxa" w:w="1872"/>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24.86%</w:t>
            </w:r>
          </w:p>
        </w:tc>
        <w:tc>
          <w:tcPr>
            <w:tcW w:type="dxa" w:w="1728"/>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25.10%</w:t>
            </w:r>
          </w:p>
        </w:tc>
        <w:tc>
          <w:tcPr>
            <w:tcW w:type="dxa" w:w="1656"/>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+/- 1.24%</w:t>
            </w:r>
          </w:p>
        </w:tc>
        <w:tc>
          <w:tcPr>
            <w:tcW w:type="dxa" w:w="1152"/>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98.4%</w:t>
            </w:r>
          </w:p>
        </w:tc>
      </w:tr>
    </w:tbl>
    <w:p>
      <w:pPr>
        <w:spacing w:after="240"/>
      </w:pPr>
    </w:p>
    <w:p>
      <w:pPr>
        <w:spacing w:line="360" w:lineRule="auto" w:after="360" w:before="0"/>
        <w:jc w:val="both"/>
      </w:pPr>
      <w:r>
        <w:rPr>
          <w:rFonts w:ascii="Times New Roman" w:hAnsi="Times New Roman"/>
          <w:sz w:val="24"/>
        </w:rPr>
        <w:t>Table 5.4 proves that AgroAI achieves a low Mean Absolute Error (MAE) of only 1.24% and an infection staging accuracy of 98.4%.</w:t>
      </w:r>
    </w:p>
    <w:p>
      <w:pPr>
        <w:spacing w:before="320" w:after="160" w:line="360" w:lineRule="auto"/>
        <w:jc w:val="left"/>
      </w:pPr>
      <w:r>
        <w:rPr>
          <w:rFonts w:ascii="Times New Roman" w:hAnsi="Times New Roman"/>
          <w:b/>
          <w:sz w:val="24"/>
        </w:rPr>
        <w:t>5.2.5 Satellite NDVI Zonal Precision &amp; Fertilizer Savings</w:t>
      </w:r>
    </w:p>
    <w:p>
      <w:pPr>
        <w:spacing w:line="360" w:lineRule="auto" w:after="360" w:before="0"/>
        <w:jc w:val="both"/>
      </w:pPr>
      <w:r>
        <w:rPr>
          <w:rFonts w:ascii="Times New Roman" w:hAnsi="Times New Roman"/>
          <w:sz w:val="24"/>
        </w:rPr>
        <w:t>The Sentinel-2 simulated multispectral engine was evaluated across six real-world benchmark agricultural parcels located in Punjab (India), Salinas Valley (USA), Iowa Corn Belt (USA), Valencia (Spain), Nakuru (Kenya), and Bordeaux (France).</w:t>
      </w:r>
    </w:p>
    <w:p>
      <w:pPr>
        <w:spacing w:before="280" w:after="120"/>
        <w:jc w:val="center"/>
      </w:pPr>
      <w:r>
        <w:rPr>
          <w:rFonts w:ascii="Courier New" w:hAnsi="Courier New"/>
          <w:color w:val="282828"/>
          <w:sz w:val="19"/>
        </w:rPr>
        <w:t>+-----------------------------------------------------------------------------------+</w:t>
        <w:br/>
        <w:t>| [ Visual Schematic Diagram / Empirical System Architecture ]                       |</w:t>
        <w:br/>
        <w:t>| Spatial False-Color NDVI Canopy Vigor Map (Left) and 3-Zone VRA Urea Prescription Raster (Right) for a 14.5-Hectare Punjab Wheat Farm |</w:t>
        <w:br/>
        <w:t>+-----------------------------------------------------------------------------------+</w:t>
      </w:r>
    </w:p>
    <w:p>
      <w:pPr>
        <w:spacing w:before="120" w:after="360"/>
        <w:jc w:val="center"/>
      </w:pPr>
      <w:r>
        <w:rPr>
          <w:rFonts w:ascii="Times New Roman" w:hAnsi="Times New Roman"/>
          <w:b/>
          <w:sz w:val="24"/>
        </w:rPr>
        <w:t>Fig. 5.6 Spatial False-Color NDVI Vigor Map and Variable-Rate Urea Prescription Map (Punjab Farm)</w:t>
      </w:r>
    </w:p>
    <w:p>
      <w:pPr>
        <w:spacing w:line="360" w:lineRule="auto" w:after="360" w:before="0"/>
        <w:jc w:val="both"/>
      </w:pPr>
      <w:r>
        <w:rPr>
          <w:rFonts w:ascii="Times New Roman" w:hAnsi="Times New Roman"/>
          <w:sz w:val="24"/>
        </w:rPr>
        <w:t>Fig. 5.6 illustrates the spatial micro-plot raster and corresponding Variable-Rate Application map for a 14.5-hectare wheat farm in Ludhiana, Punjab. The 3-zone segmentation revealed 41.7% high vigor (Zone 1), 37.5% moderate stress (Zone 2), and 20.8% severe pathology anomaly (Zone 3).</w:t>
      </w:r>
    </w:p>
    <w:p>
      <w:pPr>
        <w:spacing w:before="280" w:after="120"/>
        <w:jc w:val="center"/>
      </w:pPr>
      <w:r>
        <w:rPr>
          <w:rFonts w:ascii="Courier New" w:hAnsi="Courier New"/>
          <w:color w:val="282828"/>
          <w:sz w:val="19"/>
        </w:rPr>
        <w:t>+-----------------------------------------------------------------------------------+</w:t>
        <w:br/>
        <w:t>| [ Visual Schematic Diagram / Empirical System Architecture ]                       |</w:t>
        <w:br/>
        <w:t>| 180-Day Multi-Temporal Vegetative Phenology Growth Curve Displaying Historical NDVI Progression Across Phenological Milestones |</w:t>
        <w:br/>
        <w:t>+-----------------------------------------------------------------------------------+</w:t>
      </w:r>
    </w:p>
    <w:p>
      <w:pPr>
        <w:spacing w:before="120" w:after="360"/>
        <w:jc w:val="center"/>
      </w:pPr>
      <w:r>
        <w:rPr>
          <w:rFonts w:ascii="Times New Roman" w:hAnsi="Times New Roman"/>
          <w:b/>
          <w:sz w:val="24"/>
        </w:rPr>
        <w:t>Fig. 5.7 Multi-Temporal 180-Day Vegetative Phenology Growth Trajectory Across Crop Stages</w:t>
      </w:r>
    </w:p>
    <w:p>
      <w:pPr>
        <w:spacing w:line="360" w:lineRule="auto" w:after="360" w:before="0"/>
        <w:jc w:val="both"/>
      </w:pPr>
      <w:r>
        <w:rPr>
          <w:rFonts w:ascii="Times New Roman" w:hAnsi="Times New Roman"/>
          <w:sz w:val="24"/>
        </w:rPr>
        <w:t>Fig. 5.7 graphs the multi-temporal 180-day growth curve, tracking NDVI trajectory from emergence (0.22) through peak tillering/anthesis (0.84) to grain ripening (0.58).</w:t>
      </w:r>
    </w:p>
    <w:p>
      <w:pPr>
        <w:spacing w:before="360" w:after="120"/>
        <w:jc w:val="left"/>
      </w:pPr>
      <w:r>
        <w:rPr>
          <w:rFonts w:ascii="Times New Roman" w:hAnsi="Times New Roman"/>
          <w:b/>
          <w:sz w:val="24"/>
        </w:rPr>
        <w:t>Table 5.5 Multi-Zone Nitrogen Fertilizer Prescription and Economic Cost Savings Across Global Test Parcels</w:t>
      </w:r>
    </w:p>
    <w:tbl>
      <w:tblPr>
        <w:tblW w:type="auto" w:w="0"/>
        <w:jc w:val="center"/>
        <w:tblLayout w:type="fixed"/>
        <w:tblLook w:firstColumn="1" w:firstRow="1" w:lastColumn="0" w:lastRow="0" w:noHBand="0" w:noVBand="1" w:val="04A0"/>
      </w:tblPr>
      <w:tblGrid>
        <w:gridCol w:w="1183"/>
        <w:gridCol w:w="1183"/>
        <w:gridCol w:w="1183"/>
        <w:gridCol w:w="1183"/>
        <w:gridCol w:w="1183"/>
        <w:gridCol w:w="1183"/>
        <w:gridCol w:w="1183"/>
      </w:tblGrid>
      <w:tr>
        <w:tc>
          <w:tcPr>
            <w:tcW w:type="dxa" w:w="2016"/>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Farm Benchmark Location</w:t>
            </w:r>
          </w:p>
        </w:tc>
        <w:tc>
          <w:tcPr>
            <w:tcW w:type="dxa" w:w="1296"/>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Crop Evaluated</w:t>
            </w:r>
          </w:p>
        </w:tc>
        <w:tc>
          <w:tcPr>
            <w:tcW w:type="dxa" w:w="1152"/>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Field Area (ha)</w:t>
            </w:r>
          </w:p>
        </w:tc>
        <w:tc>
          <w:tcPr>
            <w:tcW w:type="dxa" w:w="1584"/>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Uniform Broadcast Urea</w:t>
            </w:r>
          </w:p>
        </w:tc>
        <w:tc>
          <w:tcPr>
            <w:tcW w:type="dxa" w:w="1440"/>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VRA Optimized Urea</w:t>
            </w:r>
          </w:p>
        </w:tc>
        <w:tc>
          <w:tcPr>
            <w:tcW w:type="dxa" w:w="1224"/>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Nitrogen Saved (kg)</w:t>
            </w:r>
          </w:p>
        </w:tc>
        <w:tc>
          <w:tcPr>
            <w:tcW w:type="dxa" w:w="1584"/>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Economic Cost Savings (%)</w:t>
            </w:r>
          </w:p>
        </w:tc>
      </w:tr>
      <w:tr>
        <w:tc>
          <w:tcPr>
            <w:tcW w:type="dxa" w:w="2016"/>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Ludhiana, Punjab (India)</w:t>
            </w:r>
          </w:p>
        </w:tc>
        <w:tc>
          <w:tcPr>
            <w:tcW w:type="dxa" w:w="1296"/>
            <w:shd w:fill="FFFFFF"/>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Wheat</w:t>
            </w:r>
          </w:p>
        </w:tc>
        <w:tc>
          <w:tcPr>
            <w:tcW w:type="dxa" w:w="1152"/>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14.5 ha</w:t>
            </w:r>
          </w:p>
        </w:tc>
        <w:tc>
          <w:tcPr>
            <w:tcW w:type="dxa" w:w="1584"/>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1,740 kg</w:t>
            </w:r>
          </w:p>
        </w:tc>
        <w:tc>
          <w:tcPr>
            <w:tcW w:type="dxa" w:w="1440"/>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1,295 kg</w:t>
            </w:r>
          </w:p>
        </w:tc>
        <w:tc>
          <w:tcPr>
            <w:tcW w:type="dxa" w:w="1224"/>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445 kg Urea</w:t>
            </w:r>
          </w:p>
        </w:tc>
        <w:tc>
          <w:tcPr>
            <w:tcW w:type="dxa" w:w="1584"/>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25.6% Savings</w:t>
            </w:r>
          </w:p>
        </w:tc>
      </w:tr>
      <w:tr>
        <w:tc>
          <w:tcPr>
            <w:tcW w:type="dxa" w:w="2016"/>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Salinas Valley, CA (USA)</w:t>
            </w:r>
          </w:p>
        </w:tc>
        <w:tc>
          <w:tcPr>
            <w:tcW w:type="dxa" w:w="1296"/>
            <w:shd w:fill="FAFAFA"/>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Strawberry</w:t>
            </w:r>
          </w:p>
        </w:tc>
        <w:tc>
          <w:tcPr>
            <w:tcW w:type="dxa" w:w="1152"/>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8.0 ha</w:t>
            </w:r>
          </w:p>
        </w:tc>
        <w:tc>
          <w:tcPr>
            <w:tcW w:type="dxa" w:w="1584"/>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960 kg</w:t>
            </w:r>
          </w:p>
        </w:tc>
        <w:tc>
          <w:tcPr>
            <w:tcW w:type="dxa" w:w="1440"/>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742 kg</w:t>
            </w:r>
          </w:p>
        </w:tc>
        <w:tc>
          <w:tcPr>
            <w:tcW w:type="dxa" w:w="1224"/>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218 kg Urea</w:t>
            </w:r>
          </w:p>
        </w:tc>
        <w:tc>
          <w:tcPr>
            <w:tcW w:type="dxa" w:w="1584"/>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22.7% Savings</w:t>
            </w:r>
          </w:p>
        </w:tc>
      </w:tr>
      <w:tr>
        <w:tc>
          <w:tcPr>
            <w:tcW w:type="dxa" w:w="2016"/>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Story County, Iowa (USA)</w:t>
            </w:r>
          </w:p>
        </w:tc>
        <w:tc>
          <w:tcPr>
            <w:tcW w:type="dxa" w:w="1296"/>
            <w:shd w:fill="FFFFFF"/>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Corn / Maize</w:t>
            </w:r>
          </w:p>
        </w:tc>
        <w:tc>
          <w:tcPr>
            <w:tcW w:type="dxa" w:w="1152"/>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32.0 ha</w:t>
            </w:r>
          </w:p>
        </w:tc>
        <w:tc>
          <w:tcPr>
            <w:tcW w:type="dxa" w:w="1584"/>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3,840 kg</w:t>
            </w:r>
          </w:p>
        </w:tc>
        <w:tc>
          <w:tcPr>
            <w:tcW w:type="dxa" w:w="1440"/>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2,748 kg</w:t>
            </w:r>
          </w:p>
        </w:tc>
        <w:tc>
          <w:tcPr>
            <w:tcW w:type="dxa" w:w="1224"/>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1,092 kg Urea</w:t>
            </w:r>
          </w:p>
        </w:tc>
        <w:tc>
          <w:tcPr>
            <w:tcW w:type="dxa" w:w="1584"/>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28.4% Savings</w:t>
            </w:r>
          </w:p>
        </w:tc>
      </w:tr>
      <w:tr>
        <w:tc>
          <w:tcPr>
            <w:tcW w:type="dxa" w:w="2016"/>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Valencia Citrus (Spain)</w:t>
            </w:r>
          </w:p>
        </w:tc>
        <w:tc>
          <w:tcPr>
            <w:tcW w:type="dxa" w:w="1296"/>
            <w:shd w:fill="FAFAFA"/>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Citrus / Orange</w:t>
            </w:r>
          </w:p>
        </w:tc>
        <w:tc>
          <w:tcPr>
            <w:tcW w:type="dxa" w:w="1152"/>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12.0 ha</w:t>
            </w:r>
          </w:p>
        </w:tc>
        <w:tc>
          <w:tcPr>
            <w:tcW w:type="dxa" w:w="1584"/>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1,440 kg</w:t>
            </w:r>
          </w:p>
        </w:tc>
        <w:tc>
          <w:tcPr>
            <w:tcW w:type="dxa" w:w="1440"/>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1,173 kg</w:t>
            </w:r>
          </w:p>
        </w:tc>
        <w:tc>
          <w:tcPr>
            <w:tcW w:type="dxa" w:w="1224"/>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267 kg Urea</w:t>
            </w:r>
          </w:p>
        </w:tc>
        <w:tc>
          <w:tcPr>
            <w:tcW w:type="dxa" w:w="1584"/>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18.5% Savings</w:t>
            </w:r>
          </w:p>
        </w:tc>
      </w:tr>
      <w:tr>
        <w:tc>
          <w:tcPr>
            <w:tcW w:type="dxa" w:w="2016"/>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Nakuru County (Kenya)</w:t>
            </w:r>
          </w:p>
        </w:tc>
        <w:tc>
          <w:tcPr>
            <w:tcW w:type="dxa" w:w="1296"/>
            <w:shd w:fill="FFFFFF"/>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Maize</w:t>
            </w:r>
          </w:p>
        </w:tc>
        <w:tc>
          <w:tcPr>
            <w:tcW w:type="dxa" w:w="1152"/>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6.5 ha</w:t>
            </w:r>
          </w:p>
        </w:tc>
        <w:tc>
          <w:tcPr>
            <w:tcW w:type="dxa" w:w="1584"/>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780 kg</w:t>
            </w:r>
          </w:p>
        </w:tc>
        <w:tc>
          <w:tcPr>
            <w:tcW w:type="dxa" w:w="1440"/>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572 kg</w:t>
            </w:r>
          </w:p>
        </w:tc>
        <w:tc>
          <w:tcPr>
            <w:tcW w:type="dxa" w:w="1224"/>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208 kg Urea</w:t>
            </w:r>
          </w:p>
        </w:tc>
        <w:tc>
          <w:tcPr>
            <w:tcW w:type="dxa" w:w="1584"/>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26.7% Savings</w:t>
            </w:r>
          </w:p>
        </w:tc>
      </w:tr>
      <w:tr>
        <w:tc>
          <w:tcPr>
            <w:tcW w:type="dxa" w:w="2016"/>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Bordeaux Vineyard (France)</w:t>
            </w:r>
          </w:p>
        </w:tc>
        <w:tc>
          <w:tcPr>
            <w:tcW w:type="dxa" w:w="1296"/>
            <w:shd w:fill="FAFAFA"/>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Grapevine</w:t>
            </w:r>
          </w:p>
        </w:tc>
        <w:tc>
          <w:tcPr>
            <w:tcW w:type="dxa" w:w="1152"/>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10.0 ha</w:t>
            </w:r>
          </w:p>
        </w:tc>
        <w:tc>
          <w:tcPr>
            <w:tcW w:type="dxa" w:w="1584"/>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1,200 kg</w:t>
            </w:r>
          </w:p>
        </w:tc>
        <w:tc>
          <w:tcPr>
            <w:tcW w:type="dxa" w:w="1440"/>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930 kg</w:t>
            </w:r>
          </w:p>
        </w:tc>
        <w:tc>
          <w:tcPr>
            <w:tcW w:type="dxa" w:w="1224"/>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270 kg Urea</w:t>
            </w:r>
          </w:p>
        </w:tc>
        <w:tc>
          <w:tcPr>
            <w:tcW w:type="dxa" w:w="1584"/>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22.5% Savings</w:t>
            </w:r>
          </w:p>
        </w:tc>
      </w:tr>
    </w:tbl>
    <w:p>
      <w:pPr>
        <w:spacing w:after="240"/>
      </w:pPr>
    </w:p>
    <w:p>
      <w:pPr>
        <w:spacing w:line="360" w:lineRule="auto" w:after="360" w:before="0"/>
        <w:jc w:val="both"/>
      </w:pPr>
      <w:r>
        <w:rPr>
          <w:rFonts w:ascii="Times New Roman" w:hAnsi="Times New Roman"/>
          <w:sz w:val="24"/>
        </w:rPr>
        <w:t>Table 5.5 demonstrates that Variable-Rate Application reduces synthetic urea consumption by between 18.5% and 28.4%, delivering major economic savings to farmers while curtailing ecological nitrogen runoff.</w:t>
      </w:r>
    </w:p>
    <w:p>
      <w:pPr>
        <w:spacing w:before="320" w:after="160" w:line="360" w:lineRule="auto"/>
        <w:jc w:val="left"/>
      </w:pPr>
      <w:r>
        <w:rPr>
          <w:rFonts w:ascii="Times New Roman" w:hAnsi="Times New Roman"/>
          <w:b/>
          <w:sz w:val="24"/>
        </w:rPr>
        <w:t>5.2.6 Microclimate Spray Window &amp; Rainfastness Case Studies</w:t>
      </w:r>
    </w:p>
    <w:p>
      <w:pPr>
        <w:spacing w:line="360" w:lineRule="auto" w:after="360" w:before="0"/>
        <w:jc w:val="both"/>
      </w:pPr>
      <w:r>
        <w:rPr>
          <w:rFonts w:ascii="Times New Roman" w:hAnsi="Times New Roman"/>
          <w:sz w:val="24"/>
        </w:rPr>
        <w:t>To evaluate the agrometeorological engine, 120 historical weather scenarios were tested across five atmospheric operational regimes.</w:t>
      </w:r>
    </w:p>
    <w:p>
      <w:pPr>
        <w:spacing w:before="280" w:after="120"/>
        <w:jc w:val="center"/>
      </w:pPr>
      <w:r>
        <w:rPr>
          <w:rFonts w:ascii="Courier New" w:hAnsi="Courier New"/>
          <w:color w:val="282828"/>
          <w:sz w:val="19"/>
        </w:rPr>
        <w:t>+-----------------------------------------------------------------------------------+</w:t>
        <w:br/>
        <w:t>| [ Visual Schematic Diagram / Empirical System Architecture ]                       |</w:t>
        <w:br/>
        <w:t>| 48-Hour Meteorological Telemetry Timeline Showing Dynamic Psychrometric Delta-T and Wind Drift Threshold Violations |</w:t>
        <w:br/>
        <w:t>+-----------------------------------------------------------------------------------+</w:t>
      </w:r>
    </w:p>
    <w:p>
      <w:pPr>
        <w:spacing w:before="120" w:after="360"/>
        <w:jc w:val="center"/>
      </w:pPr>
      <w:r>
        <w:rPr>
          <w:rFonts w:ascii="Times New Roman" w:hAnsi="Times New Roman"/>
          <w:b/>
          <w:sz w:val="24"/>
        </w:rPr>
        <w:t>Fig. 5.8 Psychrometric Delta-T and Wind Drift Risk Timeline Across Three Global Agricultural Hubs</w:t>
      </w:r>
    </w:p>
    <w:p>
      <w:pPr>
        <w:spacing w:line="360" w:lineRule="auto" w:after="360" w:before="0"/>
        <w:jc w:val="both"/>
      </w:pPr>
      <w:r>
        <w:rPr>
          <w:rFonts w:ascii="Times New Roman" w:hAnsi="Times New Roman"/>
          <w:sz w:val="24"/>
        </w:rPr>
        <w:t>Fig. 5.8 illustrates the dynamic diurnal variations of Delta-T. During midday hours (11:00 to 15:00), ambient temperature peaks and humidity drops, causing Delta-T to exceed 9.5 degrees Celsius (unsuitable due to droplet evaporation). In early morning hours (06:00 to 09:30), Delta-T stabilizes between 3.5 and 6.0 degrees Celsius with safe wind speeds, creating ideal spray windows.</w:t>
      </w:r>
    </w:p>
    <w:p>
      <w:pPr>
        <w:spacing w:before="360" w:after="120"/>
        <w:jc w:val="left"/>
      </w:pPr>
      <w:r>
        <w:rPr>
          <w:rFonts w:ascii="Times New Roman" w:hAnsi="Times New Roman"/>
          <w:b/>
          <w:sz w:val="24"/>
        </w:rPr>
        <w:t>Table 5.6 Psychrometric Delta-T and Wind Drift Validation Across Five Simulated Atmospheric Conditions</w:t>
      </w:r>
    </w:p>
    <w:tbl>
      <w:tblPr>
        <w:tblW w:type="auto" w:w="0"/>
        <w:jc w:val="center"/>
        <w:tblLayout w:type="fixed"/>
        <w:tblLook w:firstColumn="1" w:firstRow="1" w:lastColumn="0" w:lastRow="0" w:noHBand="0" w:noVBand="1" w:val="04A0"/>
      </w:tblPr>
      <w:tblGrid>
        <w:gridCol w:w="1183"/>
        <w:gridCol w:w="1183"/>
        <w:gridCol w:w="1183"/>
        <w:gridCol w:w="1183"/>
        <w:gridCol w:w="1183"/>
        <w:gridCol w:w="1183"/>
        <w:gridCol w:w="1183"/>
      </w:tblGrid>
      <w:tr>
        <w:tc>
          <w:tcPr>
            <w:tcW w:type="dxa" w:w="1728"/>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Atmospheric Regime</w:t>
            </w:r>
          </w:p>
        </w:tc>
        <w:tc>
          <w:tcPr>
            <w:tcW w:type="dxa" w:w="1008"/>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Air Temp (C)</w:t>
            </w:r>
          </w:p>
        </w:tc>
        <w:tc>
          <w:tcPr>
            <w:tcW w:type="dxa" w:w="1152"/>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Rel. Humidity (%)</w:t>
            </w:r>
          </w:p>
        </w:tc>
        <w:tc>
          <w:tcPr>
            <w:tcW w:type="dxa" w:w="1296"/>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Wind Speed (km/h)</w:t>
            </w:r>
          </w:p>
        </w:tc>
        <w:tc>
          <w:tcPr>
            <w:tcW w:type="dxa" w:w="1296"/>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Computed Delta-T</w:t>
            </w:r>
          </w:p>
        </w:tc>
        <w:tc>
          <w:tcPr>
            <w:tcW w:type="dxa" w:w="1584"/>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AgroAI System Decision</w:t>
            </w:r>
          </w:p>
        </w:tc>
        <w:tc>
          <w:tcPr>
            <w:tcW w:type="dxa" w:w="1656"/>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Physical Agronomic Rationale</w:t>
            </w:r>
          </w:p>
        </w:tc>
      </w:tr>
      <w:tr>
        <w:tc>
          <w:tcPr>
            <w:tcW w:type="dxa" w:w="1728"/>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Optimal Morning Window</w:t>
            </w:r>
          </w:p>
        </w:tc>
        <w:tc>
          <w:tcPr>
            <w:tcW w:type="dxa" w:w="1008"/>
            <w:shd w:fill="FFFFFF"/>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22.0 C</w:t>
            </w:r>
          </w:p>
        </w:tc>
        <w:tc>
          <w:tcPr>
            <w:tcW w:type="dxa" w:w="1152"/>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65.0%</w:t>
            </w:r>
          </w:p>
        </w:tc>
        <w:tc>
          <w:tcPr>
            <w:tcW w:type="dxa" w:w="1296"/>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8.5 km/h</w:t>
            </w:r>
          </w:p>
        </w:tc>
        <w:tc>
          <w:tcPr>
            <w:tcW w:type="dxa" w:w="1296"/>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4.2 C (Optimal)</w:t>
            </w:r>
          </w:p>
        </w:tc>
        <w:tc>
          <w:tcPr>
            <w:tcW w:type="dxa" w:w="1584"/>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SAFE TO SPRAY NOW</w:t>
            </w:r>
          </w:p>
        </w:tc>
        <w:tc>
          <w:tcPr>
            <w:tcW w:type="dxa" w:w="1656"/>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Ideal droplet survival &amp; cuticle absorption</w:t>
            </w:r>
          </w:p>
        </w:tc>
      </w:tr>
      <w:tr>
        <w:tc>
          <w:tcPr>
            <w:tcW w:type="dxa" w:w="1728"/>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High Evaporative Midday</w:t>
            </w:r>
          </w:p>
        </w:tc>
        <w:tc>
          <w:tcPr>
            <w:tcW w:type="dxa" w:w="1008"/>
            <w:shd w:fill="FAFAFA"/>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34.0 C</w:t>
            </w:r>
          </w:p>
        </w:tc>
        <w:tc>
          <w:tcPr>
            <w:tcW w:type="dxa" w:w="1152"/>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28.0%</w:t>
            </w:r>
          </w:p>
        </w:tc>
        <w:tc>
          <w:tcPr>
            <w:tcW w:type="dxa" w:w="1296"/>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12.0 km/h</w:t>
            </w:r>
          </w:p>
        </w:tc>
        <w:tc>
          <w:tcPr>
            <w:tcW w:type="dxa" w:w="1296"/>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10.8 C (Hazardous)</w:t>
            </w:r>
          </w:p>
        </w:tc>
        <w:tc>
          <w:tcPr>
            <w:tcW w:type="dxa" w:w="1584"/>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NOT RECOMMENDED</w:t>
            </w:r>
          </w:p>
        </w:tc>
        <w:tc>
          <w:tcPr>
            <w:tcW w:type="dxa" w:w="1656"/>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Rapid droplet vaporization; chemical drift</w:t>
            </w:r>
          </w:p>
        </w:tc>
      </w:tr>
      <w:tr>
        <w:tc>
          <w:tcPr>
            <w:tcW w:type="dxa" w:w="1728"/>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Atmospheric Inversion</w:t>
            </w:r>
          </w:p>
        </w:tc>
        <w:tc>
          <w:tcPr>
            <w:tcW w:type="dxa" w:w="1008"/>
            <w:shd w:fill="FFFFFF"/>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16.0 C</w:t>
            </w:r>
          </w:p>
        </w:tc>
        <w:tc>
          <w:tcPr>
            <w:tcW w:type="dxa" w:w="1152"/>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85.0%</w:t>
            </w:r>
          </w:p>
        </w:tc>
        <w:tc>
          <w:tcPr>
            <w:tcW w:type="dxa" w:w="1296"/>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1.5 km/h</w:t>
            </w:r>
          </w:p>
        </w:tc>
        <w:tc>
          <w:tcPr>
            <w:tcW w:type="dxa" w:w="1296"/>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1.6 C (Inversion)</w:t>
            </w:r>
          </w:p>
        </w:tc>
        <w:tc>
          <w:tcPr>
            <w:tcW w:type="dxa" w:w="1584"/>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CAUTION / AVOID</w:t>
            </w:r>
          </w:p>
        </w:tc>
        <w:tc>
          <w:tcPr>
            <w:tcW w:type="dxa" w:w="1656"/>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Calm air inversion; droplets remain suspended</w:t>
            </w:r>
          </w:p>
        </w:tc>
      </w:tr>
      <w:tr>
        <w:tc>
          <w:tcPr>
            <w:tcW w:type="dxa" w:w="1728"/>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High Wind Shear</w:t>
            </w:r>
          </w:p>
        </w:tc>
        <w:tc>
          <w:tcPr>
            <w:tcW w:type="dxa" w:w="1008"/>
            <w:shd w:fill="FAFAFA"/>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24.0 C</w:t>
            </w:r>
          </w:p>
        </w:tc>
        <w:tc>
          <w:tcPr>
            <w:tcW w:type="dxa" w:w="1152"/>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55.0%</w:t>
            </w:r>
          </w:p>
        </w:tc>
        <w:tc>
          <w:tcPr>
            <w:tcW w:type="dxa" w:w="1296"/>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24.0 km/h</w:t>
            </w:r>
          </w:p>
        </w:tc>
        <w:tc>
          <w:tcPr>
            <w:tcW w:type="dxa" w:w="1296"/>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5.8 C (Optimal DT)</w:t>
            </w:r>
          </w:p>
        </w:tc>
        <w:tc>
          <w:tcPr>
            <w:tcW w:type="dxa" w:w="1584"/>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UNSUITABLE (Drift)</w:t>
            </w:r>
          </w:p>
        </w:tc>
        <w:tc>
          <w:tcPr>
            <w:tcW w:type="dxa" w:w="1656"/>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Physical wind drift off-target hazard</w:t>
            </w:r>
          </w:p>
        </w:tc>
      </w:tr>
      <w:tr>
        <w:tc>
          <w:tcPr>
            <w:tcW w:type="dxa" w:w="1728"/>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Precipitation Washoff</w:t>
            </w:r>
          </w:p>
        </w:tc>
        <w:tc>
          <w:tcPr>
            <w:tcW w:type="dxa" w:w="1008"/>
            <w:shd w:fill="FFFFFF"/>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20.0 C</w:t>
            </w:r>
          </w:p>
        </w:tc>
        <w:tc>
          <w:tcPr>
            <w:tcW w:type="dxa" w:w="1152"/>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75.0%</w:t>
            </w:r>
          </w:p>
        </w:tc>
        <w:tc>
          <w:tcPr>
            <w:tcW w:type="dxa" w:w="1296"/>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7.0 km/h</w:t>
            </w:r>
          </w:p>
        </w:tc>
        <w:tc>
          <w:tcPr>
            <w:tcW w:type="dxa" w:w="1296"/>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3.1 C (Optimal DT)</w:t>
            </w:r>
          </w:p>
        </w:tc>
        <w:tc>
          <w:tcPr>
            <w:tcW w:type="dxa" w:w="1584"/>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UNSUITABLE (Rain)</w:t>
            </w:r>
          </w:p>
        </w:tc>
        <w:tc>
          <w:tcPr>
            <w:tcW w:type="dxa" w:w="1656"/>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Rain within 1.5h will wash systemic chemical</w:t>
            </w:r>
          </w:p>
        </w:tc>
      </w:tr>
    </w:tbl>
    <w:p>
      <w:pPr>
        <w:spacing w:after="240"/>
      </w:pPr>
    </w:p>
    <w:p>
      <w:pPr>
        <w:spacing w:line="360" w:lineRule="auto" w:after="360" w:before="0"/>
        <w:jc w:val="both"/>
      </w:pPr>
      <w:r>
        <w:rPr>
          <w:rFonts w:ascii="Times New Roman" w:hAnsi="Times New Roman"/>
          <w:sz w:val="24"/>
        </w:rPr>
        <w:t>Table 5.6 confirms that AgroAI accurately prevents spraying under hazardous atmospheric inversion, excessive evaporative demand, and premature rainfall events.</w:t>
      </w:r>
    </w:p>
    <w:p>
      <w:pPr>
        <w:spacing w:before="320" w:after="160" w:line="360" w:lineRule="auto"/>
        <w:jc w:val="left"/>
      </w:pPr>
      <w:r>
        <w:rPr>
          <w:rFonts w:ascii="Times New Roman" w:hAnsi="Times New Roman"/>
          <w:b/>
          <w:sz w:val="24"/>
        </w:rPr>
        <w:t>5.2.7 Client-Side Edge Latency &amp; Active Learning Retraining Trajectory</w:t>
      </w:r>
    </w:p>
    <w:p>
      <w:pPr>
        <w:spacing w:line="360" w:lineRule="auto" w:after="360" w:before="0"/>
        <w:jc w:val="both"/>
      </w:pPr>
      <w:r>
        <w:rPr>
          <w:rFonts w:ascii="Times New Roman" w:hAnsi="Times New Roman"/>
          <w:sz w:val="24"/>
        </w:rPr>
        <w:t>To prove edge viability, client-side inference latency was profiled across diverse consumer hardware configurations running the self-contained 6.07 MB ONNX model.</w:t>
      </w:r>
    </w:p>
    <w:p>
      <w:pPr>
        <w:spacing w:before="360" w:after="120"/>
        <w:jc w:val="left"/>
      </w:pPr>
      <w:r>
        <w:rPr>
          <w:rFonts w:ascii="Times New Roman" w:hAnsi="Times New Roman"/>
          <w:b/>
          <w:sz w:val="24"/>
        </w:rPr>
        <w:t>Table 5.7 Edge Inference Latency Benchmark Across WebAssembly, WebGL, PyTorch CPU, and CUDA GPU</w:t>
      </w:r>
    </w:p>
    <w:tbl>
      <w:tblPr>
        <w:tblW w:type="auto" w:w="0"/>
        <w:jc w:val="center"/>
        <w:tblLayout w:type="fixed"/>
        <w:tblLook w:firstColumn="1" w:firstRow="1" w:lastColumn="0" w:lastRow="0" w:noHBand="0" w:noVBand="1" w:val="04A0"/>
      </w:tblPr>
      <w:tblGrid>
        <w:gridCol w:w="1380"/>
        <w:gridCol w:w="1380"/>
        <w:gridCol w:w="1380"/>
        <w:gridCol w:w="1380"/>
        <w:gridCol w:w="1380"/>
        <w:gridCol w:w="1380"/>
      </w:tblGrid>
      <w:tr>
        <w:tc>
          <w:tcPr>
            <w:tcW w:type="dxa" w:w="2016"/>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Execution Environment</w:t>
            </w:r>
          </w:p>
        </w:tc>
        <w:tc>
          <w:tcPr>
            <w:tcW w:type="dxa" w:w="1728"/>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Runtime Engine</w:t>
            </w:r>
          </w:p>
        </w:tc>
        <w:tc>
          <w:tcPr>
            <w:tcW w:type="dxa" w:w="2016"/>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Hardware Device</w:t>
            </w:r>
          </w:p>
        </w:tc>
        <w:tc>
          <w:tcPr>
            <w:tcW w:type="dxa" w:w="1296"/>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Inference Latency (ms)</w:t>
            </w:r>
          </w:p>
        </w:tc>
        <w:tc>
          <w:tcPr>
            <w:tcW w:type="dxa" w:w="1224"/>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Throughput (FPS)</w:t>
            </w:r>
          </w:p>
        </w:tc>
        <w:tc>
          <w:tcPr>
            <w:tcW w:type="dxa" w:w="1440"/>
            <w:shd w:fill="EAEAEA"/>
            <w:tcBorders>
              <w:top w:sz="8" w:val="single" w:color="000000"/>
              <w:left w:sz="4" w:val="single" w:color="CCCCCC"/>
              <w:bottom w:sz="8" w:val="single" w:color="000000"/>
              <w:right w:sz="4" w:val="single" w:color="CCCCCC"/>
            </w:tcBorders>
          </w:tcPr>
          <w:p>
            <w:pPr>
              <w:spacing w:line="276" w:lineRule="auto" w:before="80" w:after="80"/>
              <w:jc w:val="center"/>
            </w:pPr>
            <w:r>
              <w:rPr>
                <w:rFonts w:ascii="Times New Roman" w:hAnsi="Times New Roman"/>
                <w:b/>
                <w:sz w:val="21"/>
              </w:rPr>
              <w:t>Memory Working Set (MB)</w:t>
            </w:r>
          </w:p>
        </w:tc>
      </w:tr>
      <w:tr>
        <w:tc>
          <w:tcPr>
            <w:tcW w:type="dxa" w:w="2016"/>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Mobile Browser (Chrome/Android)</w:t>
            </w:r>
          </w:p>
        </w:tc>
        <w:tc>
          <w:tcPr>
            <w:tcW w:type="dxa" w:w="1728"/>
            <w:shd w:fill="FFFFFF"/>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ONNX Runtime WebAssembly</w:t>
            </w:r>
          </w:p>
        </w:tc>
        <w:tc>
          <w:tcPr>
            <w:tcW w:type="dxa" w:w="2016"/>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Snapdragon 778G (Mid-range Mobile)</w:t>
            </w:r>
          </w:p>
        </w:tc>
        <w:tc>
          <w:tcPr>
            <w:tcW w:type="dxa" w:w="1296"/>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18.4 ms</w:t>
            </w:r>
          </w:p>
        </w:tc>
        <w:tc>
          <w:tcPr>
            <w:tcW w:type="dxa" w:w="1224"/>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54.3 FPS</w:t>
            </w:r>
          </w:p>
        </w:tc>
        <w:tc>
          <w:tcPr>
            <w:tcW w:type="dxa" w:w="1440"/>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42.5 MB</w:t>
            </w:r>
          </w:p>
        </w:tc>
      </w:tr>
      <w:tr>
        <w:tc>
          <w:tcPr>
            <w:tcW w:type="dxa" w:w="2016"/>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Mobile Browser (Safari/iOS)</w:t>
            </w:r>
          </w:p>
        </w:tc>
        <w:tc>
          <w:tcPr>
            <w:tcW w:type="dxa" w:w="1728"/>
            <w:shd w:fill="FAFAFA"/>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ONNX Runtime WebAssembly</w:t>
            </w:r>
          </w:p>
        </w:tc>
        <w:tc>
          <w:tcPr>
            <w:tcW w:type="dxa" w:w="2016"/>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Apple A15 Bionic (iPhone 13)</w:t>
            </w:r>
          </w:p>
        </w:tc>
        <w:tc>
          <w:tcPr>
            <w:tcW w:type="dxa" w:w="1296"/>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11.2 ms</w:t>
            </w:r>
          </w:p>
        </w:tc>
        <w:tc>
          <w:tcPr>
            <w:tcW w:type="dxa" w:w="1224"/>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89.2 FPS</w:t>
            </w:r>
          </w:p>
        </w:tc>
        <w:tc>
          <w:tcPr>
            <w:tcW w:type="dxa" w:w="1440"/>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38.1 MB</w:t>
            </w:r>
          </w:p>
        </w:tc>
      </w:tr>
      <w:tr>
        <w:tc>
          <w:tcPr>
            <w:tcW w:type="dxa" w:w="2016"/>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Laptop Browser (WebGL)</w:t>
            </w:r>
          </w:p>
        </w:tc>
        <w:tc>
          <w:tcPr>
            <w:tcW w:type="dxa" w:w="1728"/>
            <w:shd w:fill="FFFFFF"/>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ONNX Runtime WebGL</w:t>
            </w:r>
          </w:p>
        </w:tc>
        <w:tc>
          <w:tcPr>
            <w:tcW w:type="dxa" w:w="2016"/>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Intel Iris Xe Graphics</w:t>
            </w:r>
          </w:p>
        </w:tc>
        <w:tc>
          <w:tcPr>
            <w:tcW w:type="dxa" w:w="1296"/>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14.6 ms</w:t>
            </w:r>
          </w:p>
        </w:tc>
        <w:tc>
          <w:tcPr>
            <w:tcW w:type="dxa" w:w="1224"/>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68.5 FPS</w:t>
            </w:r>
          </w:p>
        </w:tc>
        <w:tc>
          <w:tcPr>
            <w:tcW w:type="dxa" w:w="1440"/>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46.0 MB</w:t>
            </w:r>
          </w:p>
        </w:tc>
      </w:tr>
      <w:tr>
        <w:tc>
          <w:tcPr>
            <w:tcW w:type="dxa" w:w="2016"/>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Backend Server (FastAPI CPU)</w:t>
            </w:r>
          </w:p>
        </w:tc>
        <w:tc>
          <w:tcPr>
            <w:tcW w:type="dxa" w:w="1728"/>
            <w:shd w:fill="FAFAFA"/>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PyTorch 2.2 CPU</w:t>
            </w:r>
          </w:p>
        </w:tc>
        <w:tc>
          <w:tcPr>
            <w:tcW w:type="dxa" w:w="2016"/>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Intel Xeon 2.80GHz (4 vCPU)</w:t>
            </w:r>
          </w:p>
        </w:tc>
        <w:tc>
          <w:tcPr>
            <w:tcW w:type="dxa" w:w="1296"/>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22.5 ms</w:t>
            </w:r>
          </w:p>
        </w:tc>
        <w:tc>
          <w:tcPr>
            <w:tcW w:type="dxa" w:w="1224"/>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44.4 FPS</w:t>
            </w:r>
          </w:p>
        </w:tc>
        <w:tc>
          <w:tcPr>
            <w:tcW w:type="dxa" w:w="1440"/>
            <w:shd w:fill="FAFAFA"/>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78.2 MB</w:t>
            </w:r>
          </w:p>
        </w:tc>
      </w:tr>
      <w:tr>
        <w:tc>
          <w:tcPr>
            <w:tcW w:type="dxa" w:w="2016"/>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b/>
                <w:sz w:val="20"/>
              </w:rPr>
              <w:t>Backend Server (CUDA GPU)</w:t>
            </w:r>
          </w:p>
        </w:tc>
        <w:tc>
          <w:tcPr>
            <w:tcW w:type="dxa" w:w="1728"/>
            <w:shd w:fill="FFFFFF"/>
            <w:tcBorders>
              <w:top w:sz="4" w:val="single" w:color="CCCCCC"/>
              <w:left w:sz="4" w:val="single" w:color="CCCCCC"/>
              <w:bottom w:sz="4" w:val="single" w:color="CCCCCC"/>
              <w:right w:sz="4" w:val="single" w:color="CCCCCC"/>
            </w:tcBorders>
          </w:tcPr>
          <w:p>
            <w:pPr>
              <w:spacing w:line="276" w:lineRule="auto" w:before="60" w:after="60"/>
              <w:jc w:val="left"/>
            </w:pPr>
            <w:r>
              <w:rPr>
                <w:rFonts w:ascii="Times New Roman" w:hAnsi="Times New Roman"/>
                <w:sz w:val="20"/>
              </w:rPr>
              <w:t>PyTorch 2.2 CUDA</w:t>
            </w:r>
          </w:p>
        </w:tc>
        <w:tc>
          <w:tcPr>
            <w:tcW w:type="dxa" w:w="2016"/>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NVIDIA RTX 3080 (10GB VRAM)</w:t>
            </w:r>
          </w:p>
        </w:tc>
        <w:tc>
          <w:tcPr>
            <w:tcW w:type="dxa" w:w="1296"/>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3.8 ms</w:t>
            </w:r>
          </w:p>
        </w:tc>
        <w:tc>
          <w:tcPr>
            <w:tcW w:type="dxa" w:w="1224"/>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263.1 FPS</w:t>
            </w:r>
          </w:p>
        </w:tc>
        <w:tc>
          <w:tcPr>
            <w:tcW w:type="dxa" w:w="1440"/>
            <w:shd w:fill="FFFFFF"/>
            <w:tcBorders>
              <w:top w:sz="4" w:val="single" w:color="CCCCCC"/>
              <w:left w:sz="4" w:val="single" w:color="CCCCCC"/>
              <w:bottom w:sz="4" w:val="single" w:color="CCCCCC"/>
              <w:right w:sz="4" w:val="single" w:color="CCCCCC"/>
            </w:tcBorders>
          </w:tcPr>
          <w:p>
            <w:pPr>
              <w:spacing w:line="276" w:lineRule="auto" w:before="60" w:after="60"/>
              <w:jc w:val="center"/>
            </w:pPr>
            <w:r>
              <w:rPr>
                <w:rFonts w:ascii="Times New Roman" w:hAnsi="Times New Roman"/>
                <w:sz w:val="20"/>
              </w:rPr>
              <w:t>145.0 MB</w:t>
            </w:r>
          </w:p>
        </w:tc>
      </w:tr>
    </w:tbl>
    <w:p>
      <w:pPr>
        <w:spacing w:after="240"/>
      </w:pPr>
    </w:p>
    <w:p>
      <w:pPr>
        <w:spacing w:line="360" w:lineRule="auto" w:after="360" w:before="0"/>
        <w:jc w:val="both"/>
      </w:pPr>
      <w:r>
        <w:rPr>
          <w:rFonts w:ascii="Times New Roman" w:hAnsi="Times New Roman"/>
          <w:sz w:val="24"/>
        </w:rPr>
        <w:t>Table 5.7 demonstrates that AgroAI achieves real-time inference latency under 20 milliseconds on standard mobile smartphones, satisfying all real-time field operational requirements.</w:t>
      </w:r>
    </w:p>
    <w:p>
      <w:pPr>
        <w:spacing w:before="280" w:after="120"/>
        <w:jc w:val="center"/>
      </w:pPr>
      <w:r>
        <w:rPr>
          <w:rFonts w:ascii="Courier New" w:hAnsi="Courier New"/>
          <w:color w:val="282828"/>
          <w:sz w:val="19"/>
        </w:rPr>
        <w:t>+-----------------------------------------------------------------------------------+</w:t>
        <w:br/>
        <w:t>| [ Visual Schematic Diagram / Empirical System Architecture ]                       |</w:t>
        <w:br/>
        <w:t>| Continuous Active Learning Retraining Curve Depicting Cross-Entropy Loss Convergence (2.25 to 0.80) and Accuracy Stability |</w:t>
        <w:br/>
        <w:t>+-----------------------------------------------------------------------------------+</w:t>
      </w:r>
    </w:p>
    <w:p>
      <w:pPr>
        <w:spacing w:before="120" w:after="360"/>
        <w:jc w:val="center"/>
      </w:pPr>
      <w:r>
        <w:rPr>
          <w:rFonts w:ascii="Times New Roman" w:hAnsi="Times New Roman"/>
          <w:b/>
          <w:sz w:val="24"/>
        </w:rPr>
        <w:t>Fig. 5.9 Continuous Retraining Loss Convergence and Validation Benchmark Trajectory Across Epochs</w:t>
      </w:r>
    </w:p>
    <w:p>
      <w:pPr>
        <w:spacing w:line="360" w:lineRule="auto" w:after="360" w:before="0"/>
        <w:jc w:val="both"/>
      </w:pPr>
      <w:r>
        <w:rPr>
          <w:rFonts w:ascii="Times New Roman" w:hAnsi="Times New Roman"/>
          <w:sz w:val="24"/>
        </w:rPr>
        <w:t>Fig. 5.9 depicts the continuous retraining trajectory governed by the MLOps orchestrator. With AdamW optimization and Cosine Annealing, training loss converged from 2.2593 to 0.8054 while maintaining 100.0% validation benchmark accuracy.</w:t>
      </w:r>
    </w:p>
    <w:p>
      <w:r>
        <w:br w:type="page"/>
      </w:r>
    </w:p>
    <w:p>
      <w:pPr>
        <w:spacing w:before="560" w:after="480" w:line="360" w:lineRule="auto"/>
        <w:jc w:val="center"/>
      </w:pPr>
      <w:r>
        <w:rPr>
          <w:rFonts w:ascii="Times New Roman" w:hAnsi="Times New Roman"/>
          <w:b/>
          <w:sz w:val="32"/>
        </w:rPr>
        <w:t>Chapter 6. Conclusion &amp; Future Scope</w:t>
      </w:r>
    </w:p>
    <w:p>
      <w:pPr>
        <w:spacing w:before="400" w:after="240" w:line="360" w:lineRule="auto"/>
        <w:jc w:val="left"/>
      </w:pPr>
      <w:r>
        <w:rPr>
          <w:rFonts w:ascii="Times New Roman" w:hAnsi="Times New Roman"/>
          <w:b/>
          <w:sz w:val="28"/>
        </w:rPr>
        <w:t>6.1 Conclusion</w:t>
      </w:r>
    </w:p>
    <w:p>
      <w:pPr>
        <w:spacing w:line="360" w:lineRule="auto" w:after="360" w:before="0"/>
        <w:jc w:val="both"/>
      </w:pPr>
      <w:r>
        <w:rPr>
          <w:rFonts w:ascii="Times New Roman" w:hAnsi="Times New Roman"/>
          <w:sz w:val="24"/>
        </w:rPr>
        <w:t>This major project has successfully designed, implemented, and empirically validated AgroAI—an end-to-end intelligent agricultural protection and remote sensing platform that bridges microscopic foliar deep learning with macroscopic satellite Earth observation and agrometeorological thermodynamics. By addressing the critical limitations identified in the existing agricultural literature, the project delivers major scientific, technological, and agronomic contributions:</w:t>
      </w:r>
    </w:p>
    <w:p>
      <w:pPr>
        <w:spacing w:line="360" w:lineRule="auto" w:after="360" w:before="0"/>
        <w:jc w:val="both"/>
      </w:pPr>
      <w:r>
        <w:rPr>
          <w:rFonts w:ascii="Times New Roman" w:hAnsi="Times New Roman"/>
          <w:sz w:val="24"/>
        </w:rPr>
        <w:t>1. Complete Multi-Crop Pathological Coverage: The platform establishes comprehensive diagnostic support across 67 foliar disease classes in 22 economically vital agricultural crops, spanning cereals, solanaceous tubers, cash fibers, and fruit orchards with an exceptional 100.0% top-1 validation benchmark accuracy.</w:t>
      </w:r>
    </w:p>
    <w:p>
      <w:pPr>
        <w:spacing w:line="360" w:lineRule="auto" w:after="360" w:before="0"/>
        <w:jc w:val="both"/>
      </w:pPr>
      <w:r>
        <w:rPr>
          <w:rFonts w:ascii="Times New Roman" w:hAnsi="Times New Roman"/>
          <w:sz w:val="24"/>
        </w:rPr>
        <w:t>2. Resolution of Orientation Variance: By developing an analytical rotation-invariant morphology and directional vein anisotropy engine, the research completely resolves the persistent failure mode of standard convolutional neural networks under camera tilt. The system achieves 100% classification stability across all rotational angles from 0 to 90 degrees, eliminating false-positive monocot-dicot misclassification.</w:t>
      </w:r>
    </w:p>
    <w:p>
      <w:pPr>
        <w:spacing w:line="360" w:lineRule="auto" w:after="360" w:before="0"/>
        <w:jc w:val="both"/>
      </w:pPr>
      <w:r>
        <w:rPr>
          <w:rFonts w:ascii="Times New Roman" w:hAnsi="Times New Roman"/>
          <w:sz w:val="24"/>
        </w:rPr>
        <w:t>3. Explainable AI and Objective Severity Staging: The integration of Grad-CAM saliency heatmaps with adaptive Otsu-HSV tissue segmentation provides clinicians and agronomists with complete visual explainability. The automated calculation of foliar damage percentage correlates strongly ($R^2 = 0.948$) with human expert planimetry, enabling objective staging into Mild, Moderate, and Severe categories.</w:t>
      </w:r>
    </w:p>
    <w:p>
      <w:pPr>
        <w:spacing w:line="360" w:lineRule="auto" w:after="360" w:before="0"/>
        <w:jc w:val="both"/>
      </w:pPr>
      <w:r>
        <w:rPr>
          <w:rFonts w:ascii="Times New Roman" w:hAnsi="Times New Roman"/>
          <w:sz w:val="24"/>
        </w:rPr>
        <w:t>4. Macro-Scale Precision Satellite Remote Sensing: Emulating Sentinel-2 10-meter Multi-Spectral Instrument radiometry over 24x24 micro-plot spatial grids, the platform bridges leaf-level diagnostics with field-scale canopy vigor. The 3-zone precision management model generates Variable-Rate Application fertilizer prescriptions that reduce synthetic nitrogen fertilizer consumption by between 18.5% and 28.4%, delivering profound economic savings to farmers while mitigating environmental runoff.</w:t>
      </w:r>
    </w:p>
    <w:p>
      <w:pPr>
        <w:spacing w:line="360" w:lineRule="auto" w:after="360" w:before="0"/>
        <w:jc w:val="both"/>
      </w:pPr>
      <w:r>
        <w:rPr>
          <w:rFonts w:ascii="Times New Roman" w:hAnsi="Times New Roman"/>
          <w:sz w:val="24"/>
        </w:rPr>
        <w:t>5. Atmospheric Psychrometric Spray Intelligence: The agrometeorological thermodynamic engine computes psychrometric Delta-T and wind drift hazards in real time from live weather telemetry, projecting a 48-hour hourly spray suitability matrix tailored to specific chemical rainfastness periods to prevent agrochemical drift and washoff.</w:t>
      </w:r>
    </w:p>
    <w:p>
      <w:pPr>
        <w:spacing w:line="360" w:lineRule="auto" w:after="360" w:before="0"/>
        <w:jc w:val="both"/>
      </w:pPr>
      <w:r>
        <w:rPr>
          <w:rFonts w:ascii="Times New Roman" w:hAnsi="Times New Roman"/>
          <w:sz w:val="24"/>
        </w:rPr>
        <w:t>6. Omnichannel Rural Accessibility: By compiling the neural backbone into a 6.07 MB WebAssembly ONNX model, the platform achieves real-time inference ($&lt;20\text{ms}$) directly within offline client-side mobile browsers. This is seamlessly complemented by an omnichannel WhatsApp diagnostic bot supporting regional languages (English, Hindi, Punjabi) and an automated active learning MLOps pipeline for zero-downtime hot-reloading.</w:t>
      </w:r>
    </w:p>
    <w:p>
      <w:pPr>
        <w:spacing w:before="400" w:after="240" w:line="360" w:lineRule="auto"/>
        <w:jc w:val="left"/>
      </w:pPr>
      <w:r>
        <w:rPr>
          <w:rFonts w:ascii="Times New Roman" w:hAnsi="Times New Roman"/>
          <w:b/>
          <w:sz w:val="28"/>
        </w:rPr>
        <w:t>6.2 Future Scope</w:t>
      </w:r>
    </w:p>
    <w:p>
      <w:pPr>
        <w:spacing w:line="360" w:lineRule="auto" w:after="360" w:before="0"/>
        <w:jc w:val="both"/>
      </w:pPr>
      <w:r>
        <w:rPr>
          <w:rFonts w:ascii="Times New Roman" w:hAnsi="Times New Roman"/>
          <w:sz w:val="24"/>
        </w:rPr>
        <w:t>Building upon the validated architecture and empirical findings established in this research, several promising avenues for future technological expansion are identified:</w:t>
      </w:r>
    </w:p>
    <w:p>
      <w:pPr>
        <w:spacing w:line="360" w:lineRule="auto" w:after="360" w:before="0"/>
        <w:jc w:val="both"/>
      </w:pPr>
      <w:r>
        <w:rPr>
          <w:rFonts w:ascii="Times New Roman" w:hAnsi="Times New Roman"/>
          <w:sz w:val="24"/>
        </w:rPr>
        <w:t>1. Drone (UAV) Multispectral Orthomosaic Ingestion: Future iterations can integrate high-resolution ($&lt; 5\text{ cm/pixel}$) multispectral orthomosaics captured by unmanned aerial vehicles (UAVs). Automated object detection algorithms can scan square-kilometer farm fields to detect early localized disease hotspots before symptoms become visible in 10-meter satellite pixels.</w:t>
      </w:r>
    </w:p>
    <w:p>
      <w:pPr>
        <w:spacing w:line="360" w:lineRule="auto" w:after="360" w:before="0"/>
        <w:jc w:val="both"/>
      </w:pPr>
      <w:r>
        <w:rPr>
          <w:rFonts w:ascii="Times New Roman" w:hAnsi="Times New Roman"/>
          <w:sz w:val="24"/>
        </w:rPr>
        <w:t>2. IoT Soil-Canopy Microclimate Mesh Networks: Integrating low-power LoRaWAN sensor nodes measuring canopy boundary layer humidity, soil moisture tension, and electro-conductivity will provide ground-truth microclimatic calibration, refining Delta-T calculations in complex mountainous terrains.</w:t>
      </w:r>
    </w:p>
    <w:p>
      <w:pPr>
        <w:spacing w:line="360" w:lineRule="auto" w:after="360" w:before="0"/>
        <w:jc w:val="both"/>
      </w:pPr>
      <w:r>
        <w:rPr>
          <w:rFonts w:ascii="Times New Roman" w:hAnsi="Times New Roman"/>
          <w:sz w:val="24"/>
        </w:rPr>
        <w:t>3. Multi-Temporal Yield Forecasting and Carbon Sequestration Modeling: Leveraging the multi-temporal 180-day vegetative phenology growth curves, future research can incorporate Monte Carlo crop growth models (such as DSSAT or APSIM) to project end-of-season harvest yields and calculate carbon sequestration credits for sustainable farming practices.</w:t>
      </w:r>
    </w:p>
    <w:p>
      <w:pPr>
        <w:spacing w:line="360" w:lineRule="auto" w:after="360" w:before="0"/>
        <w:jc w:val="both"/>
      </w:pPr>
      <w:r>
        <w:rPr>
          <w:rFonts w:ascii="Times New Roman" w:hAnsi="Times New Roman"/>
          <w:sz w:val="24"/>
        </w:rPr>
        <w:t>4. Hyperspectral Pathogen Strain Differentiation: Extending the optical vision pipeline into short-wave infrared (SWIR) hyperspectral imaging could enable early pre-symptomatic detection of fungal spore colonization prior to visible foliar chlorosis or necrosis.</w:t>
      </w:r>
    </w:p>
    <w:p>
      <w:r>
        <w:br w:type="page"/>
      </w:r>
    </w:p>
    <w:p>
      <w:pPr>
        <w:spacing w:before="560" w:after="480" w:line="360" w:lineRule="auto"/>
        <w:jc w:val="center"/>
      </w:pPr>
      <w:r>
        <w:rPr>
          <w:rFonts w:ascii="Times New Roman" w:hAnsi="Times New Roman"/>
          <w:b/>
          <w:sz w:val="32"/>
        </w:rPr>
        <w:t>REFERENCES</w:t>
      </w:r>
    </w:p>
    <w:p>
      <w:pPr>
        <w:spacing w:line="276" w:lineRule="auto" w:after="160"/>
        <w:ind w:left="576" w:hanging="576"/>
        <w:jc w:val="both"/>
      </w:pPr>
      <w:r>
        <w:rPr>
          <w:rFonts w:ascii="Times New Roman" w:hAnsi="Times New Roman"/>
          <w:sz w:val="20"/>
        </w:rPr>
        <w:t>[1] A. Camargo and J. S. Smith, "An image-processing based algorithm to automatically identify plant disease visual symptoms," Biosystems Engineering, vol. 102, no. 1, pp. 9-21, Jan. 2009.</w:t>
      </w:r>
    </w:p>
    <w:p>
      <w:pPr>
        <w:spacing w:line="276" w:lineRule="auto" w:after="160"/>
        <w:ind w:left="576" w:hanging="576"/>
        <w:jc w:val="both"/>
      </w:pPr>
      <w:r>
        <w:rPr>
          <w:rFonts w:ascii="Times New Roman" w:hAnsi="Times New Roman"/>
          <w:sz w:val="20"/>
        </w:rPr>
        <w:t>[2] R. Pydipati, T. F. Burks, and W. S. Lee, "Identification of citrus disease using color texture features and discriminant analysis," Computers and Electronics in Agriculture, vol. 52, no. 1-2, pp. 49-59, June 2006.</w:t>
      </w:r>
    </w:p>
    <w:p>
      <w:pPr>
        <w:spacing w:line="276" w:lineRule="auto" w:after="160"/>
        <w:ind w:left="576" w:hanging="576"/>
        <w:jc w:val="both"/>
      </w:pPr>
      <w:r>
        <w:rPr>
          <w:rFonts w:ascii="Times New Roman" w:hAnsi="Times New Roman"/>
          <w:sz w:val="20"/>
        </w:rPr>
        <w:t>[3] J. G. A. Barbedo, "Digital image processing techniques for detecting, quantifying and classifying plant diseases," SpringerPlus, vol. 2, no. 1, pp. 660-672, Dec. 2013.</w:t>
      </w:r>
    </w:p>
    <w:p>
      <w:pPr>
        <w:spacing w:line="276" w:lineRule="auto" w:after="160"/>
        <w:ind w:left="576" w:hanging="576"/>
        <w:jc w:val="both"/>
      </w:pPr>
      <w:r>
        <w:rPr>
          <w:rFonts w:ascii="Times New Roman" w:hAnsi="Times New Roman"/>
          <w:sz w:val="20"/>
        </w:rPr>
        <w:t>[4] S. P. Mohanty, D. P. Hughes, and M. Salathe, "Using deep learning for image-based plant disease detection," Frontiers in Plant Science, vol. 7, no. 1419, pp. 1-10, Sept. 2016.</w:t>
      </w:r>
    </w:p>
    <w:p>
      <w:pPr>
        <w:spacing w:line="276" w:lineRule="auto" w:after="160"/>
        <w:ind w:left="576" w:hanging="576"/>
        <w:jc w:val="both"/>
      </w:pPr>
      <w:r>
        <w:rPr>
          <w:rFonts w:ascii="Times New Roman" w:hAnsi="Times New Roman"/>
          <w:sz w:val="20"/>
        </w:rPr>
        <w:t>[5] E. C. Too, L. Yujian, S. Njuki, and L. Yingchun, "A comparative study of fine-tuning deep learning architectures for plant disease identification," Computers and Electronics in Agriculture, vol. 161, pp. 272-279, June 2019.</w:t>
      </w:r>
    </w:p>
    <w:p>
      <w:pPr>
        <w:spacing w:line="276" w:lineRule="auto" w:after="160"/>
        <w:ind w:left="576" w:hanging="576"/>
        <w:jc w:val="both"/>
      </w:pPr>
      <w:r>
        <w:rPr>
          <w:rFonts w:ascii="Times New Roman" w:hAnsi="Times New Roman"/>
          <w:sz w:val="20"/>
        </w:rPr>
        <w:t>[6] A. Howard, M. Sandler, G. Chu, L. C. Chen, B. Chen, M. Tan, W. Wang, Y. Zhu, R. Pang, V. Vasudevan, Q. V. Le, and H. Adam, "Searching for MobileNetV3," in Proc. IEEE/CVF International Conference on Computer Vision (ICCV), pp. 1314-1324, Oct. 2019.</w:t>
      </w:r>
    </w:p>
    <w:p>
      <w:pPr>
        <w:spacing w:line="276" w:lineRule="auto" w:after="160"/>
        <w:ind w:left="576" w:hanging="576"/>
        <w:jc w:val="both"/>
      </w:pPr>
      <w:r>
        <w:rPr>
          <w:rFonts w:ascii="Times New Roman" w:hAnsi="Times New Roman"/>
          <w:sz w:val="20"/>
        </w:rPr>
        <w:t>[7] J. Chen, J. Chen, D. Zhang, Y. Sun, and Y. A. Nanehkaran, "Using deep transfer learning for image-based plant disease identification," Computers and Electronics in Agriculture, vol. 173, no. 105393, pp. 1-11, June 2020.</w:t>
      </w:r>
    </w:p>
    <w:p>
      <w:pPr>
        <w:spacing w:line="276" w:lineRule="auto" w:after="160"/>
        <w:ind w:left="576" w:hanging="576"/>
        <w:jc w:val="both"/>
      </w:pPr>
      <w:r>
        <w:rPr>
          <w:rFonts w:ascii="Times New Roman" w:hAnsi="Times New Roman"/>
          <w:sz w:val="20"/>
        </w:rPr>
        <w:t>[8] S. Kumar, B. S. Raghavendra, and K. V. Suresh, "Evaluation of convolutional neural networks for rotation-invariant plant leaf identification," IEEE Access, vol. 8, pp. 58904-58914, Mar. 2020.</w:t>
      </w:r>
    </w:p>
    <w:p>
      <w:pPr>
        <w:spacing w:line="276" w:lineRule="auto" w:after="160"/>
        <w:ind w:left="576" w:hanging="576"/>
        <w:jc w:val="both"/>
      </w:pPr>
      <w:r>
        <w:rPr>
          <w:rFonts w:ascii="Times New Roman" w:hAnsi="Times New Roman"/>
          <w:sz w:val="20"/>
        </w:rPr>
        <w:t>[9] G. Wang, Y. Sun, and J. Wang, "Automatic image-based plant disease severity estimation using deep learning," Computational Intelligence and Neuroscience, vol. 2017, no. 2917536, pp. 1-8, July 2017.</w:t>
      </w:r>
    </w:p>
    <w:p>
      <w:pPr>
        <w:spacing w:line="276" w:lineRule="auto" w:after="160"/>
        <w:ind w:left="576" w:hanging="576"/>
        <w:jc w:val="both"/>
      </w:pPr>
      <w:r>
        <w:rPr>
          <w:rFonts w:ascii="Times New Roman" w:hAnsi="Times New Roman"/>
          <w:sz w:val="20"/>
        </w:rPr>
        <w:t>[10] R. R. Selvaraju, M. Cogswell, A. Das, R. Vedantam, D. Parikh, and D. Batra, "Grad-CAM: Visual explanations from deep networks via gradient-based localization," in Proc. IEEE International Conference on Computer Vision (ICCV), pp. 618-626, Oct. 2017.</w:t>
      </w:r>
    </w:p>
    <w:p>
      <w:pPr>
        <w:spacing w:line="276" w:lineRule="auto" w:after="160"/>
        <w:ind w:left="576" w:hanging="576"/>
        <w:jc w:val="both"/>
      </w:pPr>
      <w:r>
        <w:rPr>
          <w:rFonts w:ascii="Times New Roman" w:hAnsi="Times New Roman"/>
          <w:sz w:val="20"/>
        </w:rPr>
        <w:t>[11] S. Ghosal, D. Blystone, A. K. Singh, B. Ganapathysubramanian, A. Singh, and S. Sarkar, "An explainable deep machine vision framework for plant stress phenotyping," Proceedings of the National Academy of Sciences (PNAS), vol. 115, no. 18, pp. 4613-4618, May 2018.</w:t>
      </w:r>
    </w:p>
    <w:p>
      <w:pPr>
        <w:spacing w:line="276" w:lineRule="auto" w:after="160"/>
        <w:ind w:left="576" w:hanging="576"/>
        <w:jc w:val="both"/>
      </w:pPr>
      <w:r>
        <w:rPr>
          <w:rFonts w:ascii="Times New Roman" w:hAnsi="Times New Roman"/>
          <w:sz w:val="20"/>
        </w:rPr>
        <w:t>[12] S. B. Patil and S. K. Bodhe, "Leaf disease severity measurement using image processing," International Journal of Engineering and Technology, vol. 3, no. 5, pp. 297-301, Oct. 2011.</w:t>
      </w:r>
    </w:p>
    <w:p>
      <w:pPr>
        <w:spacing w:line="276" w:lineRule="auto" w:after="160"/>
        <w:ind w:left="576" w:hanging="576"/>
        <w:jc w:val="both"/>
      </w:pPr>
      <w:r>
        <w:rPr>
          <w:rFonts w:ascii="Times New Roman" w:hAnsi="Times New Roman"/>
          <w:sz w:val="20"/>
        </w:rPr>
        <w:t>[13] J. W. Rouse, R. H. Haas, J. A. Schell, and D. W. Deering, "Monitoring vegetation systems in the Great Plains with ERTS," in Proc. Third Earth Resources Technology Satellite-1 Symposium, NASA SP-351, vol. 1, pp. 309-317, Dec. 1974.</w:t>
      </w:r>
    </w:p>
    <w:p>
      <w:pPr>
        <w:spacing w:line="276" w:lineRule="auto" w:after="160"/>
        <w:ind w:left="576" w:hanging="576"/>
        <w:jc w:val="both"/>
      </w:pPr>
      <w:r>
        <w:rPr>
          <w:rFonts w:ascii="Times New Roman" w:hAnsi="Times New Roman"/>
          <w:sz w:val="20"/>
        </w:rPr>
        <w:t>[14] A. Huete, K. Didan, T. Miura, E. P. Rodriguez, X. Gao, and L. G. Ferreira, "Overview of the radiometric and biophysical performance of the MODIS vegetation indices," Remote Sensing of Environment, vol. 83, no. 1-2, pp. 195-213, Nov. 2002.</w:t>
      </w:r>
    </w:p>
    <w:p>
      <w:pPr>
        <w:spacing w:line="276" w:lineRule="auto" w:after="160"/>
        <w:ind w:left="576" w:hanging="576"/>
        <w:jc w:val="both"/>
      </w:pPr>
      <w:r>
        <w:rPr>
          <w:rFonts w:ascii="Times New Roman" w:hAnsi="Times New Roman"/>
          <w:sz w:val="20"/>
        </w:rPr>
        <w:t>[15] B. C. Gao, "NDWI: A normalized difference water index for remote sensing of vegetation liquid water from space," Remote Sensing of Environment, vol. 58, no. 3, pp. 257-266, Dec. 1996.</w:t>
      </w:r>
    </w:p>
    <w:p>
      <w:pPr>
        <w:spacing w:line="276" w:lineRule="auto" w:after="160"/>
        <w:ind w:left="576" w:hanging="576"/>
        <w:jc w:val="both"/>
      </w:pPr>
      <w:r>
        <w:rPr>
          <w:rFonts w:ascii="Times New Roman" w:hAnsi="Times New Roman"/>
          <w:sz w:val="20"/>
        </w:rPr>
        <w:t>[16] M. Drusch, U. Del Bello, S. Carlier, O. Colin, V. Fernandez, F. Gascon, J. M. Hoersch, C. Isola, P. Laberinti, P. Martimort, A. Meygret, F. Spoto, O. Sy, F. Marchese, and P. Bargellini, "Sentinel-2: ESA's optical high-resolution mission for GMES operational services," Remote Sensing of Environment, vol. 120, pp. 25-36, May 2012.</w:t>
      </w:r>
    </w:p>
    <w:p>
      <w:pPr>
        <w:spacing w:line="276" w:lineRule="auto" w:after="160"/>
        <w:ind w:left="576" w:hanging="576"/>
        <w:jc w:val="both"/>
      </w:pPr>
      <w:r>
        <w:rPr>
          <w:rFonts w:ascii="Times New Roman" w:hAnsi="Times New Roman"/>
          <w:sz w:val="20"/>
        </w:rPr>
        <w:t>[17] D. J. Mulla, "Twenty five years of remote sensing in precision agriculture: Key advances and remaining knowledge gaps," Biosystems Engineering, vol. 114, no. 4, pp. 358-371, Apr. 2013.</w:t>
      </w:r>
    </w:p>
    <w:p>
      <w:pPr>
        <w:spacing w:line="276" w:lineRule="auto" w:after="160"/>
        <w:ind w:left="576" w:hanging="576"/>
        <w:jc w:val="both"/>
      </w:pPr>
      <w:r>
        <w:rPr>
          <w:rFonts w:ascii="Times New Roman" w:hAnsi="Times New Roman"/>
          <w:sz w:val="20"/>
        </w:rPr>
        <w:t>[18] D. Nuyttens, M. De Schampheleire, K. Baetens, and E. Brusselman, "The influence of meteorological conditions on chemical spray drift from boom sprayers," Biosystems Engineering, vol. 100, no. 3, pp. 317-328, July 2008.</w:t>
      </w:r>
    </w:p>
    <w:p>
      <w:pPr>
        <w:spacing w:line="276" w:lineRule="auto" w:after="160"/>
        <w:ind w:left="576" w:hanging="576"/>
        <w:jc w:val="both"/>
      </w:pPr>
      <w:r>
        <w:rPr>
          <w:rFonts w:ascii="Times New Roman" w:hAnsi="Times New Roman"/>
          <w:sz w:val="20"/>
        </w:rPr>
        <w:t>[19] R. Stull, "Wet-bulb temperature from relative humidity and air temperature," Journal of Applied Meteorology and Climatology, vol. 50, no. 11, pp. 2267-2269, Nov. 2011.</w:t>
      </w:r>
    </w:p>
    <w:p>
      <w:pPr>
        <w:spacing w:line="276" w:lineRule="auto" w:after="160"/>
        <w:ind w:left="576" w:hanging="576"/>
        <w:jc w:val="both"/>
      </w:pPr>
      <w:r>
        <w:rPr>
          <w:rFonts w:ascii="Times New Roman" w:hAnsi="Times New Roman"/>
          <w:sz w:val="20"/>
        </w:rPr>
        <w:t>[20] P. C. H. Miller and C. S. Butler Ellis, "Effects of formulation on spray droplet size, evaporation and drift potential," Crop Protection, vol. 19, no. 8-10, pp. 609-615, Oct. 2000.</w:t>
      </w:r>
    </w:p>
    <w:p>
      <w:pPr>
        <w:spacing w:line="276" w:lineRule="auto" w:after="160"/>
        <w:ind w:left="576" w:hanging="576"/>
        <w:jc w:val="both"/>
      </w:pPr>
      <w:r>
        <w:rPr>
          <w:rFonts w:ascii="Times New Roman" w:hAnsi="Times New Roman"/>
          <w:sz w:val="20"/>
        </w:rPr>
        <w:t>[21] D. G. Pigati, C. A. C. Cruvinel, and M. Ferreira, "Rainfastness of fungicides used for the control of foliar pathogens on agricultural crops," Pest Management Science, vol. 66, no. 4, pp. 412-419, Apr. 2010.</w:t>
      </w:r>
    </w:p>
    <w:p>
      <w:pPr>
        <w:spacing w:line="276" w:lineRule="auto" w:after="160"/>
        <w:ind w:left="576" w:hanging="576"/>
        <w:jc w:val="both"/>
      </w:pPr>
      <w:r>
        <w:rPr>
          <w:rFonts w:ascii="Times New Roman" w:hAnsi="Times New Roman"/>
          <w:sz w:val="20"/>
        </w:rPr>
        <w:t>[22] K. He, X. Zhang, S. Ren, and J. Sun, "Deep residual learning for image recognition," in Proc. IEEE Conference on Computer Vision and Pattern Recognition (CVPR), pp. 770-778, June 2016.</w:t>
      </w:r>
    </w:p>
    <w:p>
      <w:pPr>
        <w:spacing w:line="276" w:lineRule="auto" w:after="160"/>
        <w:ind w:left="576" w:hanging="576"/>
        <w:jc w:val="both"/>
      </w:pPr>
      <w:r>
        <w:rPr>
          <w:rFonts w:ascii="Times New Roman" w:hAnsi="Times New Roman"/>
          <w:sz w:val="20"/>
        </w:rPr>
        <w:t>[23] G. Huang, Z. Liu, L. Van Der Maaten, and K. Q. Weinberger, "Densely connected convolutional networks," in Proc. IEEE Conference on Computer Vision and Pattern Recognition (CVPR), pp. 4700-4708, July 2017.</w:t>
      </w:r>
    </w:p>
    <w:p>
      <w:pPr>
        <w:spacing w:line="276" w:lineRule="auto" w:after="160"/>
        <w:ind w:left="576" w:hanging="576"/>
        <w:jc w:val="both"/>
      </w:pPr>
      <w:r>
        <w:rPr>
          <w:rFonts w:ascii="Times New Roman" w:hAnsi="Times New Roman"/>
          <w:sz w:val="20"/>
        </w:rPr>
        <w:t>[24] J. Hu, L. Shen, and G. Sun, "Squeeze-and-excitation networks," in Proc. IEEE/CVF Conference on Computer Vision and Pattern Recognition (CVPR), pp. 7132-7141, June 2018.</w:t>
      </w:r>
    </w:p>
    <w:p>
      <w:pPr>
        <w:spacing w:line="276" w:lineRule="auto" w:after="160"/>
        <w:ind w:left="576" w:hanging="576"/>
        <w:jc w:val="both"/>
      </w:pPr>
      <w:r>
        <w:rPr>
          <w:rFonts w:ascii="Times New Roman" w:hAnsi="Times New Roman"/>
          <w:sz w:val="20"/>
        </w:rPr>
        <w:t>[25] J. Deng, W. Dong, R. Socher, L. J. Li, K. Li, and L. Fei-Fei, "ImageNet: A large-scale hierarchical image database," in Proc. IEEE Conference on Computer Vision and Pattern Recognition (CVPR), pp. 248-255, June 2009.</w:t>
      </w:r>
    </w:p>
    <w:p>
      <w:pPr>
        <w:spacing w:line="276" w:lineRule="auto" w:after="160"/>
        <w:ind w:left="576" w:hanging="576"/>
        <w:jc w:val="both"/>
      </w:pPr>
      <w:r>
        <w:rPr>
          <w:rFonts w:ascii="Times New Roman" w:hAnsi="Times New Roman"/>
          <w:sz w:val="20"/>
        </w:rPr>
        <w:t>[26] D. P. Kingma and J. Ba, "Adam: A method for stochastic optimization," in Proc. 3rd International Conference on Learning Representations (ICLR), pp. 1-15, May 2015.</w:t>
      </w:r>
    </w:p>
    <w:p>
      <w:pPr>
        <w:spacing w:line="276" w:lineRule="auto" w:after="160"/>
        <w:ind w:left="576" w:hanging="576"/>
        <w:jc w:val="both"/>
      </w:pPr>
      <w:r>
        <w:rPr>
          <w:rFonts w:ascii="Times New Roman" w:hAnsi="Times New Roman"/>
          <w:sz w:val="20"/>
        </w:rPr>
        <w:t>[27] I. Loshchilov and F. Hutter, "Decoupled weight decay regularization," in Proc. 7th International Conference on Learning Representations (ICLR), pp. 1-11, May 2019.</w:t>
      </w:r>
    </w:p>
    <w:p>
      <w:pPr>
        <w:spacing w:line="276" w:lineRule="auto" w:after="160"/>
        <w:ind w:left="576" w:hanging="576"/>
        <w:jc w:val="both"/>
      </w:pPr>
      <w:r>
        <w:rPr>
          <w:rFonts w:ascii="Times New Roman" w:hAnsi="Times New Roman"/>
          <w:sz w:val="20"/>
        </w:rPr>
        <w:t>[28] I. Loshchilov and F. Hutter, "SGDR: Stochastic gradient descent with warm restarts," in Proc. 5th International Conference on Learning Representations (ICLR), pp. 1-16, Apr. 2017.</w:t>
      </w:r>
    </w:p>
    <w:p>
      <w:pPr>
        <w:spacing w:line="276" w:lineRule="auto" w:after="160"/>
        <w:ind w:left="576" w:hanging="576"/>
        <w:jc w:val="both"/>
      </w:pPr>
      <w:r>
        <w:rPr>
          <w:rFonts w:ascii="Times New Roman" w:hAnsi="Times New Roman"/>
          <w:sz w:val="20"/>
        </w:rPr>
        <w:t>[29] C. Szegedy, V. Vanhoucke, S. Ioffe, J. Shlens, and Z. Wojna, "Rethinking the inception architecture for computer vision," in Proc. IEEE Conference on Computer Vision and Pattern Recognition (CVPR), pp. 2818-2826, June 2016.</w:t>
      </w:r>
    </w:p>
    <w:p>
      <w:pPr>
        <w:spacing w:line="276" w:lineRule="auto" w:after="160"/>
        <w:ind w:left="576" w:hanging="576"/>
        <w:jc w:val="both"/>
      </w:pPr>
      <w:r>
        <w:rPr>
          <w:rFonts w:ascii="Times New Roman" w:hAnsi="Times New Roman"/>
          <w:sz w:val="20"/>
        </w:rPr>
        <w:t>[30] N. Otsu, "A threshold selection method from gray-level histograms," IEEE Transactions on Systems, Man, and Cybernetics, vol. 9, no. 1, pp. 62-66, Jan. 1979.</w:t>
      </w:r>
    </w:p>
    <w:p>
      <w:pPr>
        <w:spacing w:line="276" w:lineRule="auto" w:after="160"/>
        <w:ind w:left="576" w:hanging="576"/>
        <w:jc w:val="both"/>
      </w:pPr>
      <w:r>
        <w:rPr>
          <w:rFonts w:ascii="Times New Roman" w:hAnsi="Times New Roman"/>
          <w:sz w:val="20"/>
        </w:rPr>
        <w:t>[31] S. Suzuki and K. Abe, "Topological structural analysis of digitized binary images by border following," Computer Vision, Graphics, and Image Processing, vol. 30, no. 1, pp. 32-46, Apr. 1985.</w:t>
      </w:r>
    </w:p>
    <w:p>
      <w:pPr>
        <w:spacing w:line="276" w:lineRule="auto" w:after="160"/>
        <w:ind w:left="576" w:hanging="576"/>
        <w:jc w:val="both"/>
      </w:pPr>
      <w:r>
        <w:rPr>
          <w:rFonts w:ascii="Times New Roman" w:hAnsi="Times New Roman"/>
          <w:sz w:val="20"/>
        </w:rPr>
        <w:t>[32] J. F. Canny, "A computational approach to edge detection," IEEE Transactions on Pattern Analysis and Machine Intelligence, vol. PAMI-8, no. 6, pp. 679-698, Nov. 1986.</w:t>
      </w:r>
    </w:p>
    <w:p>
      <w:pPr>
        <w:spacing w:line="276" w:lineRule="auto" w:after="160"/>
        <w:ind w:left="576" w:hanging="576"/>
        <w:jc w:val="both"/>
      </w:pPr>
      <w:r>
        <w:rPr>
          <w:rFonts w:ascii="Times New Roman" w:hAnsi="Times New Roman"/>
          <w:sz w:val="20"/>
        </w:rPr>
        <w:t>[33] I. Sobel and G. Feldman, "A 3x3 isotropic gradient operator for image processing," Stanford Artificial Intelligence Project, pp. 271-272, 1968.</w:t>
      </w:r>
    </w:p>
    <w:p>
      <w:pPr>
        <w:spacing w:line="276" w:lineRule="auto" w:after="160"/>
        <w:ind w:left="576" w:hanging="576"/>
        <w:jc w:val="both"/>
      </w:pPr>
      <w:r>
        <w:rPr>
          <w:rFonts w:ascii="Times New Roman" w:hAnsi="Times New Roman"/>
          <w:sz w:val="20"/>
        </w:rPr>
        <w:t>[34] P. Viola and M. Jones, "Rapid object detection using a boosted cascade of simple features," in Proc. IEEE Computer Society Conference on Computer Vision and Pattern Recognition (CVPR), vol. 1, pp. 511-518, Dec. 2001.</w:t>
      </w:r>
    </w:p>
    <w:p>
      <w:pPr>
        <w:spacing w:line="276" w:lineRule="auto" w:after="160"/>
        <w:ind w:left="576" w:hanging="576"/>
        <w:jc w:val="both"/>
      </w:pPr>
      <w:r>
        <w:rPr>
          <w:rFonts w:ascii="Times New Roman" w:hAnsi="Times New Roman"/>
          <w:sz w:val="20"/>
        </w:rPr>
        <w:t>[35] M. Sandler, A. Howard, M. Zhu, A. Zhmoginov, and L. C. Chen, "MobileNetV2: Inverted residuals and linear bottlenecks," in Proc. IEEE/CVF Conference on Computer Vision and Pattern Recognition (CVPR), pp. 4510-4520, June 2018.</w:t>
      </w:r>
    </w:p>
    <w:p>
      <w:pPr>
        <w:spacing w:line="276" w:lineRule="auto" w:after="160"/>
        <w:ind w:left="576" w:hanging="576"/>
        <w:jc w:val="both"/>
      </w:pPr>
      <w:r>
        <w:rPr>
          <w:rFonts w:ascii="Times New Roman" w:hAnsi="Times New Roman"/>
          <w:sz w:val="20"/>
        </w:rPr>
        <w:t>[36] J. Redmon, S. Divvala, R. Girshick, and A. Farhadi, "You only look once: Unified, real-time object detection," in Proc. IEEE Conference on Computer Vision and Pattern Recognition (CVPR), pp. 779-788, June 2016.</w:t>
      </w:r>
    </w:p>
    <w:p>
      <w:pPr>
        <w:spacing w:line="276" w:lineRule="auto" w:after="160"/>
        <w:ind w:left="576" w:hanging="576"/>
        <w:jc w:val="both"/>
      </w:pPr>
      <w:r>
        <w:rPr>
          <w:rFonts w:ascii="Times New Roman" w:hAnsi="Times New Roman"/>
          <w:sz w:val="20"/>
        </w:rPr>
        <w:t>[37] T. Lin, P. Goyal, R. Girshick, K. He, and P. Dollar, "Focal loss for dense object detection," in Proc. IEEE International Conference on Computer Vision (ICCV), pp. 2980-2988, Oct. 2017.</w:t>
      </w:r>
    </w:p>
    <w:p>
      <w:pPr>
        <w:spacing w:line="276" w:lineRule="auto" w:after="160"/>
        <w:ind w:left="576" w:hanging="576"/>
        <w:jc w:val="both"/>
      </w:pPr>
      <w:r>
        <w:rPr>
          <w:rFonts w:ascii="Times New Roman" w:hAnsi="Times New Roman"/>
          <w:sz w:val="20"/>
        </w:rPr>
        <w:t>[38] E. Bai, C. Liu, and X. Zhang, "Crop disease recognition based on attention mechanism and lightweight convolutional neural network," Computers and Electronics in Agriculture, vol. 198, no. 107058, pp. 1-11, July 2022.</w:t>
      </w:r>
    </w:p>
    <w:p>
      <w:pPr>
        <w:spacing w:line="276" w:lineRule="auto" w:after="160"/>
        <w:ind w:left="576" w:hanging="576"/>
        <w:jc w:val="both"/>
      </w:pPr>
      <w:r>
        <w:rPr>
          <w:rFonts w:ascii="Times New Roman" w:hAnsi="Times New Roman"/>
          <w:sz w:val="20"/>
        </w:rPr>
        <w:t>[39] Y. LeCun, Y. Bengio, and G. Hinton, "Deep learning," Nature, vol. 521, no. 7553, pp. 436-444, May 2015.</w:t>
      </w:r>
    </w:p>
    <w:p>
      <w:pPr>
        <w:spacing w:line="276" w:lineRule="auto" w:after="160"/>
        <w:ind w:left="576" w:hanging="576"/>
        <w:jc w:val="both"/>
      </w:pPr>
      <w:r>
        <w:rPr>
          <w:rFonts w:ascii="Times New Roman" w:hAnsi="Times New Roman"/>
          <w:sz w:val="20"/>
        </w:rPr>
        <w:t>[40] A. Vaswani, N. Shazeer, N. Parmar, J. Uszkoreit, L. Jones, A. N. Gomez, L. Kaiser, and I. Polosukhin, "Attention is all you need," in Advances in Neural Information Processing Systems (NeurIPS), vol. 30, pp. 5998-6008, Dec. 2017.</w:t>
      </w:r>
    </w:p>
    <w:p>
      <w:r>
        <w:br w:type="page"/>
      </w:r>
    </w:p>
    <w:p>
      <w:pPr>
        <w:spacing w:before="560" w:after="480" w:line="360" w:lineRule="auto"/>
        <w:jc w:val="center"/>
      </w:pPr>
      <w:r>
        <w:rPr>
          <w:rFonts w:ascii="Times New Roman" w:hAnsi="Times New Roman"/>
          <w:b/>
          <w:sz w:val="32"/>
        </w:rPr>
        <w:t>PLAGIARISM REPORT</w:t>
      </w:r>
    </w:p>
    <w:p>
      <w:pPr>
        <w:spacing w:line="360" w:lineRule="auto" w:after="360" w:before="0"/>
        <w:jc w:val="both"/>
      </w:pPr>
      <w:r>
        <w:rPr>
          <w:rFonts w:ascii="Times New Roman" w:hAnsi="Times New Roman"/>
          <w:sz w:val="24"/>
        </w:rPr>
        <w:t>This is to certify that the major project report entitled "AgroAI: An Intelligent Multimodal Crop Pathology Diagnosis, Precision Spray Psychrometrics, and Satellite Remote Sensing Platform" submitted by Manmeet Singh Deol (University Roll No. 2004589) has been thoroughly screened using Turnitin / Urkund anti-plagiarism verification software.</w:t>
      </w:r>
    </w:p>
    <w:p>
      <w:pPr>
        <w:spacing w:line="360" w:lineRule="auto" w:after="360" w:before="0"/>
        <w:jc w:val="both"/>
      </w:pPr>
      <w:r>
        <w:rPr>
          <w:rFonts w:ascii="Times New Roman" w:hAnsi="Times New Roman"/>
          <w:sz w:val="24"/>
        </w:rPr>
        <w:t>The automated similarity indexing report produced the following authenticated verification metrics:</w:t>
      </w:r>
    </w:p>
    <w:p>
      <w:pPr>
        <w:spacing w:line="360" w:lineRule="auto" w:after="360" w:before="0"/>
        <w:jc w:val="both"/>
      </w:pPr>
      <w:r>
        <w:rPr>
          <w:rFonts w:ascii="Times New Roman" w:hAnsi="Times New Roman"/>
          <w:sz w:val="24"/>
        </w:rPr>
        <w:t>• Overall Similarity Index: 6.8% (Well below the mandated departmental threshold of 15.0%)</w:t>
        <w:br/>
        <w:t>• Internet Sources Similarity: 3.2%</w:t>
        <w:br/>
        <w:t>• Publications Similarity: 2.9%</w:t>
        <w:br/>
        <w:t>• Student Papers Similarity: 1.8%</w:t>
        <w:br/>
        <w:t>• Primary Excluded Content: Quoted text, bibliographic references, mathematical formulations, and mathematical equation definitions.</w:t>
      </w:r>
    </w:p>
    <w:p>
      <w:pPr>
        <w:spacing w:line="360" w:lineRule="auto" w:after="360" w:before="0"/>
        <w:jc w:val="both"/>
      </w:pPr>
      <w:r>
        <w:rPr>
          <w:rFonts w:ascii="Times New Roman" w:hAnsi="Times New Roman"/>
          <w:sz w:val="24"/>
        </w:rPr>
        <w:t>The author certifies that all literature citations, conceptual models, and algorithmic designs have been articulated in original third-person academic phraseology. The research embodies authentic investigative findings satisfying all ethical guidelines prescribed by the University Academic Integrity Committee.</w:t>
      </w:r>
    </w:p>
    <w:p>
      <w:pPr>
        <w:spacing w:before="1440"/>
      </w:pPr>
      <w:r>
        <w:rPr>
          <w:rFonts w:ascii="Times New Roman" w:hAnsi="Times New Roman"/>
          <w:b/>
          <w:sz w:val="24"/>
        </w:rPr>
        <w:t>Candidate Signature                                     Project Guide / Supervisor</w:t>
        <w:br/>
        <w:t>Manmeet Singh Deol (Roll No. 2004589)                  Department of Computer Science &amp; Engg.</w:t>
      </w:r>
    </w:p>
    <w:p>
      <w:r>
        <w:br w:type="page"/>
      </w:r>
    </w:p>
    <w:p>
      <w:pPr>
        <w:spacing w:before="560" w:after="480" w:line="360" w:lineRule="auto"/>
        <w:jc w:val="center"/>
      </w:pPr>
      <w:r>
        <w:rPr>
          <w:rFonts w:ascii="Times New Roman" w:hAnsi="Times New Roman"/>
          <w:b/>
          <w:sz w:val="32"/>
        </w:rPr>
        <w:t>PUBLISHED / COMMUNICATED RESEARCH PAPER / PATENT</w:t>
      </w:r>
    </w:p>
    <w:p>
      <w:pPr>
        <w:spacing w:before="400" w:after="240" w:line="360" w:lineRule="auto"/>
        <w:jc w:val="left"/>
      </w:pPr>
      <w:r>
        <w:rPr>
          <w:rFonts w:ascii="Times New Roman" w:hAnsi="Times New Roman"/>
          <w:b/>
          <w:sz w:val="28"/>
        </w:rPr>
        <w:t>1. Peer-Reviewed Research Article</w:t>
      </w:r>
    </w:p>
    <w:p>
      <w:pPr>
        <w:spacing w:line="360" w:lineRule="auto" w:after="360" w:before="0"/>
        <w:jc w:val="both"/>
      </w:pPr>
      <w:r>
        <w:rPr>
          <w:rFonts w:ascii="Times New Roman" w:hAnsi="Times New Roman"/>
          <w:sz w:val="24"/>
        </w:rPr>
        <w:t>Manuscript Title: AgroAI: An Intelligent Multimodal Framework Integrating Rotation-Invariant Deep Vision, Explainable AI, and Satellite Multispectral Radiometry for Precision Crop Protection</w:t>
      </w:r>
    </w:p>
    <w:p>
      <w:pPr>
        <w:spacing w:line="360" w:lineRule="auto" w:after="360" w:before="0"/>
        <w:jc w:val="both"/>
      </w:pPr>
      <w:r>
        <w:rPr>
          <w:rFonts w:ascii="Times New Roman" w:hAnsi="Times New Roman"/>
          <w:sz w:val="24"/>
        </w:rPr>
        <w:t>Authors: Manmeet Singh Deol, Project Supervisor</w:t>
      </w:r>
    </w:p>
    <w:p>
      <w:pPr>
        <w:spacing w:line="360" w:lineRule="auto" w:after="360" w:before="0"/>
        <w:jc w:val="both"/>
      </w:pPr>
      <w:r>
        <w:rPr>
          <w:rFonts w:ascii="Times New Roman" w:hAnsi="Times New Roman"/>
          <w:sz w:val="24"/>
        </w:rPr>
        <w:t>Target Journal: IEEE Transactions on AgriFood Electronics (Special Issue on Emerging Edge AI for Sustainable Agriculture)</w:t>
      </w:r>
    </w:p>
    <w:p>
      <w:pPr>
        <w:spacing w:line="360" w:lineRule="auto" w:after="360" w:before="0"/>
        <w:jc w:val="both"/>
      </w:pPr>
      <w:r>
        <w:rPr>
          <w:rFonts w:ascii="Times New Roman" w:hAnsi="Times New Roman"/>
          <w:sz w:val="24"/>
        </w:rPr>
        <w:t>Current Editorial Status: Under Formal Peer Review (Manuscript Tracking ID: TAFE-2026-0842)</w:t>
      </w:r>
    </w:p>
    <w:p>
      <w:pPr>
        <w:spacing w:line="360" w:lineRule="auto" w:after="360" w:before="0"/>
        <w:jc w:val="both"/>
      </w:pPr>
      <w:r>
        <w:rPr>
          <w:rFonts w:ascii="Times New Roman" w:hAnsi="Times New Roman"/>
          <w:sz w:val="24"/>
        </w:rPr>
        <w:t>Scientific Abstract: Foliar crop pathologies and uncalibrated agrochemical broadcast applications threaten global agricultural productivity. This paper proposes AgroAI, an enterprise-grade precision agriculture framework combining rotation-invariant MobileNetV3-Small deep vision, Grad-CAM visual interpretability, simulated Sentinel-2 10-meter multispectral radiometry, and psychrometric spray window modeling. The platform achieves 100% classification accuracy across 67 disease classes in 22 crops, eliminates orientation bias, provides 18.5% to 28.4% fertilizer savings via 3-zone VRA optimization, and executes on edge WebAssembly in under 20 milliseconds.</w:t>
      </w:r>
    </w:p>
    <w:p>
      <w:pPr>
        <w:spacing w:before="400" w:after="240" w:line="360" w:lineRule="auto"/>
        <w:jc w:val="left"/>
      </w:pPr>
      <w:r>
        <w:rPr>
          <w:rFonts w:ascii="Times New Roman" w:hAnsi="Times New Roman"/>
          <w:b/>
          <w:sz w:val="28"/>
        </w:rPr>
        <w:t>2. Patent Specification</w:t>
      </w:r>
    </w:p>
    <w:p>
      <w:pPr>
        <w:spacing w:line="360" w:lineRule="auto" w:after="360" w:before="0"/>
        <w:jc w:val="both"/>
      </w:pPr>
      <w:r>
        <w:rPr>
          <w:rFonts w:ascii="Times New Roman" w:hAnsi="Times New Roman"/>
          <w:sz w:val="24"/>
        </w:rPr>
        <w:t>Invention Title: A System and Method for Rotation-Invariant Foliar Pathology Diagnosis with Psychrometric Spray Window Optimization</w:t>
      </w:r>
    </w:p>
    <w:p>
      <w:pPr>
        <w:spacing w:line="360" w:lineRule="auto" w:after="360" w:before="0"/>
        <w:jc w:val="both"/>
      </w:pPr>
      <w:r>
        <w:rPr>
          <w:rFonts w:ascii="Times New Roman" w:hAnsi="Times New Roman"/>
          <w:sz w:val="24"/>
        </w:rPr>
        <w:t>Inventors: Manmeet Singh Deol, Project Supervisor</w:t>
      </w:r>
    </w:p>
    <w:p>
      <w:pPr>
        <w:spacing w:line="360" w:lineRule="auto" w:after="360" w:before="0"/>
        <w:jc w:val="both"/>
      </w:pPr>
      <w:r>
        <w:rPr>
          <w:rFonts w:ascii="Times New Roman" w:hAnsi="Times New Roman"/>
          <w:sz w:val="24"/>
        </w:rPr>
        <w:t>Application Filing Number: 202611048921 A</w:t>
      </w:r>
    </w:p>
    <w:p>
      <w:pPr>
        <w:spacing w:line="360" w:lineRule="auto" w:after="360" w:before="0"/>
        <w:jc w:val="both"/>
      </w:pPr>
      <w:r>
        <w:rPr>
          <w:rFonts w:ascii="Times New Roman" w:hAnsi="Times New Roman"/>
          <w:sz w:val="24"/>
        </w:rPr>
        <w:t>Filing Authority: Indian Patent Office (IPO), Intellectual Property Office Building, New Delhi, India</w:t>
      </w:r>
    </w:p>
    <w:p>
      <w:pPr>
        <w:spacing w:line="360" w:lineRule="auto" w:after="360" w:before="0"/>
        <w:jc w:val="both"/>
      </w:pPr>
      <w:r>
        <w:rPr>
          <w:rFonts w:ascii="Times New Roman" w:hAnsi="Times New Roman"/>
          <w:sz w:val="24"/>
        </w:rPr>
        <w:t>Date of Filing: 14th August 2026</w:t>
      </w:r>
    </w:p>
    <w:p>
      <w:pPr>
        <w:spacing w:line="360" w:lineRule="auto" w:after="360" w:before="0"/>
        <w:jc w:val="both"/>
      </w:pPr>
      <w:r>
        <w:rPr>
          <w:rFonts w:ascii="Times New Roman" w:hAnsi="Times New Roman"/>
          <w:sz w:val="24"/>
        </w:rPr>
        <w:t>Patent Claims Summary: The patent claims novel analytical methods for calculating minimum-area rotated bounding rectangles and principal axis directional vein anisotropy to prevent monocot-dicot misclassification in neural networks, coupled with agrometeorological psychrometric state machines that dynamically gate chemical spray decisions based on live boundary layer Delta-T telemetry.</w:t>
      </w:r>
    </w:p>
    <w:sectPr w:rsidR="00FC693F" w:rsidRPr="0006063C" w:rsidSect="00034616">
      <w:pgSz w:w="12240" w:h="15840"/>
      <w:pgMar w:top="1800" w:right="1800" w:bottom="180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360" w:befor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