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60" w:before="0"/>
        <w:jc w:val="center"/>
      </w:pPr>
      <w:r>
        <w:rPr>
          <w:rFonts w:ascii="Arial" w:cs="Arial" w:eastAsia="Arial" w:hAnsi="Arial"/>
          <w:b/>
          <w:bCs/>
          <w:caps/>
          <w:color w:val="0D9488"/>
          <w:sz w:val="22"/>
          <w:szCs w:val="22"/>
        </w:rPr>
        <w:t xml:space="preserve">INTERNSHIP PROJECT — WEEK 4 CAPSTONE</w:t>
      </w:r>
    </w:p>
    <w:p>
      <w:pPr>
        <w:spacing w:after="80" w:before="0"/>
        <w:jc w:val="center"/>
      </w:pPr>
      <w:r>
        <w:rPr>
          <w:rFonts w:ascii="Arial" w:cs="Arial" w:eastAsia="Arial" w:hAnsi="Arial"/>
          <w:b/>
          <w:bCs/>
          <w:color w:val="1B3A6B"/>
          <w:sz w:val="56"/>
          <w:szCs w:val="56"/>
        </w:rPr>
        <w:t xml:space="preserve">Real-Time Fraud Detection System</w:t>
      </w:r>
    </w:p>
    <w:p>
      <w:pPr>
        <w:spacing w:after="320" w:before="0"/>
        <w:jc w:val="center"/>
      </w:pPr>
      <w:r>
        <w:rPr>
          <w:rFonts w:ascii="Arial" w:cs="Arial" w:eastAsia="Arial" w:hAnsi="Arial"/>
          <w:b w:val="false"/>
          <w:bCs w:val="false"/>
          <w:color w:val="2563EB"/>
          <w:sz w:val="40"/>
          <w:szCs w:val="40"/>
        </w:rPr>
        <w:t xml:space="preserve">with Explainable AI &amp; Live Dashboard</w:t>
      </w:r>
    </w:p>
    <w:p>
      <w:pPr>
        <w:pBdr>
          <w:bottom w:val="single" w:color="2563EB" w:sz="4" w:space="4"/>
        </w:pBdr>
        <w:spacing w:after="120" w:before="120"/>
      </w:pPr>
      <w:r>
        <w:t xml:space="preserve"/>
      </w:r>
    </w:p>
    <w:p>
      <w:pPr>
        <w:spacing w:after="0" w:before="8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Domain</w:t>
            </w:r>
          </w:p>
        </w:tc>
        <w:tc>
          <w:tcPr>
            <w:tcW w:type="dxa" w:w="50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color w:val="0F172A"/>
                <w:sz w:val="22"/>
                <w:szCs w:val="22"/>
              </w:rPr>
              <w:t xml:space="preserve">AI &amp; Data Analytics</w:t>
            </w:r>
          </w:p>
        </w:tc>
      </w:tr>
      <w:tr>
        <w:tc>
          <w:tcPr>
            <w:tcW w:type="dxa" w:w="2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Level</w:t>
            </w:r>
          </w:p>
        </w:tc>
        <w:tc>
          <w:tcPr>
            <w:tcW w:type="dxa" w:w="5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0F172A"/>
                <w:sz w:val="22"/>
                <w:szCs w:val="22"/>
              </w:rPr>
              <w:t xml:space="preserve">Advanced</w:t>
            </w:r>
          </w:p>
        </w:tc>
      </w:tr>
      <w:tr>
        <w:tc>
          <w:tcPr>
            <w:tcW w:type="dxa" w:w="20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Assigned</w:t>
            </w:r>
          </w:p>
        </w:tc>
        <w:tc>
          <w:tcPr>
            <w:tcW w:type="dxa" w:w="50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color w:val="0F172A"/>
                <w:sz w:val="22"/>
                <w:szCs w:val="22"/>
              </w:rPr>
              <w:t xml:space="preserve">13 May 2026</w:t>
            </w:r>
          </w:p>
        </w:tc>
      </w:tr>
      <w:tr>
        <w:tc>
          <w:tcPr>
            <w:tcW w:type="dxa" w:w="2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Submitted</w:t>
            </w:r>
          </w:p>
        </w:tc>
        <w:tc>
          <w:tcPr>
            <w:tcW w:type="dxa" w:w="5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0F172A"/>
                <w:sz w:val="22"/>
                <w:szCs w:val="22"/>
              </w:rPr>
              <w:t xml:space="preserve">25 May 2026</w:t>
            </w:r>
          </w:p>
        </w:tc>
      </w:tr>
      <w:tr>
        <w:tc>
          <w:tcPr>
            <w:tcW w:type="dxa" w:w="20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Stack</w:t>
            </w:r>
          </w:p>
        </w:tc>
        <w:tc>
          <w:tcPr>
            <w:tcW w:type="dxa" w:w="500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color w:val="0F172A"/>
                <w:sz w:val="22"/>
                <w:szCs w:val="22"/>
              </w:rPr>
              <w:t xml:space="preserve">Python · LightGBM · XGBoost · SHAP · Streamlit</w:t>
            </w:r>
          </w:p>
        </w:tc>
      </w:tr>
      <w:tr>
        <w:tc>
          <w:tcPr>
            <w:tcW w:type="dxa" w:w="2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Dataset</w:t>
            </w:r>
          </w:p>
        </w:tc>
        <w:tc>
          <w:tcPr>
            <w:tcW w:type="dxa" w:w="5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0F172A"/>
                <w:sz w:val="22"/>
                <w:szCs w:val="22"/>
              </w:rPr>
              <w:t xml:space="preserve">IEEE-CIS Fraud Detection (590,000 transactions)</w:t>
            </w:r>
          </w:p>
        </w:tc>
      </w:tr>
    </w:tbl>
    <w:p>
      <w:pPr>
        <w:spacing w:after="0" w:before="160"/>
      </w:pPr>
      <w:r>
        <w:t xml:space="preserve"/>
      </w:r>
    </w:p>
    <w:p>
      <w:pPr>
        <w:spacing w:after="80" w:before="80"/>
        <w:jc w:val="center"/>
      </w:pPr>
      <w:r>
        <w:rPr>
          <w:rFonts w:ascii="Arial" w:cs="Arial" w:eastAsia="Arial" w:hAnsi="Arial"/>
          <w:i/>
          <w:iCs/>
          <w:color w:val="475569"/>
          <w:sz w:val="22"/>
          <w:szCs w:val="22"/>
        </w:rPr>
        <w:t xml:space="preserve">Financial fraud costs the global economy over $5 trillion annually. This project delivers a production-ready fraud detection system that not only catches fraud — it explains every decision to compliance teams.</w:t>
      </w:r>
    </w:p>
    <w:p>
      <w:r>
        <w:br w:type="page"/>
      </w:r>
    </w:p>
    <w:p>
      <w:pPr>
        <w:pStyle w:val="Heading1"/>
        <w:pBdr>
          <w:bottom w:val="single" w:color="2563EB" w:sz="8" w:space="6"/>
        </w:pBdr>
        <w:spacing w:after="160" w:before="400"/>
      </w:pPr>
      <w:r>
        <w:rPr>
          <w:rFonts w:ascii="Arial" w:cs="Arial" w:eastAsia="Arial" w:hAnsi="Arial"/>
          <w:b/>
          <w:bCs/>
          <w:color w:val="1B3A6B"/>
          <w:sz w:val="36"/>
          <w:szCs w:val="36"/>
        </w:rPr>
        <w:t xml:space="preserve">1. Executive Summary</w:t>
      </w:r>
    </w:p>
    <w:p>
      <w:pPr>
        <w:spacing w:after="60" w:before="60"/>
        <w:jc w:val="left"/>
      </w:pPr>
      <w:r>
        <w:rPr>
          <w:rFonts w:ascii="Arial" w:cs="Arial" w:eastAsia="Arial" w:hAnsi="Arial"/>
          <w:b w:val="false"/>
          <w:bCs w:val="false"/>
          <w:i w:val="false"/>
          <w:iCs w:val="false"/>
          <w:color w:val="0F172A"/>
          <w:sz w:val="22"/>
          <w:szCs w:val="22"/>
        </w:rPr>
        <w:t xml:space="preserve">This document summarises the end-to-end Real-Time Fraud Detection System developed as the Week 4 Capstone for the AI &amp; Data Analytics internship. The system processes 590,000 credit card transactions from the IEEE-CIS Fraud Detection dataset, tackles an extreme 3.5% class imbalance, and produces a production-ready model with full Explainable AI (SHAP) integration and a live Streamlit operations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DBEAFE" w:val="clear"/>
            <w:tcMar>
              <w:top w:type="dxa" w:w="120"/>
              <w:left w:type="dxa" w:w="160"/>
              <w:bottom w:type="dxa" w:w="120"/>
              <w:right w:type="dxa" w:w="160"/>
            </w:tcMar>
            <w:vAlign w:val="center"/>
          </w:tcPr>
          <w:p>
            <w:pPr>
              <w:jc w:val="center"/>
            </w:pPr>
            <w:r>
              <w:rPr>
                <w:rFonts w:ascii="Arial" w:cs="Arial" w:eastAsia="Arial" w:hAnsi="Arial"/>
                <w:b/>
                <w:bCs/>
                <w:color w:val="1B3A6B"/>
                <w:sz w:val="52"/>
                <w:szCs w:val="52"/>
              </w:rPr>
              <w:t xml:space="preserve">590K</w:t>
            </w:r>
          </w:p>
          <w:p>
            <w:pPr>
              <w:jc w:val="center"/>
            </w:pPr>
            <w:r>
              <w:rPr>
                <w:rFonts w:ascii="Arial" w:cs="Arial" w:eastAsia="Arial" w:hAnsi="Arial"/>
                <w:b/>
                <w:bCs/>
                <w:color w:val="1B3A6B"/>
                <w:sz w:val="20"/>
                <w:szCs w:val="20"/>
              </w:rPr>
              <w:t xml:space="preserve">Transactions</w:t>
            </w:r>
          </w:p>
          <w:p>
            <w:pPr>
              <w:jc w:val="center"/>
            </w:pPr>
            <w:r>
              <w:rPr>
                <w:rFonts w:ascii="Arial" w:cs="Arial" w:eastAsia="Arial" w:hAnsi="Arial"/>
                <w:color w:val="475569"/>
                <w:sz w:val="18"/>
                <w:szCs w:val="18"/>
              </w:rPr>
              <w:t xml:space="preserve">IEEE-CIS dataset</w:t>
            </w:r>
          </w:p>
        </w:tc>
        <w:tc>
          <w:tcPr>
            <w:tcW w:type="dxa" w:w="2340"/>
            <w:tcBorders>
              <w:top w:val="single" w:color="FFFFFF" w:sz="1"/>
              <w:left w:val="single" w:color="FFFFFF" w:sz="1"/>
              <w:bottom w:val="single" w:color="FFFFFF" w:sz="1"/>
              <w:right w:val="single" w:color="FFFFFF" w:sz="1"/>
            </w:tcBorders>
            <w:shd w:fill="CCFBF1" w:val="clear"/>
            <w:tcMar>
              <w:top w:type="dxa" w:w="120"/>
              <w:left w:type="dxa" w:w="160"/>
              <w:bottom w:type="dxa" w:w="120"/>
              <w:right w:type="dxa" w:w="160"/>
            </w:tcMar>
            <w:vAlign w:val="center"/>
          </w:tcPr>
          <w:p>
            <w:pPr>
              <w:jc w:val="center"/>
            </w:pPr>
            <w:r>
              <w:rPr>
                <w:rFonts w:ascii="Arial" w:cs="Arial" w:eastAsia="Arial" w:hAnsi="Arial"/>
                <w:b/>
                <w:bCs/>
                <w:color w:val="1B3A6B"/>
                <w:sz w:val="52"/>
                <w:szCs w:val="52"/>
              </w:rPr>
              <w:t xml:space="preserve">0.962</w:t>
            </w:r>
          </w:p>
          <w:p>
            <w:pPr>
              <w:jc w:val="center"/>
            </w:pPr>
            <w:r>
              <w:rPr>
                <w:rFonts w:ascii="Arial" w:cs="Arial" w:eastAsia="Arial" w:hAnsi="Arial"/>
                <w:b/>
                <w:bCs/>
                <w:color w:val="1B3A6B"/>
                <w:sz w:val="20"/>
                <w:szCs w:val="20"/>
              </w:rPr>
              <w:t xml:space="preserve">PR-AUC</w:t>
            </w:r>
          </w:p>
          <w:p>
            <w:pPr>
              <w:jc w:val="center"/>
            </w:pPr>
            <w:r>
              <w:rPr>
                <w:rFonts w:ascii="Arial" w:cs="Arial" w:eastAsia="Arial" w:hAnsi="Arial"/>
                <w:color w:val="475569"/>
                <w:sz w:val="18"/>
                <w:szCs w:val="18"/>
              </w:rPr>
              <w:t xml:space="preserve">LightGBM (best)</w:t>
            </w:r>
          </w:p>
        </w:tc>
        <w:tc>
          <w:tcPr>
            <w:tcW w:type="dxa" w:w="2340"/>
            <w:tcBorders>
              <w:top w:val="single" w:color="FFFFFF" w:sz="1"/>
              <w:left w:val="single" w:color="FFFFFF" w:sz="1"/>
              <w:bottom w:val="single" w:color="FFFFFF" w:sz="1"/>
              <w:right w:val="single" w:color="FFFFFF" w:sz="1"/>
            </w:tcBorders>
            <w:shd w:fill="DCFCE7" w:val="clear"/>
            <w:tcMar>
              <w:top w:type="dxa" w:w="120"/>
              <w:left w:type="dxa" w:w="160"/>
              <w:bottom w:type="dxa" w:w="120"/>
              <w:right w:type="dxa" w:w="160"/>
            </w:tcMar>
            <w:vAlign w:val="center"/>
          </w:tcPr>
          <w:p>
            <w:pPr>
              <w:jc w:val="center"/>
            </w:pPr>
            <w:r>
              <w:rPr>
                <w:rFonts w:ascii="Arial" w:cs="Arial" w:eastAsia="Arial" w:hAnsi="Arial"/>
                <w:b/>
                <w:bCs/>
                <w:color w:val="1B3A6B"/>
                <w:sz w:val="52"/>
                <w:szCs w:val="52"/>
              </w:rPr>
              <w:t xml:space="preserve">88.7%</w:t>
            </w:r>
          </w:p>
          <w:p>
            <w:pPr>
              <w:jc w:val="center"/>
            </w:pPr>
            <w:r>
              <w:rPr>
                <w:rFonts w:ascii="Arial" w:cs="Arial" w:eastAsia="Arial" w:hAnsi="Arial"/>
                <w:b/>
                <w:bCs/>
                <w:color w:val="1B3A6B"/>
                <w:sz w:val="20"/>
                <w:szCs w:val="20"/>
              </w:rPr>
              <w:t xml:space="preserve">Recall</w:t>
            </w:r>
          </w:p>
          <w:p>
            <w:pPr>
              <w:jc w:val="center"/>
            </w:pPr>
            <w:r>
              <w:rPr>
                <w:rFonts w:ascii="Arial" w:cs="Arial" w:eastAsia="Arial" w:hAnsi="Arial"/>
                <w:color w:val="475569"/>
                <w:sz w:val="18"/>
                <w:szCs w:val="18"/>
              </w:rPr>
              <w:t xml:space="preserve">Fraud caught</w:t>
            </w:r>
          </w:p>
        </w:tc>
        <w:tc>
          <w:tcPr>
            <w:tcW w:type="dxa" w:w="2340"/>
            <w:tcBorders>
              <w:top w:val="single" w:color="FFFFFF" w:sz="1"/>
              <w:left w:val="single" w:color="FFFFFF" w:sz="1"/>
              <w:bottom w:val="single" w:color="FFFFFF" w:sz="1"/>
              <w:right w:val="single" w:color="FFFFFF" w:sz="1"/>
            </w:tcBorders>
            <w:shd w:fill="FEF3C7" w:val="clear"/>
            <w:tcMar>
              <w:top w:type="dxa" w:w="120"/>
              <w:left w:type="dxa" w:w="160"/>
              <w:bottom w:type="dxa" w:w="120"/>
              <w:right w:type="dxa" w:w="160"/>
            </w:tcMar>
            <w:vAlign w:val="center"/>
          </w:tcPr>
          <w:p>
            <w:pPr>
              <w:jc w:val="center"/>
            </w:pPr>
            <w:r>
              <w:rPr>
                <w:rFonts w:ascii="Arial" w:cs="Arial" w:eastAsia="Arial" w:hAnsi="Arial"/>
                <w:b/>
                <w:bCs/>
                <w:color w:val="1B3A6B"/>
                <w:sz w:val="52"/>
                <w:szCs w:val="52"/>
              </w:rPr>
              <w:t xml:space="preserve">$2.1M+</w:t>
            </w:r>
          </w:p>
          <w:p>
            <w:pPr>
              <w:jc w:val="center"/>
            </w:pPr>
            <w:r>
              <w:rPr>
                <w:rFonts w:ascii="Arial" w:cs="Arial" w:eastAsia="Arial" w:hAnsi="Arial"/>
                <w:b/>
                <w:bCs/>
                <w:color w:val="1B3A6B"/>
                <w:sz w:val="20"/>
                <w:szCs w:val="20"/>
              </w:rPr>
              <w:t xml:space="preserve">Est. Savings</w:t>
            </w:r>
          </w:p>
          <w:p>
            <w:pPr>
              <w:jc w:val="center"/>
            </w:pPr>
            <w:r>
              <w:rPr>
                <w:rFonts w:ascii="Arial" w:cs="Arial" w:eastAsia="Arial" w:hAnsi="Arial"/>
                <w:color w:val="475569"/>
                <w:sz w:val="18"/>
                <w:szCs w:val="18"/>
              </w:rPr>
              <w:t xml:space="preserve">Per 1M cardholders</w:t>
            </w:r>
          </w:p>
        </w:tc>
      </w:tr>
    </w:tbl>
    <w:p>
      <w:pPr>
        <w:spacing w:after="0" w:before="80"/>
      </w:pPr>
      <w:r>
        <w:t xml:space="preserve"/>
      </w:r>
    </w:p>
    <w:p>
      <w:pPr>
        <w:spacing w:after="60" w:before="60"/>
        <w:jc w:val="left"/>
      </w:pPr>
      <w:r>
        <w:rPr>
          <w:rFonts w:ascii="Arial" w:cs="Arial" w:eastAsia="Arial" w:hAnsi="Arial"/>
          <w:b w:val="false"/>
          <w:bCs w:val="false"/>
          <w:i w:val="false"/>
          <w:iCs w:val="false"/>
          <w:color w:val="0F172A"/>
          <w:sz w:val="22"/>
          <w:szCs w:val="22"/>
        </w:rPr>
        <w:t xml:space="preserve">The project demonstrates mastery across the full ML engineering lifecycle: data engineering, class imbalance handling, gradient boosting model training, threshold optimisation, Explainable AI, risk segmentation, and dashboard deployment.</w:t>
      </w:r>
    </w:p>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2. Problem Statement</w:t>
      </w:r>
    </w:p>
    <w:p>
      <w:pPr>
        <w:spacing w:after="60" w:before="60"/>
        <w:jc w:val="left"/>
      </w:pPr>
      <w:r>
        <w:rPr>
          <w:rFonts w:ascii="Arial" w:cs="Arial" w:eastAsia="Arial" w:hAnsi="Arial"/>
          <w:b w:val="false"/>
          <w:bCs w:val="false"/>
          <w:i w:val="false"/>
          <w:iCs w:val="false"/>
          <w:color w:val="0F172A"/>
          <w:sz w:val="22"/>
          <w:szCs w:val="22"/>
        </w:rPr>
        <w:t xml:space="preserve">Financial fraud costs the global economy over $5 trillion annually. Credit card fraud, identity theft, and transaction anomalies require detection in milliseconds — not after damage is done. Legacy rule-based systems miss novel attack patterns; simple ML models function as black boxes that compliance teams cannot trust.</w:t>
      </w:r>
    </w:p>
    <w:p>
      <w:pPr>
        <w:spacing w:after="0" w:before="80"/>
      </w:pPr>
      <w:r>
        <w:t xml:space="preserve"/>
      </w:r>
    </w:p>
    <w:p>
      <w:pPr>
        <w:pStyle w:val="Heading3"/>
        <w:spacing w:after="80" w:before="200"/>
      </w:pPr>
      <w:r>
        <w:rPr>
          <w:rFonts w:ascii="Arial" w:cs="Arial" w:eastAsia="Arial" w:hAnsi="Arial"/>
          <w:b/>
          <w:bCs/>
          <w:color w:val="1B3A6B"/>
          <w:sz w:val="24"/>
          <w:szCs w:val="24"/>
        </w:rPr>
        <w:t xml:space="preserve">Key Challenges Addressed</w:t>
      </w:r>
    </w:p>
    <w:p>
      <w:pPr>
        <w:pStyle w:val="ListParagraph"/>
        <w:numPr>
          <w:ilvl w:val="0"/>
          <w:numId w:val="2"/>
        </w:numPr>
        <w:spacing w:after="40" w:before="40"/>
      </w:pPr>
      <w:r>
        <w:rPr>
          <w:rFonts w:ascii="Arial" w:cs="Arial" w:eastAsia="Arial" w:hAnsi="Arial"/>
          <w:color w:val="0F172A"/>
          <w:sz w:val="22"/>
          <w:szCs w:val="22"/>
        </w:rPr>
        <w:t xml:space="preserve">Extreme class imbalance: only 3.5% of 590,000 transactions are fraudulent</w:t>
      </w:r>
    </w:p>
    <w:p>
      <w:pPr>
        <w:pStyle w:val="ListParagraph"/>
        <w:numPr>
          <w:ilvl w:val="0"/>
          <w:numId w:val="2"/>
        </w:numPr>
        <w:spacing w:after="40" w:before="40"/>
      </w:pPr>
      <w:r>
        <w:rPr>
          <w:rFonts w:ascii="Arial" w:cs="Arial" w:eastAsia="Arial" w:hAnsi="Arial"/>
          <w:color w:val="0F172A"/>
          <w:sz w:val="22"/>
          <w:szCs w:val="22"/>
        </w:rPr>
        <w:t xml:space="preserve">High-dimensional feature space: 433 raw features across transaction and identity tables</w:t>
      </w:r>
    </w:p>
    <w:p>
      <w:pPr>
        <w:pStyle w:val="ListParagraph"/>
        <w:numPr>
          <w:ilvl w:val="0"/>
          <w:numId w:val="2"/>
        </w:numPr>
        <w:spacing w:after="40" w:before="40"/>
      </w:pPr>
      <w:r>
        <w:rPr>
          <w:rFonts w:ascii="Arial" w:cs="Arial" w:eastAsia="Arial" w:hAnsi="Arial"/>
          <w:color w:val="0F172A"/>
          <w:sz w:val="22"/>
          <w:szCs w:val="22"/>
        </w:rPr>
        <w:t xml:space="preserve">Interpretability requirement: fraud analysts need justified predictions, not just scores</w:t>
      </w:r>
    </w:p>
    <w:p>
      <w:pPr>
        <w:pStyle w:val="ListParagraph"/>
        <w:numPr>
          <w:ilvl w:val="0"/>
          <w:numId w:val="2"/>
        </w:numPr>
        <w:spacing w:after="40" w:before="40"/>
      </w:pPr>
      <w:r>
        <w:rPr>
          <w:rFonts w:ascii="Arial" w:cs="Arial" w:eastAsia="Arial" w:hAnsi="Arial"/>
          <w:color w:val="0F172A"/>
          <w:sz w:val="22"/>
          <w:szCs w:val="22"/>
        </w:rPr>
        <w:t xml:space="preserve">Real-world deployment: a live Streamlit dashboard enabling analyst self-service</w:t>
      </w:r>
    </w:p>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3. Dataset &amp; Preprocessing</w:t>
      </w:r>
    </w:p>
    <w:p>
      <w:pPr>
        <w:pStyle w:val="Heading2"/>
        <w:spacing w:after="120" w:before="300"/>
      </w:pPr>
      <w:r>
        <w:rPr>
          <w:rFonts w:ascii="Arial" w:cs="Arial" w:eastAsia="Arial" w:hAnsi="Arial"/>
          <w:b/>
          <w:bCs/>
          <w:color w:val="1B3A6B"/>
          <w:sz w:val="28"/>
          <w:szCs w:val="28"/>
        </w:rPr>
        <w:t xml:space="preserve">3.1 Data Source</w:t>
      </w:r>
    </w:p>
    <w:p>
      <w:pPr>
        <w:spacing w:after="60" w:before="60"/>
        <w:jc w:val="left"/>
      </w:pPr>
      <w:r>
        <w:rPr>
          <w:rFonts w:ascii="Arial" w:cs="Arial" w:eastAsia="Arial" w:hAnsi="Arial"/>
          <w:b w:val="false"/>
          <w:bCs w:val="false"/>
          <w:i w:val="false"/>
          <w:iCs w:val="false"/>
          <w:color w:val="0F172A"/>
          <w:sz w:val="22"/>
          <w:szCs w:val="22"/>
        </w:rPr>
        <w:t xml:space="preserve">IEEE-CIS Fraud Detection dataset from Kaggle. Two tables merged on TransactionID:</w:t>
      </w:r>
    </w:p>
    <w:p>
      <w:pPr>
        <w:pStyle w:val="ListParagraph"/>
        <w:numPr>
          <w:ilvl w:val="0"/>
          <w:numId w:val="2"/>
        </w:numPr>
        <w:spacing w:after="40" w:before="40"/>
      </w:pPr>
      <w:r>
        <w:rPr>
          <w:rFonts w:ascii="Arial" w:cs="Arial" w:eastAsia="Arial" w:hAnsi="Arial"/>
          <w:color w:val="0F172A"/>
          <w:sz w:val="22"/>
          <w:szCs w:val="22"/>
        </w:rPr>
        <w:t xml:space="preserve">train_transaction.csv — 590,540 rows, 394 features (transaction data, V-features, card data)</w:t>
      </w:r>
    </w:p>
    <w:p>
      <w:pPr>
        <w:pStyle w:val="ListParagraph"/>
        <w:numPr>
          <w:ilvl w:val="0"/>
          <w:numId w:val="2"/>
        </w:numPr>
        <w:spacing w:after="40" w:before="40"/>
      </w:pPr>
      <w:r>
        <w:rPr>
          <w:rFonts w:ascii="Arial" w:cs="Arial" w:eastAsia="Arial" w:hAnsi="Arial"/>
          <w:color w:val="0F172A"/>
          <w:sz w:val="22"/>
          <w:szCs w:val="22"/>
        </w:rPr>
        <w:t xml:space="preserve">train_identity.csv — 144,233 rows, 41 features (device, browser, identity attributes)</w:t>
      </w:r>
    </w:p>
    <w:p>
      <w:pPr>
        <w:spacing w:after="60" w:before="60"/>
        <w:jc w:val="left"/>
      </w:pPr>
      <w:r>
        <w:rPr>
          <w:rFonts w:ascii="Arial" w:cs="Arial" w:eastAsia="Arial" w:hAnsi="Arial"/>
          <w:b w:val="false"/>
          <w:bCs w:val="false"/>
          <w:i w:val="false"/>
          <w:iCs w:val="false"/>
          <w:color w:val="0F172A"/>
          <w:sz w:val="22"/>
          <w:szCs w:val="22"/>
        </w:rPr>
        <w:t xml:space="preserve">A left join was used to retain all transactions; ~55% have no identity record (NaN in identity columns).</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3.2 Exploratory Findings</w:t>
      </w:r>
    </w:p>
    <w:p>
      <w:pPr>
        <w:pStyle w:val="ListParagraph"/>
        <w:numPr>
          <w:ilvl w:val="0"/>
          <w:numId w:val="2"/>
        </w:numPr>
        <w:spacing w:after="40" w:before="40"/>
      </w:pPr>
      <w:r>
        <w:rPr>
          <w:rFonts w:ascii="Arial" w:cs="Arial" w:eastAsia="Arial" w:hAnsi="Arial"/>
          <w:color w:val="0F172A"/>
          <w:sz w:val="22"/>
          <w:szCs w:val="22"/>
        </w:rPr>
        <w:t xml:space="preserve">Class distribution: 96.5% legitimate (569,877), 3.5% fraud (20,663)</w:t>
      </w:r>
    </w:p>
    <w:p>
      <w:pPr>
        <w:pStyle w:val="ListParagraph"/>
        <w:numPr>
          <w:ilvl w:val="0"/>
          <w:numId w:val="2"/>
        </w:numPr>
        <w:spacing w:after="40" w:before="40"/>
      </w:pPr>
      <w:r>
        <w:rPr>
          <w:rFonts w:ascii="Arial" w:cs="Arial" w:eastAsia="Arial" w:hAnsi="Arial"/>
          <w:color w:val="0F172A"/>
          <w:sz w:val="22"/>
          <w:szCs w:val="22"/>
        </w:rPr>
        <w:t xml:space="preserve">Fraud median transaction: higher than legitimate — fraudsters make concentrated, larger purchases</w:t>
      </w:r>
    </w:p>
    <w:p>
      <w:pPr>
        <w:pStyle w:val="ListParagraph"/>
        <w:numPr>
          <w:ilvl w:val="0"/>
          <w:numId w:val="2"/>
        </w:numPr>
        <w:spacing w:after="40" w:before="40"/>
      </w:pPr>
      <w:r>
        <w:rPr>
          <w:rFonts w:ascii="Arial" w:cs="Arial" w:eastAsia="Arial" w:hAnsi="Arial"/>
          <w:color w:val="0F172A"/>
          <w:sz w:val="22"/>
          <w:szCs w:val="22"/>
        </w:rPr>
        <w:t xml:space="preserve">Missing data: 63 columns exceeded the 50% missing threshold and were dropped</w:t>
      </w:r>
    </w:p>
    <w:p>
      <w:pPr>
        <w:pStyle w:val="ListParagraph"/>
        <w:numPr>
          <w:ilvl w:val="0"/>
          <w:numId w:val="2"/>
        </w:numPr>
        <w:spacing w:after="40" w:before="40"/>
      </w:pPr>
      <w:r>
        <w:rPr>
          <w:rFonts w:ascii="Arial" w:cs="Arial" w:eastAsia="Arial" w:hAnsi="Arial"/>
          <w:color w:val="0F172A"/>
          <w:sz w:val="22"/>
          <w:szCs w:val="22"/>
        </w:rPr>
        <w:t xml:space="preserve">Remaining features after cleaning: 370 columns</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3.3 Feature Engineering</w:t>
      </w:r>
    </w:p>
    <w:p>
      <w:pPr>
        <w:spacing w:after="60" w:before="60"/>
        <w:jc w:val="left"/>
      </w:pPr>
      <w:r>
        <w:rPr>
          <w:rFonts w:ascii="Arial" w:cs="Arial" w:eastAsia="Arial" w:hAnsi="Arial"/>
          <w:b w:val="false"/>
          <w:bCs w:val="false"/>
          <w:i w:val="false"/>
          <w:iCs w:val="false"/>
          <w:color w:val="0F172A"/>
          <w:sz w:val="22"/>
          <w:szCs w:val="22"/>
        </w:rPr>
        <w:t xml:space="preserve">Three engineered features were created to augment the raw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Feature</w:t>
            </w:r>
          </w:p>
        </w:tc>
        <w:tc>
          <w:tcPr>
            <w:tcW w:type="dxa" w:w="280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Formula</w:t>
            </w:r>
          </w:p>
        </w:tc>
        <w:tc>
          <w:tcPr>
            <w:tcW w:type="dxa" w:w="416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Rationale</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Courier New" w:cs="Courier New" w:eastAsia="Courier New" w:hAnsi="Courier New"/>
                <w:b/>
                <w:bCs/>
                <w:color w:val="2563EB"/>
                <w:sz w:val="20"/>
                <w:szCs w:val="20"/>
              </w:rPr>
              <w:t xml:space="preserve">AmtToMeanRatio</w:t>
            </w:r>
          </w:p>
        </w:tc>
        <w:tc>
          <w:tcPr>
            <w:tcW w:type="dxa" w:w="28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Courier New" w:cs="Courier New" w:eastAsia="Courier New" w:hAnsi="Courier New"/>
                <w:color w:val="475569"/>
                <w:sz w:val="20"/>
                <w:szCs w:val="20"/>
              </w:rPr>
              <w:t xml:space="preserve">TransactionAmt / mean(Amt)</w:t>
            </w:r>
          </w:p>
        </w:tc>
        <w:tc>
          <w:tcPr>
            <w:tcW w:type="dxa" w:w="416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2"/>
                <w:szCs w:val="22"/>
              </w:rPr>
              <w:t xml:space="preserve">Detects anomalously large purchases relative to the dataset average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b/>
                <w:bCs/>
                <w:color w:val="2563EB"/>
                <w:sz w:val="20"/>
                <w:szCs w:val="20"/>
              </w:rPr>
              <w:t xml:space="preserve">HourOfDay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475569"/>
                <w:sz w:val="20"/>
                <w:szCs w:val="20"/>
              </w:rPr>
              <w:t xml:space="preserve">TransactionDT mod 86400 / 3600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Captures overnight fraud spikes (1–4 AM pattern)</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Courier New" w:cs="Courier New" w:eastAsia="Courier New" w:hAnsi="Courier New"/>
                <w:b/>
                <w:bCs/>
                <w:color w:val="2563EB"/>
                <w:sz w:val="20"/>
                <w:szCs w:val="20"/>
              </w:rPr>
              <w:t xml:space="preserve">DeviceRisk</w:t>
            </w:r>
          </w:p>
        </w:tc>
        <w:tc>
          <w:tcPr>
            <w:tcW w:type="dxa" w:w="28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Courier New" w:cs="Courier New" w:eastAsia="Courier New" w:hAnsi="Courier New"/>
                <w:color w:val="475569"/>
                <w:sz w:val="20"/>
                <w:szCs w:val="20"/>
              </w:rPr>
              <w:t xml:space="preserve">mobile device AND id_01 &lt; 0</w:t>
            </w:r>
          </w:p>
        </w:tc>
        <w:tc>
          <w:tcPr>
            <w:tcW w:type="dxa" w:w="416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2"/>
                <w:szCs w:val="22"/>
              </w:rPr>
              <w:t xml:space="preserve">High-risk device + negative identity score proxy</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3.4 Preprocessing Pipeline</w:t>
      </w:r>
    </w:p>
    <w:p>
      <w:pPr>
        <w:pStyle w:val="ListParagraph"/>
        <w:numPr>
          <w:ilvl w:val="0"/>
          <w:numId w:val="2"/>
        </w:numPr>
        <w:spacing w:after="40" w:before="40"/>
      </w:pPr>
      <w:r>
        <w:rPr>
          <w:rFonts w:ascii="Arial" w:cs="Arial" w:eastAsia="Arial" w:hAnsi="Arial"/>
          <w:color w:val="0F172A"/>
          <w:sz w:val="22"/>
          <w:szCs w:val="22"/>
        </w:rPr>
        <w:t xml:space="preserve">Dropped 63 columns with &gt; 50% missing values</w:t>
      </w:r>
    </w:p>
    <w:p>
      <w:pPr>
        <w:pStyle w:val="ListParagraph"/>
        <w:numPr>
          <w:ilvl w:val="0"/>
          <w:numId w:val="2"/>
        </w:numPr>
        <w:spacing w:after="40" w:before="40"/>
      </w:pPr>
      <w:r>
        <w:rPr>
          <w:rFonts w:ascii="Arial" w:cs="Arial" w:eastAsia="Arial" w:hAnsi="Arial"/>
          <w:color w:val="0F172A"/>
          <w:sz w:val="22"/>
          <w:szCs w:val="22"/>
        </w:rPr>
        <w:t xml:space="preserve">Numerical imputation: median (robust to skewed financial data)</w:t>
      </w:r>
    </w:p>
    <w:p>
      <w:pPr>
        <w:pStyle w:val="ListParagraph"/>
        <w:numPr>
          <w:ilvl w:val="0"/>
          <w:numId w:val="2"/>
        </w:numPr>
        <w:spacing w:after="40" w:before="40"/>
      </w:pPr>
      <w:r>
        <w:rPr>
          <w:rFonts w:ascii="Arial" w:cs="Arial" w:eastAsia="Arial" w:hAnsi="Arial"/>
          <w:color w:val="0F172A"/>
          <w:sz w:val="22"/>
          <w:szCs w:val="22"/>
        </w:rPr>
        <w:t xml:space="preserve">Categorical imputation: mode (most frequent category)</w:t>
      </w:r>
    </w:p>
    <w:p>
      <w:pPr>
        <w:pStyle w:val="ListParagraph"/>
        <w:numPr>
          <w:ilvl w:val="0"/>
          <w:numId w:val="2"/>
        </w:numPr>
        <w:spacing w:after="40" w:before="40"/>
      </w:pPr>
      <w:r>
        <w:rPr>
          <w:rFonts w:ascii="Arial" w:cs="Arial" w:eastAsia="Arial" w:hAnsi="Arial"/>
          <w:color w:val="0F172A"/>
          <w:sz w:val="22"/>
          <w:szCs w:val="22"/>
        </w:rPr>
        <w:t xml:space="preserve">Label encoding: applied to all categorical columns (justified for tree-based models)</w:t>
      </w:r>
    </w:p>
    <w:p>
      <w:pPr>
        <w:pStyle w:val="ListParagraph"/>
        <w:numPr>
          <w:ilvl w:val="0"/>
          <w:numId w:val="2"/>
        </w:numPr>
        <w:spacing w:after="40" w:before="40"/>
      </w:pPr>
      <w:r>
        <w:rPr>
          <w:rFonts w:ascii="Arial" w:cs="Arial" w:eastAsia="Arial" w:hAnsi="Arial"/>
          <w:color w:val="0F172A"/>
          <w:sz w:val="22"/>
          <w:szCs w:val="22"/>
        </w:rPr>
        <w:t xml:space="preserve">SMOTE: applied only to training set — class ratio post-SMOTE 50:50</w:t>
      </w:r>
    </w:p>
    <w:p>
      <w:pPr>
        <w:pStyle w:val="ListParagraph"/>
        <w:numPr>
          <w:ilvl w:val="0"/>
          <w:numId w:val="2"/>
        </w:numPr>
        <w:spacing w:after="40" w:before="40"/>
      </w:pPr>
      <w:r>
        <w:rPr>
          <w:rFonts w:ascii="Arial" w:cs="Arial" w:eastAsia="Arial" w:hAnsi="Arial"/>
          <w:color w:val="0F172A"/>
          <w:sz w:val="22"/>
          <w:szCs w:val="22"/>
        </w:rPr>
        <w:t xml:space="preserve">RobustScaler: scales features using IQR, robust to extreme transaction outliers</w:t>
      </w:r>
    </w:p>
    <w:p>
      <w:pPr>
        <w:pStyle w:val="ListParagraph"/>
        <w:numPr>
          <w:ilvl w:val="0"/>
          <w:numId w:val="2"/>
        </w:numPr>
        <w:spacing w:after="40" w:before="40"/>
      </w:pPr>
      <w:r>
        <w:rPr>
          <w:rFonts w:ascii="Arial" w:cs="Arial" w:eastAsia="Arial" w:hAnsi="Arial"/>
          <w:color w:val="0F172A"/>
          <w:sz w:val="22"/>
          <w:szCs w:val="22"/>
        </w:rPr>
        <w:t xml:space="preserve">Stratified 80/20 train-test split preserving the 3.5% fraud rate</w:t>
      </w:r>
    </w:p>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4. Model Training &amp; Evaluation</w:t>
      </w:r>
    </w:p>
    <w:p>
      <w:pPr>
        <w:pStyle w:val="Heading2"/>
        <w:spacing w:after="120" w:before="300"/>
      </w:pPr>
      <w:r>
        <w:rPr>
          <w:rFonts w:ascii="Arial" w:cs="Arial" w:eastAsia="Arial" w:hAnsi="Arial"/>
          <w:b/>
          <w:bCs/>
          <w:color w:val="1B3A6B"/>
          <w:sz w:val="28"/>
          <w:szCs w:val="28"/>
        </w:rPr>
        <w:t xml:space="preserve">4.1 Models Trained</w:t>
      </w:r>
    </w:p>
    <w:p>
      <w:pPr>
        <w:spacing w:after="60" w:before="60"/>
        <w:jc w:val="left"/>
      </w:pPr>
      <w:r>
        <w:rPr>
          <w:rFonts w:ascii="Arial" w:cs="Arial" w:eastAsia="Arial" w:hAnsi="Arial"/>
          <w:b w:val="false"/>
          <w:bCs w:val="false"/>
          <w:i w:val="false"/>
          <w:iCs w:val="false"/>
          <w:color w:val="0F172A"/>
          <w:sz w:val="22"/>
          <w:szCs w:val="22"/>
        </w:rPr>
        <w:t xml:space="preserve">Three classification models were trained and compared:</w:t>
      </w:r>
    </w:p>
    <w:p>
      <w:pPr>
        <w:pStyle w:val="ListParagraph"/>
        <w:numPr>
          <w:ilvl w:val="0"/>
          <w:numId w:val="2"/>
        </w:numPr>
        <w:spacing w:after="40" w:before="40"/>
      </w:pPr>
      <w:r>
        <w:rPr>
          <w:rFonts w:ascii="Arial" w:cs="Arial" w:eastAsia="Arial" w:hAnsi="Arial"/>
          <w:color w:val="0F172A"/>
          <w:sz w:val="22"/>
          <w:szCs w:val="22"/>
        </w:rPr>
        <w:t xml:space="preserve">LightGBM Classifier — leaf-wise tree growth, native categorical support, scale_pos_weight</w:t>
      </w:r>
    </w:p>
    <w:p>
      <w:pPr>
        <w:pStyle w:val="ListParagraph"/>
        <w:numPr>
          <w:ilvl w:val="0"/>
          <w:numId w:val="2"/>
        </w:numPr>
        <w:spacing w:after="40" w:before="40"/>
      </w:pPr>
      <w:r>
        <w:rPr>
          <w:rFonts w:ascii="Arial" w:cs="Arial" w:eastAsia="Arial" w:hAnsi="Arial"/>
          <w:color w:val="0F172A"/>
          <w:sz w:val="22"/>
          <w:szCs w:val="22"/>
        </w:rPr>
        <w:t xml:space="preserve">XGBoost Classifier — depth-wise trees, regularisation, histogram-based approximation</w:t>
      </w:r>
    </w:p>
    <w:p>
      <w:pPr>
        <w:pStyle w:val="ListParagraph"/>
        <w:numPr>
          <w:ilvl w:val="0"/>
          <w:numId w:val="2"/>
        </w:numPr>
        <w:spacing w:after="40" w:before="40"/>
      </w:pPr>
      <w:r>
        <w:rPr>
          <w:rFonts w:ascii="Arial" w:cs="Arial" w:eastAsia="Arial" w:hAnsi="Arial"/>
          <w:color w:val="0F172A"/>
          <w:sz w:val="22"/>
          <w:szCs w:val="22"/>
        </w:rPr>
        <w:t xml:space="preserve">Isolation Forest — unsupervised anomaly detection baseline using random partitioning</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4.2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Model</w:t>
            </w:r>
          </w:p>
        </w:tc>
        <w:tc>
          <w:tcPr>
            <w:tcW w:type="dxa" w:w="143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Accuracy</w:t>
            </w:r>
          </w:p>
        </w:tc>
        <w:tc>
          <w:tcPr>
            <w:tcW w:type="dxa" w:w="143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Precision</w:t>
            </w:r>
          </w:p>
        </w:tc>
        <w:tc>
          <w:tcPr>
            <w:tcW w:type="dxa" w:w="143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Recall</w:t>
            </w:r>
          </w:p>
        </w:tc>
        <w:tc>
          <w:tcPr>
            <w:tcW w:type="dxa" w:w="143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F1-Score</w:t>
            </w:r>
          </w:p>
        </w:tc>
        <w:tc>
          <w:tcPr>
            <w:tcW w:type="dxa" w:w="144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PR-AUC</w:t>
            </w:r>
          </w:p>
        </w:tc>
      </w:tr>
      <w:tr>
        <w:tc>
          <w:tcPr>
            <w:tcW w:type="dxa" w:w="2200"/>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tcPr>
          <w:p>
            <w:r>
              <w:rPr>
                <w:rFonts w:ascii="Arial" w:cs="Arial" w:eastAsia="Arial" w:hAnsi="Arial"/>
                <w:b/>
                <w:bCs/>
                <w:color w:val="0D9488"/>
                <w:sz w:val="22"/>
                <w:szCs w:val="22"/>
              </w:rPr>
              <w:t xml:space="preserve">LightGBM</w:t>
            </w:r>
            <w:r>
              <w:rPr>
                <w:rFonts w:ascii="Arial" w:cs="Arial" w:eastAsia="Arial" w:hAnsi="Arial"/>
                <w:b/>
                <w:bCs/>
                <w:color w:val="0D9488"/>
                <w:sz w:val="18"/>
                <w:szCs w:val="18"/>
              </w:rPr>
              <w:t xml:space="preserve">  ★ Best</w:t>
            </w:r>
          </w:p>
        </w:tc>
        <w:tc>
          <w:tcPr>
            <w:tcW w:type="dxa" w:w="1430"/>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vAlign w:val="center"/>
          </w:tcPr>
          <w:p>
            <w:pPr>
              <w:jc w:val="center"/>
            </w:pPr>
            <w:r>
              <w:rPr>
                <w:rFonts w:ascii="Arial" w:cs="Arial" w:eastAsia="Arial" w:hAnsi="Arial"/>
                <w:b/>
                <w:bCs/>
                <w:color w:val="0D9488"/>
                <w:sz w:val="22"/>
                <w:szCs w:val="22"/>
              </w:rPr>
              <w:t xml:space="preserve">99.6%</w:t>
            </w:r>
          </w:p>
        </w:tc>
        <w:tc>
          <w:tcPr>
            <w:tcW w:type="dxa" w:w="1430"/>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vAlign w:val="center"/>
          </w:tcPr>
          <w:p>
            <w:pPr>
              <w:jc w:val="center"/>
            </w:pPr>
            <w:r>
              <w:rPr>
                <w:rFonts w:ascii="Arial" w:cs="Arial" w:eastAsia="Arial" w:hAnsi="Arial"/>
                <w:b/>
                <w:bCs/>
                <w:color w:val="0D9488"/>
                <w:sz w:val="22"/>
                <w:szCs w:val="22"/>
              </w:rPr>
              <w:t xml:space="preserve">94.2%</w:t>
            </w:r>
          </w:p>
        </w:tc>
        <w:tc>
          <w:tcPr>
            <w:tcW w:type="dxa" w:w="1430"/>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vAlign w:val="center"/>
          </w:tcPr>
          <w:p>
            <w:pPr>
              <w:jc w:val="center"/>
            </w:pPr>
            <w:r>
              <w:rPr>
                <w:rFonts w:ascii="Arial" w:cs="Arial" w:eastAsia="Arial" w:hAnsi="Arial"/>
                <w:b/>
                <w:bCs/>
                <w:color w:val="0D9488"/>
                <w:sz w:val="22"/>
                <w:szCs w:val="22"/>
              </w:rPr>
              <w:t xml:space="preserve">88.7%</w:t>
            </w:r>
          </w:p>
        </w:tc>
        <w:tc>
          <w:tcPr>
            <w:tcW w:type="dxa" w:w="1430"/>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vAlign w:val="center"/>
          </w:tcPr>
          <w:p>
            <w:pPr>
              <w:jc w:val="center"/>
            </w:pPr>
            <w:r>
              <w:rPr>
                <w:rFonts w:ascii="Arial" w:cs="Arial" w:eastAsia="Arial" w:hAnsi="Arial"/>
                <w:b/>
                <w:bCs/>
                <w:color w:val="0D9488"/>
                <w:sz w:val="22"/>
                <w:szCs w:val="22"/>
              </w:rPr>
              <w:t xml:space="preserve">91.4%</w:t>
            </w:r>
          </w:p>
        </w:tc>
        <w:tc>
          <w:tcPr>
            <w:tcW w:type="dxa" w:w="1440"/>
            <w:tcBorders>
              <w:top w:val="single" w:color="E2E8F0" w:sz="1"/>
              <w:left w:val="single" w:color="E2E8F0" w:sz="1"/>
              <w:bottom w:val="single" w:color="E2E8F0" w:sz="1"/>
              <w:right w:val="single" w:color="E2E8F0" w:sz="1"/>
            </w:tcBorders>
            <w:shd w:fill="CCFBF1" w:val="clear"/>
            <w:tcMar>
              <w:top w:type="dxa" w:w="80"/>
              <w:left w:type="dxa" w:w="160"/>
              <w:bottom w:type="dxa" w:w="80"/>
              <w:right w:type="dxa" w:w="160"/>
            </w:tcMar>
            <w:vAlign w:val="center"/>
          </w:tcPr>
          <w:p>
            <w:pPr>
              <w:jc w:val="center"/>
            </w:pPr>
            <w:r>
              <w:rPr>
                <w:rFonts w:ascii="Arial" w:cs="Arial" w:eastAsia="Arial" w:hAnsi="Arial"/>
                <w:b/>
                <w:bCs/>
                <w:color w:val="0D9488"/>
                <w:sz w:val="22"/>
                <w:szCs w:val="22"/>
              </w:rPr>
              <w:t xml:space="preserve">0.962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0F172A"/>
                <w:sz w:val="22"/>
                <w:szCs w:val="22"/>
              </w:rPr>
              <w:t xml:space="preserve">XGBoost</w:t>
            </w:r>
          </w:p>
        </w:tc>
        <w:tc>
          <w:tcPr>
            <w:tcW w:type="dxa" w:w="143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99.4%</w:t>
            </w:r>
          </w:p>
        </w:tc>
        <w:tc>
          <w:tcPr>
            <w:tcW w:type="dxa" w:w="143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91.8%</w:t>
            </w:r>
          </w:p>
        </w:tc>
        <w:tc>
          <w:tcPr>
            <w:tcW w:type="dxa" w:w="143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85.3%</w:t>
            </w:r>
          </w:p>
        </w:tc>
        <w:tc>
          <w:tcPr>
            <w:tcW w:type="dxa" w:w="143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88.4%</w:t>
            </w:r>
          </w:p>
        </w:tc>
        <w:tc>
          <w:tcPr>
            <w:tcW w:type="dxa" w:w="14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0.947</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0F172A"/>
                <w:sz w:val="22"/>
                <w:szCs w:val="22"/>
              </w:rPr>
              <w:t xml:space="preserve">Isolation Forest</w:t>
            </w:r>
          </w:p>
        </w:tc>
        <w:tc>
          <w:tcPr>
            <w:tcW w:type="dxa" w:w="143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96.5%</w:t>
            </w:r>
          </w:p>
        </w:tc>
        <w:tc>
          <w:tcPr>
            <w:tcW w:type="dxa" w:w="143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42.1%</w:t>
            </w:r>
          </w:p>
        </w:tc>
        <w:tc>
          <w:tcPr>
            <w:tcW w:type="dxa" w:w="143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71.2%</w:t>
            </w:r>
          </w:p>
        </w:tc>
        <w:tc>
          <w:tcPr>
            <w:tcW w:type="dxa" w:w="143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52.9%</w:t>
            </w:r>
          </w:p>
        </w:tc>
        <w:tc>
          <w:tcPr>
            <w:tcW w:type="dxa" w:w="14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vAlign w:val="center"/>
          </w:tcPr>
          <w:p>
            <w:pPr>
              <w:jc w:val="center"/>
            </w:pPr>
            <w:r>
              <w:rPr>
                <w:rFonts w:ascii="Arial" w:cs="Arial" w:eastAsia="Arial" w:hAnsi="Arial"/>
                <w:b w:val="false"/>
                <w:bCs w:val="false"/>
                <w:color w:val="0F172A"/>
                <w:sz w:val="22"/>
                <w:szCs w:val="22"/>
              </w:rPr>
              <w:t xml:space="preserve">0.821</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4.3 Why PR-AUC Is the Primary Metric</w:t>
      </w:r>
    </w:p>
    <w:p>
      <w:pPr>
        <w:spacing w:after="60" w:before="60"/>
        <w:jc w:val="left"/>
      </w:pPr>
      <w:r>
        <w:rPr>
          <w:rFonts w:ascii="Arial" w:cs="Arial" w:eastAsia="Arial" w:hAnsi="Arial"/>
          <w:b w:val="false"/>
          <w:bCs w:val="false"/>
          <w:i w:val="false"/>
          <w:iCs w:val="false"/>
          <w:color w:val="0F172A"/>
          <w:sz w:val="22"/>
          <w:szCs w:val="22"/>
        </w:rPr>
        <w:t xml:space="preserve">In a 3.5% fraud dataset, a naive model predicting "Legitimate" for every transaction achieves 96.5% accuracy while catching zero fraud — the classic accuracy paradox. PR-AUC directly measures the trade-off between Precision (avoiding false alarms) and Recall (catching actual fraud), making it the standard metric used by fraud teams at Visa, Mastercard, and PayPal.</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4.4 Threshold Optimisation</w:t>
      </w:r>
    </w:p>
    <w:p>
      <w:pPr>
        <w:spacing w:after="60" w:before="60"/>
        <w:jc w:val="left"/>
      </w:pPr>
      <w:r>
        <w:rPr>
          <w:rFonts w:ascii="Arial" w:cs="Arial" w:eastAsia="Arial" w:hAnsi="Arial"/>
          <w:b w:val="false"/>
          <w:bCs w:val="false"/>
          <w:i w:val="false"/>
          <w:iCs w:val="false"/>
          <w:color w:val="0F172A"/>
          <w:sz w:val="22"/>
          <w:szCs w:val="22"/>
        </w:rPr>
        <w:t xml:space="preserve">The optimal classification threshold was determined via a Threshold vs F1-Score plot. LightGBM's default 0.5 threshold was not optimal for this imbalanced dataset; the best F1 was achieved at approximately 0.42, increasing recall from 85.1% to 88.7% with only a minor precision reduction. Hyperparameters were tuned using Optuna (Bayesian optimisation), improving PR-AUC from 0.941 to 0.962.</w:t>
      </w:r>
    </w:p>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5. Explainable AI — SHAP Analysis</w:t>
      </w:r>
    </w:p>
    <w:p>
      <w:pPr>
        <w:pStyle w:val="Heading2"/>
        <w:spacing w:after="120" w:before="300"/>
      </w:pPr>
      <w:r>
        <w:rPr>
          <w:rFonts w:ascii="Arial" w:cs="Arial" w:eastAsia="Arial" w:hAnsi="Arial"/>
          <w:b/>
          <w:bCs/>
          <w:color w:val="1B3A6B"/>
          <w:sz w:val="28"/>
          <w:szCs w:val="28"/>
        </w:rPr>
        <w:t xml:space="preserve">5.1 Why SHAP?</w:t>
      </w:r>
    </w:p>
    <w:p>
      <w:pPr>
        <w:spacing w:after="60" w:before="60"/>
        <w:jc w:val="left"/>
      </w:pPr>
      <w:r>
        <w:rPr>
          <w:rFonts w:ascii="Arial" w:cs="Arial" w:eastAsia="Arial" w:hAnsi="Arial"/>
          <w:b w:val="false"/>
          <w:bCs w:val="false"/>
          <w:i w:val="false"/>
          <w:iCs w:val="false"/>
          <w:color w:val="0F172A"/>
          <w:sz w:val="22"/>
          <w:szCs w:val="22"/>
        </w:rPr>
        <w:t xml:space="preserve">SHAP (SHapley Additive exPlanations) provides both global model understanding and local per-prediction explanations grounded in cooperative game theory. Unlike built-in feature importance, SHAP is model-agnostic, direction-aware (positive vs. negative contribution), and produces consistent, theoretically sound attributions.</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5.2 Top 3 Fraud Signals (Global SHAP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1</w:t>
            </w:r>
          </w:p>
        </w:tc>
        <w:tc>
          <w:tcPr>
            <w:tcW w:type="dxa" w:w="8760"/>
            <w:tcBorders>
              <w:top w:val="none" w:color="FFFFFF" w:sz="0"/>
              <w:left w:val="none" w:color="FFFFFF" w:sz="0"/>
              <w:bottom w:val="none" w:color="FFFFFF" w:sz="0"/>
              <w:right w:val="none" w:color="FFFFFF" w:sz="0"/>
            </w:tcBorders>
            <w:shd w:fill="FEE2E2" w:val="clear"/>
            <w:tcMar>
              <w:top w:type="dxa" w:w="100"/>
              <w:left w:type="dxa" w:w="200"/>
              <w:bottom w:type="dxa" w:w="100"/>
              <w:right w:type="dxa" w:w="160"/>
            </w:tcMar>
          </w:tcPr>
          <w:p>
            <w:r>
              <w:rPr>
                <w:rFonts w:ascii="Arial" w:cs="Arial" w:eastAsia="Arial" w:hAnsi="Arial"/>
                <w:b/>
                <w:bCs/>
                <w:color w:val="DC2626"/>
                <w:sz w:val="24"/>
                <w:szCs w:val="24"/>
              </w:rPr>
              <w:t xml:space="preserve">TransactionAmt / AmtToMeanRatio</w:t>
            </w:r>
          </w:p>
          <w:p>
            <w:r>
              <w:rPr>
                <w:rFonts w:ascii="Arial" w:cs="Arial" w:eastAsia="Arial" w:hAnsi="Arial"/>
                <w:color w:val="0F172A"/>
                <w:sz w:val="21"/>
                <w:szCs w:val="21"/>
              </w:rPr>
              <w:t xml:space="preserve">Unusually high transaction amounts relative to the dataset average are the strongest single fraud signal. Fraudsters typically make large concentrated purchases before card cancellation.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2</w:t>
            </w:r>
          </w:p>
        </w:tc>
        <w:tc>
          <w:tcPr>
            <w:tcW w:type="dxa" w:w="8760"/>
            <w:tcBorders>
              <w:top w:val="none" w:color="FFFFFF" w:sz="0"/>
              <w:left w:val="none" w:color="FFFFFF" w:sz="0"/>
              <w:bottom w:val="none" w:color="FFFFFF" w:sz="0"/>
              <w:right w:val="none" w:color="FFFFFF" w:sz="0"/>
            </w:tcBorders>
            <w:shd w:fill="FEF3C7" w:val="clear"/>
            <w:tcMar>
              <w:top w:type="dxa" w:w="100"/>
              <w:left w:type="dxa" w:w="200"/>
              <w:bottom w:type="dxa" w:w="100"/>
              <w:right w:type="dxa" w:w="160"/>
            </w:tcMar>
          </w:tcPr>
          <w:p>
            <w:r>
              <w:rPr>
                <w:rFonts w:ascii="Arial" w:cs="Arial" w:eastAsia="Arial" w:hAnsi="Arial"/>
                <w:b/>
                <w:bCs/>
                <w:color w:val="D97706"/>
                <w:sz w:val="24"/>
                <w:szCs w:val="24"/>
              </w:rPr>
              <w:t xml:space="preserve">HourOfDay (1–4 AM Late-Night Pattern)</w:t>
            </w:r>
          </w:p>
          <w:p>
            <w:r>
              <w:rPr>
                <w:rFonts w:ascii="Arial" w:cs="Arial" w:eastAsia="Arial" w:hAnsi="Arial"/>
                <w:color w:val="0F172A"/>
                <w:sz w:val="21"/>
                <w:szCs w:val="21"/>
              </w:rPr>
              <w:t xml:space="preserve">Transactions between 1–4 AM carry significantly elevated fraud risk. Legitimate customers rarely make large purchases at these hours; fraudsters exploit reduced monitoring windows and delayed bank notifications.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3</w:t>
            </w:r>
          </w:p>
        </w:tc>
        <w:tc>
          <w:tcPr>
            <w:tcW w:type="dxa" w:w="8760"/>
            <w:tcBorders>
              <w:top w:val="none" w:color="FFFFFF" w:sz="0"/>
              <w:left w:val="none" w:color="FFFFFF" w:sz="0"/>
              <w:bottom w:val="none" w:color="FFFFFF" w:sz="0"/>
              <w:right w:val="none" w:color="FFFFFF" w:sz="0"/>
            </w:tcBorders>
            <w:shd w:fill="DBEAFE" w:val="clear"/>
            <w:tcMar>
              <w:top w:type="dxa" w:w="100"/>
              <w:left w:type="dxa" w:w="200"/>
              <w:bottom w:type="dxa" w:w="100"/>
              <w:right w:type="dxa" w:w="160"/>
            </w:tcMar>
          </w:tcPr>
          <w:p>
            <w:r>
              <w:rPr>
                <w:rFonts w:ascii="Arial" w:cs="Arial" w:eastAsia="Arial" w:hAnsi="Arial"/>
                <w:b/>
                <w:bCs/>
                <w:color w:val="2563EB"/>
                <w:sz w:val="24"/>
                <w:szCs w:val="24"/>
              </w:rPr>
              <w:t xml:space="preserve">DeviceRisk / id_01 Identity Score</w:t>
            </w:r>
          </w:p>
          <w:p>
            <w:r>
              <w:rPr>
                <w:rFonts w:ascii="Arial" w:cs="Arial" w:eastAsia="Arial" w:hAnsi="Arial"/>
                <w:color w:val="0F172A"/>
                <w:sz w:val="21"/>
                <w:szCs w:val="21"/>
              </w:rPr>
              <w:t xml:space="preserve">Transactions from mobile devices combined with anomalous identity scores (id_01 &lt; 0) form a high-risk profile. Compromised accounts accessed from unfamiliar or suspicious devices trigger this signal.</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5.3 Per-Transaction Explanations</w:t>
      </w:r>
    </w:p>
    <w:p>
      <w:pPr>
        <w:spacing w:after="60" w:before="60"/>
        <w:jc w:val="left"/>
      </w:pPr>
      <w:r>
        <w:rPr>
          <w:rFonts w:ascii="Arial" w:cs="Arial" w:eastAsia="Arial" w:hAnsi="Arial"/>
          <w:b w:val="false"/>
          <w:bCs w:val="false"/>
          <w:i w:val="false"/>
          <w:iCs w:val="false"/>
          <w:color w:val="0F172A"/>
          <w:sz w:val="22"/>
          <w:szCs w:val="22"/>
        </w:rPr>
        <w:t xml:space="preserve">SHAP Waterfall plots were generated for three representative transactions, with plain-English summaries:</w:t>
      </w:r>
    </w:p>
    <w:p>
      <w:pPr>
        <w:pStyle w:val="ListParagraph"/>
        <w:numPr>
          <w:ilvl w:val="0"/>
          <w:numId w:val="2"/>
        </w:numPr>
        <w:spacing w:after="40" w:before="40"/>
      </w:pPr>
      <w:r>
        <w:rPr>
          <w:rFonts w:ascii="Arial" w:cs="Arial" w:eastAsia="Arial" w:hAnsi="Arial"/>
          <w:color w:val="0F172A"/>
          <w:sz w:val="22"/>
          <w:szCs w:val="22"/>
        </w:rPr>
        <w:t xml:space="preserve">Confirmed Fraud (p ≥ 0.75): High AmtToMeanRatio combined with late-night HourOfDay and DeviceRisk=1 collectively pushed the fraud probability to above 75%. The model correctly auto-blocks this.</w:t>
      </w:r>
    </w:p>
    <w:p>
      <w:pPr>
        <w:pStyle w:val="ListParagraph"/>
        <w:numPr>
          <w:ilvl w:val="0"/>
          <w:numId w:val="2"/>
        </w:numPr>
        <w:spacing w:after="40" w:before="40"/>
      </w:pPr>
      <w:r>
        <w:rPr>
          <w:rFonts w:ascii="Arial" w:cs="Arial" w:eastAsia="Arial" w:hAnsi="Arial"/>
          <w:color w:val="0F172A"/>
          <w:sz w:val="22"/>
          <w:szCs w:val="22"/>
        </w:rPr>
        <w:t xml:space="preserve">Borderline Case (p ≈ 0.50): Moderate transaction amount with an unusual hour and an identity score near zero. SHAP shows competing signals; the system routes this to the Suspicious tier for OTP verification.</w:t>
      </w:r>
    </w:p>
    <w:p>
      <w:pPr>
        <w:pStyle w:val="ListParagraph"/>
        <w:numPr>
          <w:ilvl w:val="0"/>
          <w:numId w:val="2"/>
        </w:numPr>
        <w:spacing w:after="40" w:before="40"/>
      </w:pPr>
      <w:r>
        <w:rPr>
          <w:rFonts w:ascii="Arial" w:cs="Arial" w:eastAsia="Arial" w:hAnsi="Arial"/>
          <w:color w:val="0F172A"/>
          <w:sz w:val="22"/>
          <w:szCs w:val="22"/>
        </w:rPr>
        <w:t xml:space="preserve">Legitimate (p &lt; 0.15): Low AmtToMeanRatio, daytime transaction, no DeviceRisk flag, and strong negative id_01 signal all combine to strongly lower fraud probability. The transaction is cleared automatically.</w:t>
      </w:r>
    </w:p>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6. Risk Segmentation</w:t>
      </w:r>
    </w:p>
    <w:p>
      <w:pPr>
        <w:pStyle w:val="Heading2"/>
        <w:spacing w:after="120" w:before="300"/>
      </w:pPr>
      <w:r>
        <w:rPr>
          <w:rFonts w:ascii="Arial" w:cs="Arial" w:eastAsia="Arial" w:hAnsi="Arial"/>
          <w:b/>
          <w:bCs/>
          <w:color w:val="1B3A6B"/>
          <w:sz w:val="28"/>
          <w:szCs w:val="28"/>
        </w:rPr>
        <w:t xml:space="preserve">6.1 Three-Tier Framework</w:t>
      </w:r>
    </w:p>
    <w:p>
      <w:pPr>
        <w:spacing w:after="60" w:before="60"/>
        <w:jc w:val="left"/>
      </w:pPr>
      <w:r>
        <w:rPr>
          <w:rFonts w:ascii="Arial" w:cs="Arial" w:eastAsia="Arial" w:hAnsi="Arial"/>
          <w:b w:val="false"/>
          <w:bCs w:val="false"/>
          <w:i w:val="false"/>
          <w:iCs w:val="false"/>
          <w:color w:val="0F172A"/>
          <w:sz w:val="22"/>
          <w:szCs w:val="22"/>
        </w:rPr>
        <w:t xml:space="preserve">All test transactions were scored and assigned to one of three risk tiers based on the LightGBM fraud probability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70"/>
        <w:gridCol w:w="1870"/>
        <w:gridCol w:w="1870"/>
        <w:gridCol w:w="135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Risk Tier</w:t>
            </w:r>
          </w:p>
        </w:tc>
        <w:tc>
          <w:tcPr>
            <w:tcW w:type="dxa" w:w="187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Threshold</w:t>
            </w:r>
          </w:p>
        </w:tc>
        <w:tc>
          <w:tcPr>
            <w:tcW w:type="dxa" w:w="187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Avg Transaction</w:t>
            </w:r>
          </w:p>
        </w:tc>
        <w:tc>
          <w:tcPr>
            <w:tcW w:type="dxa" w:w="187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Fraud Rate</w:t>
            </w:r>
          </w:p>
        </w:tc>
        <w:tc>
          <w:tcPr>
            <w:tcW w:type="dxa" w:w="135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Action</w:t>
            </w:r>
          </w:p>
        </w:tc>
      </w:tr>
      <w:tr>
        <w:tc>
          <w:tcPr>
            <w:tcW w:type="dxa" w:w="2400"/>
            <w:tcBorders>
              <w:top w:val="single" w:color="FFFFFF" w:sz="1"/>
              <w:left w:val="single" w:color="FFFFFF" w:sz="1"/>
              <w:bottom w:val="single" w:color="FFFFFF" w:sz="1"/>
              <w:right w:val="single" w:color="FFFFFF" w:sz="1"/>
            </w:tcBorders>
            <w:shd w:fill="FEE2E2" w:val="clear"/>
            <w:tcMar>
              <w:top w:type="dxa" w:w="80"/>
              <w:left w:type="dxa" w:w="160"/>
              <w:bottom w:type="dxa" w:w="80"/>
              <w:right w:type="dxa" w:w="160"/>
            </w:tcMar>
          </w:tcPr>
          <w:p>
            <w:r>
              <w:rPr>
                <w:rFonts w:ascii="Arial" w:cs="Arial" w:eastAsia="Arial" w:hAnsi="Arial"/>
                <w:b/>
                <w:bCs/>
                <w:color w:val="DC2626"/>
                <w:sz w:val="22"/>
                <w:szCs w:val="22"/>
              </w:rPr>
              <w:t xml:space="preserve">🔴 Critical Risk</w:t>
            </w:r>
          </w:p>
        </w:tc>
        <w:tc>
          <w:tcPr>
            <w:tcW w:type="dxa" w:w="1870"/>
            <w:tcBorders>
              <w:top w:val="single" w:color="FFFFFF" w:sz="1"/>
              <w:left w:val="single" w:color="FFFFFF" w:sz="1"/>
              <w:bottom w:val="single" w:color="FFFFFF" w:sz="1"/>
              <w:right w:val="single" w:color="FFFFFF" w:sz="1"/>
            </w:tcBorders>
            <w:shd w:fill="FEE2E2"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 0.75</w:t>
            </w:r>
          </w:p>
        </w:tc>
        <w:tc>
          <w:tcPr>
            <w:tcW w:type="dxa" w:w="1870"/>
            <w:tcBorders>
              <w:top w:val="single" w:color="FFFFFF" w:sz="1"/>
              <w:left w:val="single" w:color="FFFFFF" w:sz="1"/>
              <w:bottom w:val="single" w:color="FFFFFF" w:sz="1"/>
              <w:right w:val="single" w:color="FFFFFF" w:sz="1"/>
            </w:tcBorders>
            <w:shd w:fill="FEE2E2"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$312.40</w:t>
            </w:r>
          </w:p>
        </w:tc>
        <w:tc>
          <w:tcPr>
            <w:tcW w:type="dxa" w:w="1870"/>
            <w:tcBorders>
              <w:top w:val="single" w:color="FFFFFF" w:sz="1"/>
              <w:left w:val="single" w:color="FFFFFF" w:sz="1"/>
              <w:bottom w:val="single" w:color="FFFFFF" w:sz="1"/>
              <w:right w:val="single" w:color="FFFFFF" w:sz="1"/>
            </w:tcBorders>
            <w:shd w:fill="FEE2E2"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~79%</w:t>
            </w:r>
          </w:p>
        </w:tc>
        <w:tc>
          <w:tcPr>
            <w:tcW w:type="dxa" w:w="1350"/>
            <w:tcBorders>
              <w:top w:val="single" w:color="FFFFFF" w:sz="1"/>
              <w:left w:val="single" w:color="FFFFFF" w:sz="1"/>
              <w:bottom w:val="single" w:color="FFFFFF" w:sz="1"/>
              <w:right w:val="single" w:color="FFFFFF" w:sz="1"/>
            </w:tcBorders>
            <w:shd w:fill="FEE2E2"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Auto-Block</w:t>
            </w:r>
          </w:p>
        </w:tc>
      </w:tr>
      <w:tr>
        <w:tc>
          <w:tcPr>
            <w:tcW w:type="dxa" w:w="2400"/>
            <w:tcBorders>
              <w:top w:val="single" w:color="FFFFFF" w:sz="1"/>
              <w:left w:val="single" w:color="FFFFFF" w:sz="1"/>
              <w:bottom w:val="single" w:color="FFFFFF" w:sz="1"/>
              <w:right w:val="single" w:color="FFFFFF" w:sz="1"/>
            </w:tcBorders>
            <w:shd w:fill="FEF3C7" w:val="clear"/>
            <w:tcMar>
              <w:top w:type="dxa" w:w="80"/>
              <w:left w:type="dxa" w:w="160"/>
              <w:bottom w:type="dxa" w:w="80"/>
              <w:right w:type="dxa" w:w="160"/>
            </w:tcMar>
          </w:tcPr>
          <w:p>
            <w:r>
              <w:rPr>
                <w:rFonts w:ascii="Arial" w:cs="Arial" w:eastAsia="Arial" w:hAnsi="Arial"/>
                <w:b/>
                <w:bCs/>
                <w:color w:val="D97706"/>
                <w:sz w:val="22"/>
                <w:szCs w:val="22"/>
              </w:rPr>
              <w:t xml:space="preserve">🟡 Suspicious</w:t>
            </w:r>
          </w:p>
        </w:tc>
        <w:tc>
          <w:tcPr>
            <w:tcW w:type="dxa" w:w="1870"/>
            <w:tcBorders>
              <w:top w:val="single" w:color="FFFFFF" w:sz="1"/>
              <w:left w:val="single" w:color="FFFFFF" w:sz="1"/>
              <w:bottom w:val="single" w:color="FFFFFF" w:sz="1"/>
              <w:right w:val="single" w:color="FFFFFF" w:sz="1"/>
            </w:tcBorders>
            <w:shd w:fill="FEF3C7"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0.40 – 0.74</w:t>
            </w:r>
          </w:p>
        </w:tc>
        <w:tc>
          <w:tcPr>
            <w:tcW w:type="dxa" w:w="1870"/>
            <w:tcBorders>
              <w:top w:val="single" w:color="FFFFFF" w:sz="1"/>
              <w:left w:val="single" w:color="FFFFFF" w:sz="1"/>
              <w:bottom w:val="single" w:color="FFFFFF" w:sz="1"/>
              <w:right w:val="single" w:color="FFFFFF" w:sz="1"/>
            </w:tcBorders>
            <w:shd w:fill="FEF3C7"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$187.20</w:t>
            </w:r>
          </w:p>
        </w:tc>
        <w:tc>
          <w:tcPr>
            <w:tcW w:type="dxa" w:w="1870"/>
            <w:tcBorders>
              <w:top w:val="single" w:color="FFFFFF" w:sz="1"/>
              <w:left w:val="single" w:color="FFFFFF" w:sz="1"/>
              <w:bottom w:val="single" w:color="FFFFFF" w:sz="1"/>
              <w:right w:val="single" w:color="FFFFFF" w:sz="1"/>
            </w:tcBorders>
            <w:shd w:fill="FEF3C7"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~34%</w:t>
            </w:r>
          </w:p>
        </w:tc>
        <w:tc>
          <w:tcPr>
            <w:tcW w:type="dxa" w:w="1350"/>
            <w:tcBorders>
              <w:top w:val="single" w:color="FFFFFF" w:sz="1"/>
              <w:left w:val="single" w:color="FFFFFF" w:sz="1"/>
              <w:bottom w:val="single" w:color="FFFFFF" w:sz="1"/>
              <w:right w:val="single" w:color="FFFFFF" w:sz="1"/>
            </w:tcBorders>
            <w:shd w:fill="FEF3C7"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OTP Verify</w:t>
            </w:r>
          </w:p>
        </w:tc>
      </w:tr>
      <w:tr>
        <w:tc>
          <w:tcPr>
            <w:tcW w:type="dxa" w:w="2400"/>
            <w:tcBorders>
              <w:top w:val="single" w:color="FFFFFF" w:sz="1"/>
              <w:left w:val="single" w:color="FFFFFF" w:sz="1"/>
              <w:bottom w:val="single" w:color="FFFFFF" w:sz="1"/>
              <w:right w:val="single" w:color="FFFFFF" w:sz="1"/>
            </w:tcBorders>
            <w:shd w:fill="DCFCE7" w:val="clear"/>
            <w:tcMar>
              <w:top w:type="dxa" w:w="80"/>
              <w:left w:type="dxa" w:w="160"/>
              <w:bottom w:type="dxa" w:w="80"/>
              <w:right w:type="dxa" w:w="160"/>
            </w:tcMar>
          </w:tcPr>
          <w:p>
            <w:r>
              <w:rPr>
                <w:rFonts w:ascii="Arial" w:cs="Arial" w:eastAsia="Arial" w:hAnsi="Arial"/>
                <w:b/>
                <w:bCs/>
                <w:color w:val="16A34A"/>
                <w:sz w:val="22"/>
                <w:szCs w:val="22"/>
              </w:rPr>
              <w:t xml:space="preserve">🟢 Clear</w:t>
            </w:r>
          </w:p>
        </w:tc>
        <w:tc>
          <w:tcPr>
            <w:tcW w:type="dxa" w:w="1870"/>
            <w:tcBorders>
              <w:top w:val="single" w:color="FFFFFF" w:sz="1"/>
              <w:left w:val="single" w:color="FFFFFF" w:sz="1"/>
              <w:bottom w:val="single" w:color="FFFFFF" w:sz="1"/>
              <w:right w:val="single" w:color="FFFFFF" w:sz="1"/>
            </w:tcBorders>
            <w:shd w:fill="DCFCE7"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&lt; 0.40</w:t>
            </w:r>
          </w:p>
        </w:tc>
        <w:tc>
          <w:tcPr>
            <w:tcW w:type="dxa" w:w="1870"/>
            <w:tcBorders>
              <w:top w:val="single" w:color="FFFFFF" w:sz="1"/>
              <w:left w:val="single" w:color="FFFFFF" w:sz="1"/>
              <w:bottom w:val="single" w:color="FFFFFF" w:sz="1"/>
              <w:right w:val="single" w:color="FFFFFF" w:sz="1"/>
            </w:tcBorders>
            <w:shd w:fill="DCFCE7"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$88.50</w:t>
            </w:r>
          </w:p>
        </w:tc>
        <w:tc>
          <w:tcPr>
            <w:tcW w:type="dxa" w:w="1870"/>
            <w:tcBorders>
              <w:top w:val="single" w:color="FFFFFF" w:sz="1"/>
              <w:left w:val="single" w:color="FFFFFF" w:sz="1"/>
              <w:bottom w:val="single" w:color="FFFFFF" w:sz="1"/>
              <w:right w:val="single" w:color="FFFFFF" w:sz="1"/>
            </w:tcBorders>
            <w:shd w:fill="DCFCE7"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&lt; 1%</w:t>
            </w:r>
          </w:p>
        </w:tc>
        <w:tc>
          <w:tcPr>
            <w:tcW w:type="dxa" w:w="1350"/>
            <w:tcBorders>
              <w:top w:val="single" w:color="FFFFFF" w:sz="1"/>
              <w:left w:val="single" w:color="FFFFFF" w:sz="1"/>
              <w:bottom w:val="single" w:color="FFFFFF" w:sz="1"/>
              <w:right w:val="single" w:color="FFFFFF" w:sz="1"/>
            </w:tcBorders>
            <w:shd w:fill="DCFCE7" w:val="clear"/>
            <w:tcMar>
              <w:top w:type="dxa" w:w="100"/>
              <w:left w:type="dxa" w:w="160"/>
              <w:bottom w:type="dxa" w:w="100"/>
              <w:right w:type="dxa" w:w="160"/>
            </w:tcMar>
            <w:vAlign w:val="center"/>
          </w:tcPr>
          <w:p>
            <w:pPr>
              <w:jc w:val="center"/>
            </w:pPr>
            <w:r>
              <w:rPr>
                <w:rFonts w:ascii="Arial" w:cs="Arial" w:eastAsia="Arial" w:hAnsi="Arial"/>
                <w:b w:val="false"/>
                <w:bCs w:val="false"/>
                <w:color w:val="0F172A"/>
                <w:sz w:val="22"/>
                <w:szCs w:val="22"/>
              </w:rPr>
              <w:t xml:space="preserve">Approve</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6.2 Critical Risk Transaction Patterns</w:t>
      </w:r>
    </w:p>
    <w:p>
      <w:pPr>
        <w:spacing w:after="60" w:before="60"/>
        <w:jc w:val="left"/>
      </w:pPr>
      <w:r>
        <w:rPr>
          <w:rFonts w:ascii="Arial" w:cs="Arial" w:eastAsia="Arial" w:hAnsi="Arial"/>
          <w:b w:val="false"/>
          <w:bCs w:val="false"/>
          <w:i w:val="false"/>
          <w:iCs w:val="false"/>
          <w:color w:val="0F172A"/>
          <w:sz w:val="22"/>
          <w:szCs w:val="22"/>
        </w:rPr>
        <w:t xml:space="preserve">Analysis of Critical Risk (p ≥ 0.75) transactions revealed three dominant fraud patterns:</w:t>
      </w:r>
    </w:p>
    <w:p>
      <w:pPr>
        <w:pStyle w:val="ListParagraph"/>
        <w:numPr>
          <w:ilvl w:val="0"/>
          <w:numId w:val="2"/>
        </w:numPr>
        <w:spacing w:after="40" w:before="40"/>
      </w:pPr>
      <w:r>
        <w:rPr>
          <w:rFonts w:ascii="Arial" w:cs="Arial" w:eastAsia="Arial" w:hAnsi="Arial"/>
          <w:color w:val="0F172A"/>
          <w:sz w:val="22"/>
          <w:szCs w:val="22"/>
        </w:rPr>
        <w:t xml:space="preserve">Late-Night Concentration: Disproportionate clustering of Critical Risk transactions between 1–4 AM</w:t>
      </w:r>
    </w:p>
    <w:p>
      <w:pPr>
        <w:pStyle w:val="ListParagraph"/>
        <w:numPr>
          <w:ilvl w:val="0"/>
          <w:numId w:val="2"/>
        </w:numPr>
        <w:spacing w:after="40" w:before="40"/>
      </w:pPr>
      <w:r>
        <w:rPr>
          <w:rFonts w:ascii="Arial" w:cs="Arial" w:eastAsia="Arial" w:hAnsi="Arial"/>
          <w:color w:val="0F172A"/>
          <w:sz w:val="22"/>
          <w:szCs w:val="22"/>
        </w:rPr>
        <w:t xml:space="preserve">High Relative Amount: TransactionAmt significantly above the dataset mean (AmtToMeanRatio &gt;&gt; 1.0)</w:t>
      </w:r>
    </w:p>
    <w:p>
      <w:pPr>
        <w:pStyle w:val="ListParagraph"/>
        <w:numPr>
          <w:ilvl w:val="0"/>
          <w:numId w:val="2"/>
        </w:numPr>
        <w:spacing w:after="40" w:before="40"/>
      </w:pPr>
      <w:r>
        <w:rPr>
          <w:rFonts w:ascii="Arial" w:cs="Arial" w:eastAsia="Arial" w:hAnsi="Arial"/>
          <w:color w:val="0F172A"/>
          <w:sz w:val="22"/>
          <w:szCs w:val="22"/>
        </w:rPr>
        <w:t xml:space="preserve">Mobile + Negative id_01: DeviceRisk flag strongly overrepresented in Critical Risk vs. Clear tier</w:t>
      </w:r>
    </w:p>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7. Streamlit Dashboard</w:t>
      </w:r>
    </w:p>
    <w:p>
      <w:pPr>
        <w:spacing w:after="60" w:before="60"/>
        <w:jc w:val="left"/>
      </w:pPr>
      <w:r>
        <w:rPr>
          <w:rFonts w:ascii="Arial" w:cs="Arial" w:eastAsia="Arial" w:hAnsi="Arial"/>
          <w:b w:val="false"/>
          <w:bCs w:val="false"/>
          <w:i w:val="false"/>
          <w:iCs w:val="false"/>
          <w:color w:val="0F172A"/>
          <w:sz w:val="22"/>
          <w:szCs w:val="22"/>
        </w:rPr>
        <w:t xml:space="preserve">A three-page Streamlit application was built for fraud analyst self-service:</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Page 1 — Operations Overview</w:t>
      </w:r>
    </w:p>
    <w:p>
      <w:pPr>
        <w:pStyle w:val="ListParagraph"/>
        <w:numPr>
          <w:ilvl w:val="0"/>
          <w:numId w:val="2"/>
        </w:numPr>
        <w:spacing w:after="40" w:before="40"/>
      </w:pPr>
      <w:r>
        <w:rPr>
          <w:rFonts w:ascii="Arial" w:cs="Arial" w:eastAsia="Arial" w:hAnsi="Arial"/>
          <w:color w:val="0F172A"/>
          <w:sz w:val="22"/>
          <w:szCs w:val="22"/>
        </w:rPr>
        <w:t xml:space="preserve">KPI tiles: total transactions, total fraud count, detection rate, average fraud amount</w:t>
      </w:r>
    </w:p>
    <w:p>
      <w:pPr>
        <w:pStyle w:val="ListParagraph"/>
        <w:numPr>
          <w:ilvl w:val="0"/>
          <w:numId w:val="2"/>
        </w:numPr>
        <w:spacing w:after="40" w:before="40"/>
      </w:pPr>
      <w:r>
        <w:rPr>
          <w:rFonts w:ascii="Arial" w:cs="Arial" w:eastAsia="Arial" w:hAnsi="Arial"/>
          <w:color w:val="0F172A"/>
          <w:sz w:val="22"/>
          <w:szCs w:val="22"/>
        </w:rPr>
        <w:t xml:space="preserve">Real-time aggregate statistics from the scored test set</w:t>
      </w:r>
    </w:p>
    <w:p>
      <w:pPr>
        <w:pStyle w:val="Heading2"/>
        <w:spacing w:after="120" w:before="300"/>
      </w:pPr>
      <w:r>
        <w:rPr>
          <w:rFonts w:ascii="Arial" w:cs="Arial" w:eastAsia="Arial" w:hAnsi="Arial"/>
          <w:b/>
          <w:bCs/>
          <w:color w:val="1B3A6B"/>
          <w:sz w:val="28"/>
          <w:szCs w:val="28"/>
        </w:rPr>
        <w:t xml:space="preserve">Page 2 — Transaction Explorer</w:t>
      </w:r>
    </w:p>
    <w:p>
      <w:pPr>
        <w:pStyle w:val="ListParagraph"/>
        <w:numPr>
          <w:ilvl w:val="0"/>
          <w:numId w:val="2"/>
        </w:numPr>
        <w:spacing w:after="40" w:before="40"/>
      </w:pPr>
      <w:r>
        <w:rPr>
          <w:rFonts w:ascii="Arial" w:cs="Arial" w:eastAsia="Arial" w:hAnsi="Arial"/>
          <w:color w:val="0F172A"/>
          <w:sz w:val="22"/>
          <w:szCs w:val="22"/>
        </w:rPr>
        <w:t xml:space="preserve">Searchable, filterable transaction table with live risk scoring by TransactionID</w:t>
      </w:r>
    </w:p>
    <w:p>
      <w:pPr>
        <w:pStyle w:val="ListParagraph"/>
        <w:numPr>
          <w:ilvl w:val="0"/>
          <w:numId w:val="2"/>
        </w:numPr>
        <w:spacing w:after="40" w:before="40"/>
      </w:pPr>
      <w:r>
        <w:rPr>
          <w:rFonts w:ascii="Arial" w:cs="Arial" w:eastAsia="Arial" w:hAnsi="Arial"/>
          <w:color w:val="0F172A"/>
          <w:sz w:val="22"/>
          <w:szCs w:val="22"/>
        </w:rPr>
        <w:t xml:space="preserve">Sidebar filters: risk tier, date range, transaction amount range, device type</w:t>
      </w:r>
    </w:p>
    <w:p>
      <w:pPr>
        <w:pStyle w:val="Heading2"/>
        <w:spacing w:after="120" w:before="300"/>
      </w:pPr>
      <w:r>
        <w:rPr>
          <w:rFonts w:ascii="Arial" w:cs="Arial" w:eastAsia="Arial" w:hAnsi="Arial"/>
          <w:b/>
          <w:bCs/>
          <w:color w:val="1B3A6B"/>
          <w:sz w:val="28"/>
          <w:szCs w:val="28"/>
        </w:rPr>
        <w:t xml:space="preserve">Page 3 — SHAP Explainer</w:t>
      </w:r>
    </w:p>
    <w:p>
      <w:pPr>
        <w:pStyle w:val="ListParagraph"/>
        <w:numPr>
          <w:ilvl w:val="0"/>
          <w:numId w:val="2"/>
        </w:numPr>
        <w:spacing w:after="40" w:before="40"/>
      </w:pPr>
      <w:r>
        <w:rPr>
          <w:rFonts w:ascii="Arial" w:cs="Arial" w:eastAsia="Arial" w:hAnsi="Arial"/>
          <w:color w:val="0F172A"/>
          <w:sz w:val="22"/>
          <w:szCs w:val="22"/>
        </w:rPr>
        <w:t xml:space="preserve">User inputs any TransactionID to receive an instant SHAP Waterfall plot</w:t>
      </w:r>
    </w:p>
    <w:p>
      <w:pPr>
        <w:pStyle w:val="ListParagraph"/>
        <w:numPr>
          <w:ilvl w:val="0"/>
          <w:numId w:val="2"/>
        </w:numPr>
        <w:spacing w:after="40" w:before="40"/>
      </w:pPr>
      <w:r>
        <w:rPr>
          <w:rFonts w:ascii="Arial" w:cs="Arial" w:eastAsia="Arial" w:hAnsi="Arial"/>
          <w:color w:val="0F172A"/>
          <w:sz w:val="22"/>
          <w:szCs w:val="22"/>
        </w:rPr>
        <w:t xml:space="preserve">Plain-English explanation of the top fraud risk factors and their directions</w:t>
      </w:r>
    </w:p>
    <w:p>
      <w:pPr>
        <w:pStyle w:val="ListParagraph"/>
        <w:numPr>
          <w:ilvl w:val="0"/>
          <w:numId w:val="2"/>
        </w:numPr>
        <w:spacing w:after="40" w:before="40"/>
      </w:pPr>
      <w:r>
        <w:rPr>
          <w:rFonts w:ascii="Arial" w:cs="Arial" w:eastAsia="Arial" w:hAnsi="Arial"/>
          <w:color w:val="0F172A"/>
          <w:sz w:val="22"/>
          <w:szCs w:val="22"/>
        </w:rPr>
        <w:t xml:space="preserve">Comparison with the model's average base prediction</w:t>
      </w:r>
    </w:p>
    <w:p>
      <w:pPr>
        <w:spacing w:after="0" w:before="80"/>
      </w:pPr>
      <w:r>
        <w:t xml:space="preserve"/>
      </w:r>
    </w:p>
    <w:p>
      <w:pPr>
        <w:spacing w:after="60" w:before="60"/>
        <w:jc w:val="left"/>
      </w:pPr>
      <w:r>
        <w:rPr>
          <w:rFonts w:ascii="Arial" w:cs="Arial" w:eastAsia="Arial" w:hAnsi="Arial"/>
          <w:b w:val="false"/>
          <w:bCs w:val="false"/>
          <w:i w:val="false"/>
          <w:iCs w:val="false"/>
          <w:color w:val="0F172A"/>
          <w:sz w:val="22"/>
          <w:szCs w:val="22"/>
        </w:rPr>
        <w:t xml:space="preserve">The dashboard is deployed on Streamlit Community Cloud. The live URL is included in README.md.</w:t>
      </w:r>
    </w:p>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8. Visualisations</w:t>
      </w:r>
    </w:p>
    <w:p>
      <w:pPr>
        <w:spacing w:after="60" w:before="60"/>
        <w:jc w:val="left"/>
      </w:pPr>
      <w:r>
        <w:rPr>
          <w:rFonts w:ascii="Arial" w:cs="Arial" w:eastAsia="Arial" w:hAnsi="Arial"/>
          <w:b w:val="false"/>
          <w:bCs w:val="false"/>
          <w:i w:val="false"/>
          <w:iCs w:val="false"/>
          <w:color w:val="0F172A"/>
          <w:sz w:val="22"/>
          <w:szCs w:val="22"/>
        </w:rPr>
        <w:t xml:space="preserve">A minimum of 8 charts were produced across the notebook: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Chart</w:t>
            </w:r>
          </w:p>
        </w:tc>
        <w:tc>
          <w:tcPr>
            <w:tcW w:type="dxa" w:w="576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Key Insight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B3A6B"/>
                <w:sz w:val="22"/>
                <w:szCs w:val="22"/>
              </w:rPr>
              <w:t xml:space="preserve">Class Imbalance Bar</w:t>
            </w:r>
          </w:p>
        </w:tc>
        <w:tc>
          <w:tcPr>
            <w:tcW w:type="dxa" w:w="5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Visualises 96.5% / 3.5% split; justifies SMOTE and PR-AUC focus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TransactionAmt Distribution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Log-scale histogram shows fraud skews toward higher amounts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B3A6B"/>
                <w:sz w:val="22"/>
                <w:szCs w:val="22"/>
              </w:rPr>
              <w:t xml:space="preserve">Correlation Heatmap</w:t>
            </w:r>
          </w:p>
        </w:tc>
        <w:tc>
          <w:tcPr>
            <w:tcW w:type="dxa" w:w="5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Top 20 features by correlation with isFraud; guides feature selection</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Confusion Matrix (x3)</w:t>
            </w:r>
          </w:p>
        </w:tc>
        <w:tc>
          <w:tcPr>
            <w:tcW w:type="dxa" w:w="5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Per-model confusion matrices highlight true vs. false positive trade-offs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B3A6B"/>
                <w:sz w:val="22"/>
                <w:szCs w:val="22"/>
              </w:rPr>
              <w:t xml:space="preserve">ROC &amp; PR Curves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LightGBM dominates on PR curve; Isolation Forest falls behind at high recall</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SHAP Global Summary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Dot plot showing top 20 features by |SHAP| with value direction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B3A6B"/>
                <w:sz w:val="22"/>
                <w:szCs w:val="22"/>
              </w:rPr>
              <w:t xml:space="preserve">SHAP Waterfall (x3)</w:t>
            </w:r>
          </w:p>
        </w:tc>
        <w:tc>
          <w:tcPr>
            <w:tcW w:type="dxa" w:w="5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Per-transaction deep dive for fraud, borderline, and legitimate cases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Fraud Rate by Hour</w:t>
            </w:r>
          </w:p>
        </w:tc>
        <w:tc>
          <w:tcPr>
            <w:tcW w:type="dxa" w:w="5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Clear overnight spike pattern — actionable for velocity rules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B3A6B"/>
                <w:sz w:val="22"/>
                <w:szCs w:val="22"/>
              </w:rPr>
              <w:t xml:space="preserve">Risk Tier Donut</w:t>
            </w:r>
          </w:p>
        </w:tc>
        <w:tc>
          <w:tcPr>
            <w:tcW w:type="dxa" w:w="5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Proportion of Critical, Suspicious, and Clear transactions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Plotly Scatter (Bonus)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Interactive TransactionAmt vs HourOfDay coloured by fraud probability</w:t>
            </w:r>
          </w:p>
        </w:tc>
      </w:tr>
    </w:tbl>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9. Business Recommendations</w:t>
      </w:r>
    </w:p>
    <w:p>
      <w:pPr>
        <w:pStyle w:val="Heading2"/>
        <w:spacing w:after="120" w:before="300"/>
      </w:pPr>
      <w:r>
        <w:rPr>
          <w:rFonts w:ascii="Arial" w:cs="Arial" w:eastAsia="Arial" w:hAnsi="Arial"/>
          <w:b/>
          <w:bCs/>
          <w:color w:val="1B3A6B"/>
          <w:sz w:val="28"/>
          <w:szCs w:val="28"/>
        </w:rPr>
        <w:t xml:space="preserve">Policy 1 — Real-Time Transaction Scoring with Auto-Block</w:t>
      </w:r>
    </w:p>
    <w:p>
      <w:pPr>
        <w:spacing w:after="60" w:before="60"/>
        <w:jc w:val="left"/>
      </w:pPr>
      <w:r>
        <w:rPr>
          <w:rFonts w:ascii="Arial" w:cs="Arial" w:eastAsia="Arial" w:hAnsi="Arial"/>
          <w:b w:val="false"/>
          <w:bCs w:val="false"/>
          <w:i w:val="false"/>
          <w:iCs w:val="false"/>
          <w:color w:val="0F172A"/>
          <w:sz w:val="22"/>
          <w:szCs w:val="22"/>
        </w:rPr>
        <w:t xml:space="preserve">Deploy the LightGBM model as a REST API microservice integrated directly into the payment gateway. Any transaction scoring at or above 0.75 (Critical Risk) is automatically blocked and routed to the fraud review queue within 50ms. Transactions scoring between 0.40 and 0.74 (Suspicious) trigger a soft-decline with SMS/email OTP verification. Blocking just 60% of Critical Risk transactions at the average fraud amount prevents an estimated $2.1M+ annually per 1 million active cardholders.</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Policy 2 — Behavioural Velocity Rules for Late-Night Transactions</w:t>
      </w:r>
    </w:p>
    <w:p>
      <w:pPr>
        <w:spacing w:after="60" w:before="60"/>
        <w:jc w:val="left"/>
      </w:pPr>
      <w:r>
        <w:rPr>
          <w:rFonts w:ascii="Arial" w:cs="Arial" w:eastAsia="Arial" w:hAnsi="Arial"/>
          <w:b w:val="false"/>
          <w:bCs w:val="false"/>
          <w:i w:val="false"/>
          <w:iCs w:val="false"/>
          <w:color w:val="0F172A"/>
          <w:sz w:val="22"/>
          <w:szCs w:val="22"/>
        </w:rPr>
        <w:t xml:space="preserve">Layer rule-based controls on top of the ML model: any transaction above $500 made between 12 AM and 5 AM that also scores above 0.40 triggers mandatory two-factor authentication. This adds zero friction to over 95% of legitimate customers while creating a strong barrier for fraudsters who exploit overnight windows. Combined with the ML score, this hybrid approach reduces false negatives by an estimated 20–30%.</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Estimated Annual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DCFCE7" w:val="clear"/>
            <w:tcMar>
              <w:top w:type="dxa" w:w="120"/>
              <w:left w:type="dxa" w:w="160"/>
              <w:bottom w:type="dxa" w:w="120"/>
              <w:right w:type="dxa" w:w="160"/>
            </w:tcMar>
            <w:vAlign w:val="center"/>
          </w:tcPr>
          <w:p>
            <w:pPr>
              <w:jc w:val="center"/>
            </w:pPr>
            <w:r>
              <w:rPr>
                <w:rFonts w:ascii="Arial" w:cs="Arial" w:eastAsia="Arial" w:hAnsi="Arial"/>
                <w:b/>
                <w:bCs/>
                <w:color w:val="1B3A6B"/>
                <w:sz w:val="52"/>
                <w:szCs w:val="52"/>
              </w:rPr>
              <w:t xml:space="preserve">~$2.1M</w:t>
            </w:r>
          </w:p>
          <w:p>
            <w:pPr>
              <w:jc w:val="center"/>
            </w:pPr>
            <w:r>
              <w:rPr>
                <w:rFonts w:ascii="Arial" w:cs="Arial" w:eastAsia="Arial" w:hAnsi="Arial"/>
                <w:b/>
                <w:bCs/>
                <w:color w:val="1B3A6B"/>
                <w:sz w:val="20"/>
                <w:szCs w:val="20"/>
              </w:rPr>
              <w:t xml:space="preserve">Fraud Prevented</w:t>
            </w:r>
          </w:p>
          <w:p>
            <w:pPr>
              <w:jc w:val="center"/>
            </w:pPr>
            <w:r>
              <w:rPr>
                <w:rFonts w:ascii="Arial" w:cs="Arial" w:eastAsia="Arial" w:hAnsi="Arial"/>
                <w:color w:val="475569"/>
                <w:sz w:val="18"/>
                <w:szCs w:val="18"/>
              </w:rPr>
              <w:t xml:space="preserve">Per 1M cardholders/year</w:t>
            </w:r>
          </w:p>
        </w:tc>
        <w:tc>
          <w:tcPr>
            <w:tcW w:type="dxa" w:w="2340"/>
            <w:tcBorders>
              <w:top w:val="single" w:color="FFFFFF" w:sz="1"/>
              <w:left w:val="single" w:color="FFFFFF" w:sz="1"/>
              <w:bottom w:val="single" w:color="FFFFFF" w:sz="1"/>
              <w:right w:val="single" w:color="FFFFFF" w:sz="1"/>
            </w:tcBorders>
            <w:shd w:fill="DBEAFE" w:val="clear"/>
            <w:tcMar>
              <w:top w:type="dxa" w:w="120"/>
              <w:left w:type="dxa" w:w="160"/>
              <w:bottom w:type="dxa" w:w="120"/>
              <w:right w:type="dxa" w:w="160"/>
            </w:tcMar>
            <w:vAlign w:val="center"/>
          </w:tcPr>
          <w:p>
            <w:pPr>
              <w:jc w:val="center"/>
            </w:pPr>
            <w:r>
              <w:rPr>
                <w:rFonts w:ascii="Arial" w:cs="Arial" w:eastAsia="Arial" w:hAnsi="Arial"/>
                <w:b/>
                <w:bCs/>
                <w:color w:val="1B3A6B"/>
                <w:sz w:val="52"/>
                <w:szCs w:val="52"/>
              </w:rPr>
              <w:t xml:space="preserve">&lt; 5.8%</w:t>
            </w:r>
          </w:p>
          <w:p>
            <w:pPr>
              <w:jc w:val="center"/>
            </w:pPr>
            <w:r>
              <w:rPr>
                <w:rFonts w:ascii="Arial" w:cs="Arial" w:eastAsia="Arial" w:hAnsi="Arial"/>
                <w:b/>
                <w:bCs/>
                <w:color w:val="1B3A6B"/>
                <w:sz w:val="20"/>
                <w:szCs w:val="20"/>
              </w:rPr>
              <w:t xml:space="preserve">False Alarm Rate</w:t>
            </w:r>
          </w:p>
          <w:p>
            <w:pPr>
              <w:jc w:val="center"/>
            </w:pPr>
            <w:r>
              <w:rPr>
                <w:rFonts w:ascii="Arial" w:cs="Arial" w:eastAsia="Arial" w:hAnsi="Arial"/>
                <w:color w:val="475569"/>
                <w:sz w:val="18"/>
                <w:szCs w:val="18"/>
              </w:rPr>
              <w:t xml:space="preserve">At optimal threshold</w:t>
            </w:r>
          </w:p>
        </w:tc>
        <w:tc>
          <w:tcPr>
            <w:tcW w:type="dxa" w:w="2340"/>
            <w:tcBorders>
              <w:top w:val="single" w:color="FFFFFF" w:sz="1"/>
              <w:left w:val="single" w:color="FFFFFF" w:sz="1"/>
              <w:bottom w:val="single" w:color="FFFFFF" w:sz="1"/>
              <w:right w:val="single" w:color="FFFFFF" w:sz="1"/>
            </w:tcBorders>
            <w:shd w:fill="CCFBF1" w:val="clear"/>
            <w:tcMar>
              <w:top w:type="dxa" w:w="120"/>
              <w:left w:type="dxa" w:w="160"/>
              <w:bottom w:type="dxa" w:w="120"/>
              <w:right w:type="dxa" w:w="160"/>
            </w:tcMar>
            <w:vAlign w:val="center"/>
          </w:tcPr>
          <w:p>
            <w:pPr>
              <w:jc w:val="center"/>
            </w:pPr>
            <w:r>
              <w:rPr>
                <w:rFonts w:ascii="Arial" w:cs="Arial" w:eastAsia="Arial" w:hAnsi="Arial"/>
                <w:b/>
                <w:bCs/>
                <w:color w:val="1B3A6B"/>
                <w:sz w:val="52"/>
                <w:szCs w:val="52"/>
              </w:rPr>
              <w:t xml:space="preserve">&lt; 50ms</w:t>
            </w:r>
          </w:p>
          <w:p>
            <w:pPr>
              <w:jc w:val="center"/>
            </w:pPr>
            <w:r>
              <w:rPr>
                <w:rFonts w:ascii="Arial" w:cs="Arial" w:eastAsia="Arial" w:hAnsi="Arial"/>
                <w:b/>
                <w:bCs/>
                <w:color w:val="1B3A6B"/>
                <w:sz w:val="20"/>
                <w:szCs w:val="20"/>
              </w:rPr>
              <w:t xml:space="preserve">Response Time</w:t>
            </w:r>
          </w:p>
          <w:p>
            <w:pPr>
              <w:jc w:val="center"/>
            </w:pPr>
            <w:r>
              <w:rPr>
                <w:rFonts w:ascii="Arial" w:cs="Arial" w:eastAsia="Arial" w:hAnsi="Arial"/>
                <w:color w:val="475569"/>
                <w:sz w:val="18"/>
                <w:szCs w:val="18"/>
              </w:rPr>
              <w:t xml:space="preserve">API scoring latency</w:t>
            </w:r>
          </w:p>
        </w:tc>
        <w:tc>
          <w:tcPr>
            <w:tcW w:type="dxa" w:w="2340"/>
            <w:tcBorders>
              <w:top w:val="single" w:color="FFFFFF" w:sz="1"/>
              <w:left w:val="single" w:color="FFFFFF" w:sz="1"/>
              <w:bottom w:val="single" w:color="FFFFFF" w:sz="1"/>
              <w:right w:val="single" w:color="FFFFFF" w:sz="1"/>
            </w:tcBorders>
            <w:shd w:fill="FEF3C7" w:val="clear"/>
            <w:tcMar>
              <w:top w:type="dxa" w:w="120"/>
              <w:left w:type="dxa" w:w="160"/>
              <w:bottom w:type="dxa" w:w="120"/>
              <w:right w:type="dxa" w:w="160"/>
            </w:tcMar>
            <w:vAlign w:val="center"/>
          </w:tcPr>
          <w:p>
            <w:pPr>
              <w:jc w:val="center"/>
            </w:pPr>
            <w:r>
              <w:rPr>
                <w:rFonts w:ascii="Arial" w:cs="Arial" w:eastAsia="Arial" w:hAnsi="Arial"/>
                <w:b/>
                <w:bCs/>
                <w:color w:val="1B3A6B"/>
                <w:sz w:val="52"/>
                <w:szCs w:val="52"/>
              </w:rPr>
              <w:t xml:space="preserve">~25%</w:t>
            </w:r>
          </w:p>
          <w:p>
            <w:pPr>
              <w:jc w:val="center"/>
            </w:pPr>
            <w:r>
              <w:rPr>
                <w:rFonts w:ascii="Arial" w:cs="Arial" w:eastAsia="Arial" w:hAnsi="Arial"/>
                <w:b/>
                <w:bCs/>
                <w:color w:val="1B3A6B"/>
                <w:sz w:val="20"/>
                <w:szCs w:val="20"/>
              </w:rPr>
              <w:t xml:space="preserve">FN Reduction</w:t>
            </w:r>
          </w:p>
          <w:p>
            <w:pPr>
              <w:jc w:val="center"/>
            </w:pPr>
            <w:r>
              <w:rPr>
                <w:rFonts w:ascii="Arial" w:cs="Arial" w:eastAsia="Arial" w:hAnsi="Arial"/>
                <w:color w:val="475569"/>
                <w:sz w:val="18"/>
                <w:szCs w:val="18"/>
              </w:rPr>
              <w:t xml:space="preserve">With velocity rules</w:t>
            </w:r>
          </w:p>
        </w:tc>
      </w:tr>
    </w:tbl>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10. Limitations &amp; Future Work</w:t>
      </w:r>
    </w:p>
    <w:p>
      <w:pPr>
        <w:pStyle w:val="Heading2"/>
        <w:spacing w:after="120" w:before="300"/>
      </w:pPr>
      <w:r>
        <w:rPr>
          <w:rFonts w:ascii="Arial" w:cs="Arial" w:eastAsia="Arial" w:hAnsi="Arial"/>
          <w:b/>
          <w:bCs/>
          <w:color w:val="1B3A6B"/>
          <w:sz w:val="28"/>
          <w:szCs w:val="28"/>
        </w:rPr>
        <w:t xml:space="preserve">Current Limitations</w:t>
      </w:r>
    </w:p>
    <w:p>
      <w:pPr>
        <w:pStyle w:val="ListParagraph"/>
        <w:numPr>
          <w:ilvl w:val="0"/>
          <w:numId w:val="2"/>
        </w:numPr>
        <w:spacing w:after="40" w:before="40"/>
      </w:pPr>
      <w:r>
        <w:rPr>
          <w:rFonts w:ascii="Arial" w:cs="Arial" w:eastAsia="Arial" w:hAnsi="Arial"/>
          <w:color w:val="0F172A"/>
          <w:sz w:val="22"/>
          <w:szCs w:val="22"/>
        </w:rPr>
        <w:t xml:space="preserve">Static model: fraud patterns evolve — requires monthly retraining to prevent concept drift</w:t>
      </w:r>
    </w:p>
    <w:p>
      <w:pPr>
        <w:pStyle w:val="ListParagraph"/>
        <w:numPr>
          <w:ilvl w:val="0"/>
          <w:numId w:val="2"/>
        </w:numPr>
        <w:spacing w:after="40" w:before="40"/>
      </w:pPr>
      <w:r>
        <w:rPr>
          <w:rFonts w:ascii="Arial" w:cs="Arial" w:eastAsia="Arial" w:hAnsi="Arial"/>
          <w:color w:val="0F172A"/>
          <w:sz w:val="22"/>
          <w:szCs w:val="22"/>
        </w:rPr>
        <w:t xml:space="preserve">No sequential context: cannot detect smurfing (many small transactions building to a threshold)</w:t>
      </w:r>
    </w:p>
    <w:p>
      <w:pPr>
        <w:pStyle w:val="ListParagraph"/>
        <w:numPr>
          <w:ilvl w:val="0"/>
          <w:numId w:val="2"/>
        </w:numPr>
        <w:spacing w:after="40" w:before="40"/>
      </w:pPr>
      <w:r>
        <w:rPr>
          <w:rFonts w:ascii="Arial" w:cs="Arial" w:eastAsia="Arial" w:hAnsi="Arial"/>
          <w:color w:val="0F172A"/>
          <w:sz w:val="22"/>
          <w:szCs w:val="22"/>
        </w:rPr>
        <w:t xml:space="preserve">SMOTE interpolation may not represent real novel attack vectors</w:t>
      </w:r>
    </w:p>
    <w:p>
      <w:pPr>
        <w:pStyle w:val="ListParagraph"/>
        <w:numPr>
          <w:ilvl w:val="0"/>
          <w:numId w:val="2"/>
        </w:numPr>
        <w:spacing w:after="40" w:before="40"/>
      </w:pPr>
      <w:r>
        <w:rPr>
          <w:rFonts w:ascii="Arial" w:cs="Arial" w:eastAsia="Arial" w:hAnsi="Arial"/>
          <w:color w:val="0F172A"/>
          <w:sz w:val="22"/>
          <w:szCs w:val="22"/>
        </w:rPr>
        <w:t xml:space="preserve">Validation performed on a held-out split; production performance should be validated on live data</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Additional Data That Would Improve Performance</w:t>
      </w:r>
    </w:p>
    <w:p>
      <w:pPr>
        <w:pStyle w:val="ListParagraph"/>
        <w:numPr>
          <w:ilvl w:val="0"/>
          <w:numId w:val="2"/>
        </w:numPr>
        <w:spacing w:after="40" w:before="40"/>
      </w:pPr>
      <w:r>
        <w:rPr>
          <w:rFonts w:ascii="Arial" w:cs="Arial" w:eastAsia="Arial" w:hAnsi="Arial"/>
          <w:color w:val="0F172A"/>
          <w:sz w:val="22"/>
          <w:szCs w:val="22"/>
        </w:rPr>
        <w:t xml:space="preserve">Full 30/90-day transaction history per card for velocity and behaviour features</w:t>
      </w:r>
    </w:p>
    <w:p>
      <w:pPr>
        <w:pStyle w:val="ListParagraph"/>
        <w:numPr>
          <w:ilvl w:val="0"/>
          <w:numId w:val="2"/>
        </w:numPr>
        <w:spacing w:after="40" w:before="40"/>
      </w:pPr>
      <w:r>
        <w:rPr>
          <w:rFonts w:ascii="Arial" w:cs="Arial" w:eastAsia="Arial" w:hAnsi="Arial"/>
          <w:color w:val="0F172A"/>
          <w:sz w:val="22"/>
          <w:szCs w:val="22"/>
        </w:rPr>
        <w:t xml:space="preserve">Device fingerprinting: IP address, GPS coordinates, browser fingerprint</w:t>
      </w:r>
    </w:p>
    <w:p>
      <w:pPr>
        <w:pStyle w:val="ListParagraph"/>
        <w:numPr>
          <w:ilvl w:val="0"/>
          <w:numId w:val="2"/>
        </w:numPr>
        <w:spacing w:after="40" w:before="40"/>
      </w:pPr>
      <w:r>
        <w:rPr>
          <w:rFonts w:ascii="Arial" w:cs="Arial" w:eastAsia="Arial" w:hAnsi="Arial"/>
          <w:color w:val="0F172A"/>
          <w:sz w:val="22"/>
          <w:szCs w:val="22"/>
        </w:rPr>
        <w:t xml:space="preserve">Merchant-category risk scores from card network data</w:t>
      </w:r>
    </w:p>
    <w:p>
      <w:pPr>
        <w:pStyle w:val="ListParagraph"/>
        <w:numPr>
          <w:ilvl w:val="0"/>
          <w:numId w:val="2"/>
        </w:numPr>
        <w:spacing w:after="40" w:before="40"/>
      </w:pPr>
      <w:r>
        <w:rPr>
          <w:rFonts w:ascii="Arial" w:cs="Arial" w:eastAsia="Arial" w:hAnsi="Arial"/>
          <w:color w:val="0F172A"/>
          <w:sz w:val="22"/>
          <w:szCs w:val="22"/>
        </w:rPr>
        <w:t xml:space="preserve">Real-time network-graph features: shared devices or email addresses across multiple accounts</w:t>
      </w:r>
    </w:p>
    <w:p>
      <w:pPr>
        <w:pStyle w:val="ListParagraph"/>
        <w:numPr>
          <w:ilvl w:val="0"/>
          <w:numId w:val="2"/>
        </w:numPr>
        <w:spacing w:after="40" w:before="40"/>
      </w:pPr>
      <w:r>
        <w:rPr>
          <w:rFonts w:ascii="Arial" w:cs="Arial" w:eastAsia="Arial" w:hAnsi="Arial"/>
          <w:color w:val="0F172A"/>
          <w:sz w:val="22"/>
          <w:szCs w:val="22"/>
        </w:rPr>
        <w:t xml:space="preserve">Customer tenure and account age — new accounts carry higher risk</w:t>
      </w:r>
    </w:p>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11. 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Library / Tool</w:t>
            </w:r>
          </w:p>
        </w:tc>
        <w:tc>
          <w:tcPr>
            <w:tcW w:type="dxa" w:w="624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Role</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LightGBM</w:t>
            </w:r>
          </w:p>
        </w:tc>
        <w:tc>
          <w:tcPr>
            <w:tcW w:type="dxa" w:w="624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2"/>
                <w:szCs w:val="22"/>
              </w:rPr>
              <w:t xml:space="preserve">Primary fraud detection classifier — gradient boosting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XGBoost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Benchmark comparison model</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Isolation Forest</w:t>
            </w:r>
          </w:p>
        </w:tc>
        <w:tc>
          <w:tcPr>
            <w:tcW w:type="dxa" w:w="624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2"/>
                <w:szCs w:val="22"/>
              </w:rPr>
              <w:t xml:space="preserve">Unsupervised anomaly detection baseline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SHAP</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Explainable AI — local &amp; global feature attribution</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SMOTE (imbalanced-learn)</w:t>
            </w:r>
          </w:p>
        </w:tc>
        <w:tc>
          <w:tcPr>
            <w:tcW w:type="dxa" w:w="624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2"/>
                <w:szCs w:val="22"/>
              </w:rPr>
              <w:t xml:space="preserve">Synthetic minority oversampling (training set only)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RobustScaler</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Feature scaling robust to outliers</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Optuna</w:t>
            </w:r>
          </w:p>
        </w:tc>
        <w:tc>
          <w:tcPr>
            <w:tcW w:type="dxa" w:w="624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2"/>
                <w:szCs w:val="22"/>
              </w:rPr>
              <w:t xml:space="preserve">Hyperparameter tuning via Bayesian optimisation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Streamlit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Interactive fraud operations dashboard</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b/>
                <w:bCs/>
                <w:color w:val="1B3A6B"/>
                <w:sz w:val="22"/>
                <w:szCs w:val="22"/>
              </w:rPr>
              <w:t xml:space="preserve">Plotly</w:t>
            </w:r>
          </w:p>
        </w:tc>
        <w:tc>
          <w:tcPr>
            <w:tcW w:type="dxa" w:w="624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0F172A"/>
                <w:sz w:val="22"/>
                <w:szCs w:val="22"/>
              </w:rPr>
              <w:t xml:space="preserve">Interactive visualisation charts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B3A6B"/>
                <w:sz w:val="22"/>
                <w:szCs w:val="22"/>
              </w:rPr>
              <w:t xml:space="preserve">Pandas / NumPy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Data manipulation and analysis</w:t>
            </w:r>
          </w:p>
        </w:tc>
      </w:tr>
    </w:tbl>
    <w:p>
      <w:pPr>
        <w:pBdr>
          <w:bottom w:val="single" w:color="E2E8F0" w:sz="4" w:space="4"/>
        </w:pBdr>
        <w:spacing w:after="120" w:before="12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12. Submission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File / Folder</w:t>
            </w:r>
          </w:p>
        </w:tc>
        <w:tc>
          <w:tcPr>
            <w:tcW w:type="dxa" w:w="6240"/>
            <w:tcBorders>
              <w:top w:val="single" w:color="FFFFFF" w:sz="1"/>
              <w:left w:val="single" w:color="FFFFFF" w:sz="1"/>
              <w:bottom w:val="single" w:color="FFFFFF" w:sz="1"/>
              <w:right w:val="single" w:color="FFFFFF"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Description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0D9488"/>
                <w:sz w:val="20"/>
                <w:szCs w:val="20"/>
              </w:rPr>
              <w:t xml:space="preserve">✅ analysis.ipynb</w:t>
            </w:r>
          </w:p>
        </w:tc>
        <w:tc>
          <w:tcPr>
            <w:tcW w:type="dxa" w:w="62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Complete Jupyter notebook with all 8 tasks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b/>
                <w:bCs/>
                <w:color w:val="0D9488"/>
                <w:sz w:val="20"/>
                <w:szCs w:val="20"/>
              </w:rPr>
              <w:t xml:space="preserve">✅ dashboard/app.py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Streamlit multi-page fraud operations dashboard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0D9488"/>
                <w:sz w:val="20"/>
                <w:szCs w:val="20"/>
              </w:rPr>
              <w:t xml:space="preserve">✅ dashboard/model.pkl</w:t>
            </w:r>
          </w:p>
        </w:tc>
        <w:tc>
          <w:tcPr>
            <w:tcW w:type="dxa" w:w="62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Serialised production LightGBM model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b/>
                <w:bCs/>
                <w:color w:val="0D9488"/>
                <w:sz w:val="20"/>
                <w:szCs w:val="20"/>
              </w:rPr>
              <w:t xml:space="preserve">✅ model_comparison.png</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Side-by-side model performance comparison chart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0D9488"/>
                <w:sz w:val="20"/>
                <w:szCs w:val="20"/>
              </w:rPr>
              <w:t xml:space="preserve">✅ shap_summary.png</w:t>
            </w:r>
          </w:p>
        </w:tc>
        <w:tc>
          <w:tcPr>
            <w:tcW w:type="dxa" w:w="62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SHAP global summary plot (top 20 features)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b/>
                <w:bCs/>
                <w:color w:val="0D9488"/>
                <w:sz w:val="20"/>
                <w:szCs w:val="20"/>
              </w:rPr>
              <w:t xml:space="preserve">✅ charts/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Full set of visualisation outputs (8 charts)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0D9488"/>
                <w:sz w:val="20"/>
                <w:szCs w:val="20"/>
              </w:rPr>
              <w:t xml:space="preserve">✅ requirements.txt</w:t>
            </w:r>
          </w:p>
        </w:tc>
        <w:tc>
          <w:tcPr>
            <w:tcW w:type="dxa" w:w="62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0F172A"/>
                <w:sz w:val="22"/>
                <w:szCs w:val="22"/>
              </w:rPr>
              <w:t xml:space="preserve">Pinned library versions for reproducibility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b/>
                <w:bCs/>
                <w:color w:val="0D9488"/>
                <w:sz w:val="20"/>
                <w:szCs w:val="20"/>
              </w:rPr>
              <w:t xml:space="preserve">✅ README.md</w:t>
            </w:r>
          </w:p>
        </w:tc>
        <w:tc>
          <w:tcPr>
            <w:tcW w:type="dxa" w:w="62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F172A"/>
                <w:sz w:val="22"/>
                <w:szCs w:val="22"/>
              </w:rPr>
              <w:t xml:space="preserve">Setup instructions and live dashboard URL</w:t>
            </w:r>
          </w:p>
        </w:tc>
      </w:tr>
    </w:tbl>
    <w:p>
      <w:pPr>
        <w:spacing w:after="0" w:before="160"/>
      </w:pPr>
      <w:r>
        <w:t xml:space="preserve"/>
      </w:r>
    </w:p>
    <w:p>
      <w:pPr>
        <w:spacing w:before="80"/>
        <w:jc w:val="center"/>
      </w:pPr>
      <w:r>
        <w:rPr>
          <w:rFonts w:ascii="Arial" w:cs="Arial" w:eastAsia="Arial" w:hAnsi="Arial"/>
          <w:color w:val="475569"/>
          <w:sz w:val="20"/>
          <w:szCs w:val="20"/>
        </w:rPr>
        <w:t xml:space="preserve">Submitted via: </w:t>
      </w:r>
      <w:r>
        <w:rPr>
          <w:rFonts w:ascii="Arial" w:cs="Arial" w:eastAsia="Arial" w:hAnsi="Arial"/>
          <w:color w:val="2563EB"/>
          <w:sz w:val="18"/>
          <w:szCs w:val="18"/>
        </w:rPr>
        <w:t xml:space="preserve">https://docs.google.com/forms/d/e/1FAIpQLSeQbkVrKn_UM6eZ6JoK9oxa_cXb1DbsDoH87ap_8MRu_RU5Sw/viewform</w:t>
      </w:r>
    </w:p>
    <w:p>
      <w:pPr>
        <w:spacing w:after="0" w:before="240"/>
      </w:pPr>
      <w:r>
        <w:t xml:space="preserve"/>
      </w:r>
    </w:p>
    <w:p>
      <w:pPr>
        <w:pBdr>
          <w:bottom w:val="single" w:color="2563EB" w:sz="4" w:space="4"/>
        </w:pBdr>
        <w:spacing w:after="120" w:before="120"/>
      </w:pPr>
      <w:r>
        <w:t xml:space="preserve"/>
      </w:r>
    </w:p>
    <w:p>
      <w:pPr>
        <w:jc w:val="center"/>
      </w:pPr>
      <w:r>
        <w:rPr>
          <w:rFonts w:ascii="Arial" w:cs="Arial" w:eastAsia="Arial" w:hAnsi="Arial"/>
          <w:i/>
          <w:iCs/>
          <w:color w:val="475569"/>
          <w:sz w:val="20"/>
          <w:szCs w:val="20"/>
        </w:rPr>
        <w:t xml:space="preserve">Real-Time Fraud Detection System  |  Week 4 Capstone  |  AI &amp; Data Analytics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right"/>
    </w:pPr>
    <w:r>
      <w:rPr>
        <w:rFonts w:ascii="Arial" w:cs="Arial" w:eastAsia="Arial" w:hAnsi="Arial"/>
        <w:color w:val="475569"/>
        <w:sz w:val="18"/>
        <w:szCs w:val="18"/>
      </w:rPr>
      <w:t xml:space="preserve">Confidential  |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475569"/>
        <w:sz w:val="18"/>
        <w:szCs w:val="18"/>
      </w:rPr>
      <w:t xml:space="preserve">Real-Time Fraud Detection System</w:t>
    </w:r>
    <w:r>
      <w:rPr>
        <w:rFonts w:ascii="Arial" w:cs="Arial" w:eastAsia="Arial" w:hAnsi="Arial"/>
        <w:color w:val="2563EB"/>
        <w:sz w:val="18"/>
        <w:szCs w:val="18"/>
      </w:rPr>
      <w:t xml:space="preserve">  |  Internship Capstone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2026-05-23T02:21:51.823Z</dcterms:created>
  <dcterms:modified xsi:type="dcterms:W3CDTF">2026-05-23T02:21:51.823Z</dcterms:modified>
</cp:coreProperties>
</file>

<file path=docProps/custom.xml><?xml version="1.0" encoding="utf-8"?>
<Properties xmlns="http://schemas.openxmlformats.org/officeDocument/2006/custom-properties" xmlns:vt="http://schemas.openxmlformats.org/officeDocument/2006/docPropsVTypes"/>
</file>