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rPr>
          <w:sz w:val="4"/>
        </w:rPr>
      </w:pPr>
    </w:p>
    <w:p>
      <w:pPr>
        <w:spacing w:line="28" w:lineRule="exact"/>
        <w:ind w:left="6577" w:right="0" w:firstLine="0"/>
        <w:rPr>
          <w:position w:val="0"/>
          <w:sz w:val="2"/>
        </w:rPr>
      </w:pPr>
      <w:r>
        <w:rPr>
          <w:position w:val="0"/>
          <w:sz w:val="2"/>
        </w:rPr>
        <mc:AlternateContent>
          <mc:Choice Requires="wps">
            <w:drawing>
              <wp:inline distT="0" distB="0" distL="0" distR="0">
                <wp:extent cx="1213485" cy="18415"/>
                <wp:effectExtent l="0" t="0" r="0" b="0"/>
                <wp:docPr id="3" name="Group 3"/>
                <wp:cNvGraphicFramePr>
                  <a:graphicFrameLocks/>
                </wp:cNvGraphicFramePr>
                <a:graphic>
                  <a:graphicData uri="http://schemas.microsoft.com/office/word/2010/wordprocessingGroup">
                    <wpg:wgp>
                      <wpg:cNvPr id="3" name="Group 3"/>
                      <wpg:cNvGrpSpPr/>
                      <wpg:grpSpPr>
                        <a:xfrm>
                          <a:off x="0" y="0"/>
                          <a:ext cx="1213485" cy="18415"/>
                          <a:chExt cx="1213485" cy="18415"/>
                        </a:xfrm>
                      </wpg:grpSpPr>
                      <wps:wsp>
                        <wps:cNvPr id="4" name="Graphic 4"/>
                        <wps:cNvSpPr/>
                        <wps:spPr>
                          <a:xfrm>
                            <a:off x="0" y="0"/>
                            <a:ext cx="1213485" cy="18415"/>
                          </a:xfrm>
                          <a:custGeom>
                            <a:avLst/>
                            <a:gdLst/>
                            <a:ahLst/>
                            <a:cxnLst/>
                            <a:rect l="l" t="t" r="r" b="b"/>
                            <a:pathLst>
                              <a:path w="1213485" h="18415">
                                <a:moveTo>
                                  <a:pt x="1213103" y="0"/>
                                </a:moveTo>
                                <a:lnTo>
                                  <a:pt x="0" y="0"/>
                                </a:lnTo>
                                <a:lnTo>
                                  <a:pt x="0" y="18288"/>
                                </a:lnTo>
                                <a:lnTo>
                                  <a:pt x="1213103" y="18288"/>
                                </a:lnTo>
                                <a:lnTo>
                                  <a:pt x="12131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5.55pt;height:1.45pt;mso-position-horizontal-relative:char;mso-position-vertical-relative:line" id="docshapegroup3" coordorigin="0,0" coordsize="1911,29">
                <v:rect style="position:absolute;left:0;top:0;width:1911;height:29" id="docshape4" filled="true" fillcolor="#000000" stroked="false">
                  <v:fill type="solid"/>
                </v:rect>
              </v:group>
            </w:pict>
          </mc:Fallback>
        </mc:AlternateContent>
      </w:r>
      <w:r>
        <w:rPr>
          <w:position w:val="0"/>
          <w:sz w:val="2"/>
        </w:rPr>
      </w:r>
    </w:p>
    <w:p>
      <w:pPr>
        <w:spacing w:line="140" w:lineRule="exact" w:before="0"/>
        <w:ind w:left="146" w:right="286" w:firstLine="0"/>
        <w:jc w:val="center"/>
        <w:rPr>
          <w:sz w:val="14"/>
        </w:rPr>
      </w:pPr>
      <w:r>
        <w:rPr>
          <w:sz w:val="14"/>
        </w:rPr>
        <w:t>Available</w:t>
      </w:r>
      <w:r>
        <w:rPr>
          <w:spacing w:val="-3"/>
          <w:sz w:val="14"/>
        </w:rPr>
        <w:t> </w:t>
      </w:r>
      <w:r>
        <w:rPr>
          <w:sz w:val="14"/>
        </w:rPr>
        <w:t>online</w:t>
      </w:r>
      <w:r>
        <w:rPr>
          <w:spacing w:val="-3"/>
          <w:sz w:val="14"/>
        </w:rPr>
        <w:t> </w:t>
      </w:r>
      <w:r>
        <w:rPr>
          <w:spacing w:val="-5"/>
          <w:sz w:val="14"/>
        </w:rPr>
        <w:t>at</w:t>
      </w:r>
    </w:p>
    <w:p>
      <w:pPr>
        <w:tabs>
          <w:tab w:pos="6678" w:val="left" w:leader="none"/>
        </w:tabs>
        <w:spacing w:line="254" w:lineRule="exact" w:before="0"/>
        <w:ind w:left="2905" w:right="0" w:firstLine="0"/>
        <w:jc w:val="left"/>
        <w:rPr>
          <w:rFonts w:ascii="Arial Narrow"/>
          <w:b/>
          <w:position w:val="-4"/>
          <w:sz w:val="24"/>
        </w:rPr>
      </w:pPr>
      <w:r>
        <w:rPr>
          <w:rFonts w:ascii="Arial Narrow"/>
          <w:b/>
          <w:position w:val="-4"/>
          <w:sz w:val="24"/>
        </w:rPr>
        <w:drawing>
          <wp:anchor distT="0" distB="0" distL="0" distR="0" allowOverlap="1" layoutInCell="1" locked="0" behindDoc="0" simplePos="0" relativeHeight="15730688">
            <wp:simplePos x="0" y="0"/>
            <wp:positionH relativeFrom="page">
              <wp:posOffset>825879</wp:posOffset>
            </wp:positionH>
            <wp:positionV relativeFrom="paragraph">
              <wp:posOffset>96809</wp:posOffset>
            </wp:positionV>
            <wp:extent cx="1033025" cy="404157"/>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033025" cy="404157"/>
                    </a:xfrm>
                    <a:prstGeom prst="rect">
                      <a:avLst/>
                    </a:prstGeom>
                  </pic:spPr>
                </pic:pic>
              </a:graphicData>
            </a:graphic>
          </wp:anchor>
        </w:drawing>
      </w:r>
      <w:hyperlink r:id="rId7">
        <w:r>
          <w:rPr>
            <w:spacing w:val="-2"/>
            <w:sz w:val="14"/>
          </w:rPr>
          <w:t>https://journal.uitm.edu.my/ojs/index.php/MJCET</w:t>
        </w:r>
      </w:hyperlink>
      <w:r>
        <w:rPr>
          <w:sz w:val="14"/>
        </w:rPr>
        <w:tab/>
      </w:r>
      <w:r>
        <w:rPr>
          <w:rFonts w:ascii="Arial Narrow"/>
          <w:b/>
          <w:position w:val="-4"/>
          <w:sz w:val="24"/>
        </w:rPr>
        <w:t>Malaysian</w:t>
      </w:r>
      <w:r>
        <w:rPr>
          <w:rFonts w:ascii="Arial Narrow"/>
          <w:b/>
          <w:spacing w:val="-10"/>
          <w:position w:val="-4"/>
          <w:sz w:val="24"/>
        </w:rPr>
        <w:t> </w:t>
      </w:r>
      <w:r>
        <w:rPr>
          <w:rFonts w:ascii="Arial Narrow"/>
          <w:b/>
          <w:spacing w:val="-2"/>
          <w:position w:val="-4"/>
          <w:sz w:val="24"/>
        </w:rPr>
        <w:t>Journal</w:t>
      </w:r>
    </w:p>
    <w:p>
      <w:pPr>
        <w:spacing w:line="242" w:lineRule="auto" w:before="0"/>
        <w:ind w:left="6759" w:right="458" w:firstLine="216"/>
        <w:jc w:val="left"/>
        <w:rPr>
          <w:rFonts w:ascii="Arial Narrow"/>
          <w:b/>
          <w:sz w:val="24"/>
        </w:rPr>
      </w:pPr>
      <w:r>
        <w:rPr>
          <w:rFonts w:ascii="Arial Narrow"/>
          <w:b/>
          <w:sz w:val="24"/>
        </w:rPr>
        <w:t>of Chemical Engineering</w:t>
      </w:r>
      <w:r>
        <w:rPr>
          <w:rFonts w:ascii="Arial Narrow"/>
          <w:b/>
          <w:spacing w:val="-14"/>
          <w:sz w:val="24"/>
        </w:rPr>
        <w:t> </w:t>
      </w:r>
      <w:r>
        <w:rPr>
          <w:rFonts w:ascii="Arial Narrow"/>
          <w:b/>
          <w:sz w:val="24"/>
        </w:rPr>
        <w:t>and</w:t>
      </w:r>
    </w:p>
    <w:p>
      <w:pPr>
        <w:spacing w:after="0" w:line="242" w:lineRule="auto"/>
        <w:jc w:val="left"/>
        <w:rPr>
          <w:rFonts w:ascii="Arial Narrow"/>
          <w:b/>
          <w:sz w:val="24"/>
        </w:rPr>
        <w:sectPr>
          <w:footerReference w:type="default" r:id="rId5"/>
          <w:type w:val="continuous"/>
          <w:pgSz w:w="10890" w:h="14860"/>
          <w:pgMar w:header="0" w:footer="1649" w:top="1320" w:bottom="1840" w:left="992" w:right="1133"/>
          <w:pgNumType w:start="1"/>
        </w:sectPr>
      </w:pPr>
    </w:p>
    <w:p>
      <w:pPr>
        <w:spacing w:before="18"/>
        <w:ind w:left="649" w:right="0" w:firstLine="0"/>
        <w:jc w:val="left"/>
        <w:rPr>
          <w:sz w:val="12"/>
        </w:rPr>
      </w:pPr>
      <w:r>
        <w:rPr>
          <w:sz w:val="12"/>
        </w:rPr>
        <w:t>e-ISSN:</w:t>
      </w:r>
      <w:r>
        <w:rPr>
          <w:spacing w:val="-3"/>
          <w:sz w:val="12"/>
        </w:rPr>
        <w:t> </w:t>
      </w:r>
      <w:r>
        <w:rPr>
          <w:sz w:val="12"/>
        </w:rPr>
        <w:t>2682-</w:t>
      </w:r>
      <w:r>
        <w:rPr>
          <w:spacing w:val="-4"/>
          <w:sz w:val="12"/>
        </w:rPr>
        <w:t>8588</w:t>
      </w:r>
    </w:p>
    <w:p>
      <w:pPr>
        <w:spacing w:before="124"/>
        <w:ind w:left="521" w:right="0" w:firstLine="0"/>
        <w:jc w:val="left"/>
        <w:rPr>
          <w:sz w:val="14"/>
        </w:rPr>
      </w:pPr>
      <w:r>
        <w:rPr/>
        <w:br w:type="column"/>
      </w:r>
      <w:r>
        <w:rPr>
          <w:sz w:val="14"/>
        </w:rPr>
        <w:t>Malaysian</w:t>
      </w:r>
      <w:r>
        <w:rPr>
          <w:spacing w:val="-4"/>
          <w:sz w:val="14"/>
        </w:rPr>
        <w:t> </w:t>
      </w:r>
      <w:r>
        <w:rPr>
          <w:sz w:val="14"/>
        </w:rPr>
        <w:t>Journal</w:t>
      </w:r>
      <w:r>
        <w:rPr>
          <w:spacing w:val="-9"/>
          <w:sz w:val="14"/>
        </w:rPr>
        <w:t> </w:t>
      </w:r>
      <w:r>
        <w:rPr>
          <w:sz w:val="14"/>
        </w:rPr>
        <w:t>of</w:t>
      </w:r>
      <w:r>
        <w:rPr>
          <w:spacing w:val="-3"/>
          <w:sz w:val="14"/>
        </w:rPr>
        <w:t> </w:t>
      </w:r>
      <w:r>
        <w:rPr>
          <w:sz w:val="14"/>
        </w:rPr>
        <w:t>Chemical</w:t>
      </w:r>
      <w:r>
        <w:rPr>
          <w:spacing w:val="-4"/>
          <w:sz w:val="14"/>
        </w:rPr>
        <w:t> </w:t>
      </w:r>
      <w:r>
        <w:rPr>
          <w:sz w:val="14"/>
        </w:rPr>
        <w:t>Engineering</w:t>
      </w:r>
      <w:r>
        <w:rPr>
          <w:spacing w:val="-3"/>
          <w:sz w:val="14"/>
        </w:rPr>
        <w:t> </w:t>
      </w:r>
      <w:r>
        <w:rPr>
          <w:sz w:val="14"/>
        </w:rPr>
        <w:t>&amp;</w:t>
      </w:r>
      <w:r>
        <w:rPr>
          <w:spacing w:val="-8"/>
          <w:sz w:val="14"/>
        </w:rPr>
        <w:t> </w:t>
      </w:r>
      <w:r>
        <w:rPr>
          <w:sz w:val="14"/>
        </w:rPr>
        <w:t>Technology</w:t>
      </w:r>
      <w:r>
        <w:rPr>
          <w:spacing w:val="-7"/>
          <w:sz w:val="14"/>
        </w:rPr>
        <w:t> </w:t>
      </w:r>
      <w:r>
        <w:rPr>
          <w:sz w:val="14"/>
        </w:rPr>
        <w:t>8(2)</w:t>
      </w:r>
      <w:r>
        <w:rPr>
          <w:spacing w:val="-2"/>
          <w:sz w:val="14"/>
        </w:rPr>
        <w:t> </w:t>
      </w:r>
      <w:r>
        <w:rPr>
          <w:sz w:val="14"/>
        </w:rPr>
        <w:t>2025,</w:t>
      </w:r>
      <w:r>
        <w:rPr>
          <w:spacing w:val="-6"/>
          <w:sz w:val="14"/>
        </w:rPr>
        <w:t> </w:t>
      </w:r>
      <w:r>
        <w:rPr>
          <w:sz w:val="14"/>
        </w:rPr>
        <w:t>52–</w:t>
      </w:r>
      <w:r>
        <w:rPr>
          <w:spacing w:val="-5"/>
          <w:sz w:val="14"/>
        </w:rPr>
        <w:t>65</w:t>
      </w:r>
    </w:p>
    <w:p>
      <w:pPr>
        <w:spacing w:line="272" w:lineRule="exact" w:before="0"/>
        <w:ind w:left="464" w:right="0" w:firstLine="0"/>
        <w:jc w:val="left"/>
        <w:rPr>
          <w:rFonts w:ascii="Arial Narrow"/>
          <w:b/>
          <w:sz w:val="24"/>
        </w:rPr>
      </w:pPr>
      <w:r>
        <w:rPr/>
        <w:br w:type="column"/>
      </w:r>
      <w:r>
        <w:rPr>
          <w:rFonts w:ascii="Arial Narrow"/>
          <w:b/>
          <w:spacing w:val="-2"/>
          <w:sz w:val="24"/>
        </w:rPr>
        <w:t>Technology</w:t>
      </w:r>
    </w:p>
    <w:p>
      <w:pPr>
        <w:spacing w:after="0" w:line="272" w:lineRule="exact"/>
        <w:jc w:val="left"/>
        <w:rPr>
          <w:rFonts w:ascii="Arial Narrow"/>
          <w:b/>
          <w:sz w:val="24"/>
        </w:rPr>
        <w:sectPr>
          <w:type w:val="continuous"/>
          <w:pgSz w:w="10890" w:h="14860"/>
          <w:pgMar w:header="0" w:footer="1649" w:top="1320" w:bottom="1840" w:left="992" w:right="1133"/>
          <w:cols w:num="3" w:equalWidth="0">
            <w:col w:w="1586" w:space="40"/>
            <w:col w:w="4851" w:space="39"/>
            <w:col w:w="2249"/>
          </w:cols>
        </w:sectPr>
      </w:pPr>
    </w:p>
    <w:p>
      <w:pPr>
        <w:pStyle w:val="BodyText"/>
        <w:spacing w:before="1"/>
        <w:rPr>
          <w:rFonts w:ascii="Arial Narrow"/>
          <w:b/>
          <w:sz w:val="9"/>
        </w:rPr>
      </w:pPr>
    </w:p>
    <w:p>
      <w:pPr>
        <w:spacing w:line="28" w:lineRule="exact"/>
        <w:ind w:left="6577" w:right="0" w:firstLine="0"/>
        <w:rPr>
          <w:rFonts w:ascii="Arial Narrow"/>
          <w:position w:val="0"/>
          <w:sz w:val="2"/>
        </w:rPr>
      </w:pPr>
      <w:r>
        <w:rPr>
          <w:rFonts w:ascii="Arial Narrow"/>
          <w:position w:val="0"/>
          <w:sz w:val="2"/>
        </w:rPr>
        <mc:AlternateContent>
          <mc:Choice Requires="wps">
            <w:drawing>
              <wp:inline distT="0" distB="0" distL="0" distR="0">
                <wp:extent cx="1213485" cy="18415"/>
                <wp:effectExtent l="0" t="0" r="0" b="0"/>
                <wp:docPr id="6" name="Group 6"/>
                <wp:cNvGraphicFramePr>
                  <a:graphicFrameLocks/>
                </wp:cNvGraphicFramePr>
                <a:graphic>
                  <a:graphicData uri="http://schemas.microsoft.com/office/word/2010/wordprocessingGroup">
                    <wpg:wgp>
                      <wpg:cNvPr id="6" name="Group 6"/>
                      <wpg:cNvGrpSpPr/>
                      <wpg:grpSpPr>
                        <a:xfrm>
                          <a:off x="0" y="0"/>
                          <a:ext cx="1213485" cy="18415"/>
                          <a:chExt cx="1213485" cy="18415"/>
                        </a:xfrm>
                      </wpg:grpSpPr>
                      <wps:wsp>
                        <wps:cNvPr id="7" name="Graphic 7"/>
                        <wps:cNvSpPr/>
                        <wps:spPr>
                          <a:xfrm>
                            <a:off x="0" y="0"/>
                            <a:ext cx="1213485" cy="18415"/>
                          </a:xfrm>
                          <a:custGeom>
                            <a:avLst/>
                            <a:gdLst/>
                            <a:ahLst/>
                            <a:cxnLst/>
                            <a:rect l="l" t="t" r="r" b="b"/>
                            <a:pathLst>
                              <a:path w="1213485" h="18415">
                                <a:moveTo>
                                  <a:pt x="1213103" y="0"/>
                                </a:moveTo>
                                <a:lnTo>
                                  <a:pt x="0" y="0"/>
                                </a:lnTo>
                                <a:lnTo>
                                  <a:pt x="0" y="18288"/>
                                </a:lnTo>
                                <a:lnTo>
                                  <a:pt x="1213103" y="18288"/>
                                </a:lnTo>
                                <a:lnTo>
                                  <a:pt x="12131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5.55pt;height:1.45pt;mso-position-horizontal-relative:char;mso-position-vertical-relative:line" id="docshapegroup5" coordorigin="0,0" coordsize="1911,29">
                <v:rect style="position:absolute;left:0;top:0;width:1911;height:29" id="docshape6" filled="true" fillcolor="#000000" stroked="false">
                  <v:fill type="solid"/>
                </v:rect>
              </v:group>
            </w:pict>
          </mc:Fallback>
        </mc:AlternateContent>
      </w:r>
      <w:r>
        <w:rPr>
          <w:rFonts w:ascii="Arial Narrow"/>
          <w:position w:val="0"/>
          <w:sz w:val="2"/>
        </w:rPr>
      </w:r>
    </w:p>
    <w:p>
      <w:pPr>
        <w:pStyle w:val="BodyText"/>
        <w:spacing w:before="210"/>
        <w:rPr>
          <w:rFonts w:ascii="Arial Narrow"/>
          <w:b/>
          <w:sz w:val="34"/>
        </w:rPr>
      </w:pPr>
    </w:p>
    <w:p>
      <w:pPr>
        <w:pStyle w:val="Title"/>
        <w:spacing w:line="400" w:lineRule="auto"/>
      </w:pPr>
      <w:r>
        <w:rPr/>
        <w:t>Sensitivity analysis of reaction kinetics in saponification of ethyl</w:t>
      </w:r>
      <w:r>
        <w:rPr>
          <w:spacing w:val="-6"/>
        </w:rPr>
        <w:t> </w:t>
      </w:r>
      <w:r>
        <w:rPr/>
        <w:t>acetate</w:t>
      </w:r>
      <w:r>
        <w:rPr>
          <w:spacing w:val="-5"/>
        </w:rPr>
        <w:t> </w:t>
      </w:r>
      <w:r>
        <w:rPr/>
        <w:t>and</w:t>
      </w:r>
      <w:r>
        <w:rPr>
          <w:spacing w:val="-5"/>
        </w:rPr>
        <w:t> </w:t>
      </w:r>
      <w:r>
        <w:rPr/>
        <w:t>sodium</w:t>
      </w:r>
      <w:r>
        <w:rPr>
          <w:spacing w:val="-8"/>
        </w:rPr>
        <w:t> </w:t>
      </w:r>
      <w:r>
        <w:rPr/>
        <w:t>hydroxide</w:t>
      </w:r>
      <w:r>
        <w:rPr>
          <w:spacing w:val="-4"/>
        </w:rPr>
        <w:t> </w:t>
      </w:r>
      <w:r>
        <w:rPr/>
        <w:t>in</w:t>
      </w:r>
      <w:r>
        <w:rPr>
          <w:spacing w:val="-4"/>
        </w:rPr>
        <w:t> </w:t>
      </w:r>
      <w:r>
        <w:rPr/>
        <w:t>continuous stirred</w:t>
      </w:r>
      <w:r>
        <w:rPr>
          <w:spacing w:val="-5"/>
        </w:rPr>
        <w:t> </w:t>
      </w:r>
      <w:r>
        <w:rPr/>
        <w:t>tank reactor (CSTR)</w:t>
      </w:r>
    </w:p>
    <w:p>
      <w:pPr>
        <w:spacing w:before="242"/>
        <w:ind w:left="283" w:right="140" w:firstLine="0"/>
        <w:jc w:val="center"/>
        <w:rPr>
          <w:sz w:val="26"/>
        </w:rPr>
      </w:pPr>
      <w:r>
        <w:rPr>
          <w:sz w:val="26"/>
        </w:rPr>
        <w:t>Nur</w:t>
      </w:r>
      <w:r>
        <w:rPr>
          <w:spacing w:val="-7"/>
          <w:sz w:val="26"/>
        </w:rPr>
        <w:t> </w:t>
      </w:r>
      <w:r>
        <w:rPr>
          <w:sz w:val="26"/>
        </w:rPr>
        <w:t>Hannani</w:t>
      </w:r>
      <w:r>
        <w:rPr>
          <w:spacing w:val="-7"/>
          <w:sz w:val="26"/>
        </w:rPr>
        <w:t> </w:t>
      </w:r>
      <w:r>
        <w:rPr>
          <w:sz w:val="26"/>
        </w:rPr>
        <w:t>Mohamad</w:t>
      </w:r>
      <w:r>
        <w:rPr>
          <w:spacing w:val="-7"/>
          <w:sz w:val="26"/>
        </w:rPr>
        <w:t> </w:t>
      </w:r>
      <w:r>
        <w:rPr>
          <w:sz w:val="26"/>
        </w:rPr>
        <w:t>Azehar</w:t>
      </w:r>
      <w:r>
        <w:rPr>
          <w:sz w:val="26"/>
          <w:vertAlign w:val="superscript"/>
        </w:rPr>
        <w:t>1</w:t>
      </w:r>
      <w:r>
        <w:rPr>
          <w:sz w:val="26"/>
          <w:vertAlign w:val="baseline"/>
        </w:rPr>
        <w:t>,</w:t>
      </w:r>
      <w:r>
        <w:rPr>
          <w:spacing w:val="-5"/>
          <w:sz w:val="26"/>
          <w:vertAlign w:val="baseline"/>
        </w:rPr>
        <w:t> </w:t>
      </w:r>
      <w:r>
        <w:rPr>
          <w:sz w:val="26"/>
          <w:vertAlign w:val="baseline"/>
        </w:rPr>
        <w:t>Sherif</w:t>
      </w:r>
      <w:r>
        <w:rPr>
          <w:spacing w:val="-7"/>
          <w:sz w:val="26"/>
          <w:vertAlign w:val="baseline"/>
        </w:rPr>
        <w:t> </w:t>
      </w:r>
      <w:r>
        <w:rPr>
          <w:sz w:val="26"/>
          <w:vertAlign w:val="baseline"/>
        </w:rPr>
        <w:t>Abdulbari</w:t>
      </w:r>
      <w:r>
        <w:rPr>
          <w:spacing w:val="-6"/>
          <w:sz w:val="26"/>
          <w:vertAlign w:val="baseline"/>
        </w:rPr>
        <w:t> </w:t>
      </w:r>
      <w:r>
        <w:rPr>
          <w:spacing w:val="-2"/>
          <w:sz w:val="26"/>
          <w:vertAlign w:val="baseline"/>
        </w:rPr>
        <w:t>Ali</w:t>
      </w:r>
      <w:r>
        <w:rPr>
          <w:spacing w:val="-2"/>
          <w:sz w:val="26"/>
          <w:vertAlign w:val="superscript"/>
        </w:rPr>
        <w:t>2*</w:t>
      </w:r>
    </w:p>
    <w:p>
      <w:pPr>
        <w:spacing w:before="246"/>
        <w:ind w:left="286" w:right="140" w:firstLine="0"/>
        <w:jc w:val="center"/>
        <w:rPr>
          <w:i/>
          <w:sz w:val="16"/>
        </w:rPr>
      </w:pPr>
      <w:r>
        <w:rPr>
          <w:i/>
          <w:sz w:val="16"/>
          <w:vertAlign w:val="superscript"/>
        </w:rPr>
        <w:t>1,2</w:t>
      </w:r>
      <w:r>
        <w:rPr>
          <w:i/>
          <w:sz w:val="16"/>
          <w:vertAlign w:val="baseline"/>
        </w:rPr>
        <w:t>Faculty</w:t>
      </w:r>
      <w:r>
        <w:rPr>
          <w:i/>
          <w:spacing w:val="-3"/>
          <w:sz w:val="16"/>
          <w:vertAlign w:val="baseline"/>
        </w:rPr>
        <w:t> </w:t>
      </w:r>
      <w:r>
        <w:rPr>
          <w:i/>
          <w:sz w:val="16"/>
          <w:vertAlign w:val="baseline"/>
        </w:rPr>
        <w:t>of</w:t>
      </w:r>
      <w:r>
        <w:rPr>
          <w:i/>
          <w:spacing w:val="-5"/>
          <w:sz w:val="16"/>
          <w:vertAlign w:val="baseline"/>
        </w:rPr>
        <w:t> </w:t>
      </w:r>
      <w:r>
        <w:rPr>
          <w:i/>
          <w:sz w:val="16"/>
          <w:vertAlign w:val="baseline"/>
        </w:rPr>
        <w:t>Chemical</w:t>
      </w:r>
      <w:r>
        <w:rPr>
          <w:i/>
          <w:spacing w:val="-5"/>
          <w:sz w:val="16"/>
          <w:vertAlign w:val="baseline"/>
        </w:rPr>
        <w:t> </w:t>
      </w:r>
      <w:r>
        <w:rPr>
          <w:i/>
          <w:sz w:val="16"/>
          <w:vertAlign w:val="baseline"/>
        </w:rPr>
        <w:t>Engineering,</w:t>
      </w:r>
      <w:r>
        <w:rPr>
          <w:i/>
          <w:spacing w:val="-5"/>
          <w:sz w:val="16"/>
          <w:vertAlign w:val="baseline"/>
        </w:rPr>
        <w:t> </w:t>
      </w:r>
      <w:r>
        <w:rPr>
          <w:i/>
          <w:sz w:val="16"/>
          <w:vertAlign w:val="baseline"/>
        </w:rPr>
        <w:t>Universiti</w:t>
      </w:r>
      <w:r>
        <w:rPr>
          <w:i/>
          <w:spacing w:val="-6"/>
          <w:sz w:val="16"/>
          <w:vertAlign w:val="baseline"/>
        </w:rPr>
        <w:t> </w:t>
      </w:r>
      <w:r>
        <w:rPr>
          <w:i/>
          <w:sz w:val="16"/>
          <w:vertAlign w:val="baseline"/>
        </w:rPr>
        <w:t>Teknologi</w:t>
      </w:r>
      <w:r>
        <w:rPr>
          <w:i/>
          <w:spacing w:val="-5"/>
          <w:sz w:val="16"/>
          <w:vertAlign w:val="baseline"/>
        </w:rPr>
        <w:t> </w:t>
      </w:r>
      <w:r>
        <w:rPr>
          <w:i/>
          <w:sz w:val="16"/>
          <w:vertAlign w:val="baseline"/>
        </w:rPr>
        <w:t>MARA,</w:t>
      </w:r>
      <w:r>
        <w:rPr>
          <w:i/>
          <w:spacing w:val="-1"/>
          <w:sz w:val="16"/>
          <w:vertAlign w:val="baseline"/>
        </w:rPr>
        <w:t> </w:t>
      </w:r>
      <w:r>
        <w:rPr>
          <w:i/>
          <w:sz w:val="16"/>
          <w:vertAlign w:val="baseline"/>
        </w:rPr>
        <w:t>40450</w:t>
      </w:r>
      <w:r>
        <w:rPr>
          <w:i/>
          <w:spacing w:val="-3"/>
          <w:sz w:val="16"/>
          <w:vertAlign w:val="baseline"/>
        </w:rPr>
        <w:t> </w:t>
      </w:r>
      <w:r>
        <w:rPr>
          <w:i/>
          <w:sz w:val="16"/>
          <w:vertAlign w:val="baseline"/>
        </w:rPr>
        <w:t>Shah</w:t>
      </w:r>
      <w:r>
        <w:rPr>
          <w:i/>
          <w:spacing w:val="-2"/>
          <w:sz w:val="16"/>
          <w:vertAlign w:val="baseline"/>
        </w:rPr>
        <w:t> </w:t>
      </w:r>
      <w:r>
        <w:rPr>
          <w:i/>
          <w:sz w:val="16"/>
          <w:vertAlign w:val="baseline"/>
        </w:rPr>
        <w:t>Alam,</w:t>
      </w:r>
      <w:r>
        <w:rPr>
          <w:i/>
          <w:spacing w:val="-5"/>
          <w:sz w:val="16"/>
          <w:vertAlign w:val="baseline"/>
        </w:rPr>
        <w:t> </w:t>
      </w:r>
      <w:r>
        <w:rPr>
          <w:i/>
          <w:spacing w:val="-2"/>
          <w:sz w:val="16"/>
          <w:vertAlign w:val="baseline"/>
        </w:rPr>
        <w:t>Selangor</w:t>
      </w:r>
    </w:p>
    <w:p>
      <w:pPr>
        <w:pStyle w:val="BodyText"/>
        <w:spacing w:before="104" w:after="1"/>
        <w:rPr>
          <w:i/>
        </w:rPr>
      </w:pPr>
    </w:p>
    <w:tbl>
      <w:tblPr>
        <w:tblW w:w="0" w:type="auto"/>
        <w:jc w:val="left"/>
        <w:tblInd w:w="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34"/>
        <w:gridCol w:w="5424"/>
      </w:tblGrid>
      <w:tr>
        <w:trPr>
          <w:trHeight w:val="368" w:hRule="atLeast"/>
        </w:trPr>
        <w:tc>
          <w:tcPr>
            <w:tcW w:w="3134" w:type="dxa"/>
            <w:tcBorders>
              <w:top w:val="single" w:sz="6" w:space="0" w:color="000000"/>
            </w:tcBorders>
          </w:tcPr>
          <w:p>
            <w:pPr>
              <w:pStyle w:val="TableParagraph"/>
              <w:spacing w:before="86"/>
              <w:ind w:left="115"/>
              <w:jc w:val="left"/>
              <w:rPr>
                <w:sz w:val="20"/>
              </w:rPr>
            </w:pPr>
            <w:r>
              <w:rPr>
                <w:sz w:val="20"/>
              </w:rPr>
              <w:t>ARTICLE</w:t>
            </w:r>
            <w:r>
              <w:rPr>
                <w:spacing w:val="-7"/>
                <w:sz w:val="20"/>
              </w:rPr>
              <w:t> </w:t>
            </w:r>
            <w:r>
              <w:rPr>
                <w:spacing w:val="-4"/>
                <w:sz w:val="20"/>
              </w:rPr>
              <w:t>INFO</w:t>
            </w:r>
          </w:p>
        </w:tc>
        <w:tc>
          <w:tcPr>
            <w:tcW w:w="5424" w:type="dxa"/>
            <w:tcBorders>
              <w:top w:val="single" w:sz="6" w:space="0" w:color="000000"/>
              <w:bottom w:val="single" w:sz="6" w:space="0" w:color="000000"/>
            </w:tcBorders>
          </w:tcPr>
          <w:p>
            <w:pPr>
              <w:pStyle w:val="TableParagraph"/>
              <w:spacing w:before="86"/>
              <w:ind w:left="115"/>
              <w:jc w:val="left"/>
              <w:rPr>
                <w:sz w:val="20"/>
              </w:rPr>
            </w:pPr>
            <w:r>
              <w:rPr>
                <w:spacing w:val="-2"/>
                <w:sz w:val="20"/>
              </w:rPr>
              <w:t>ABSTRACT</w:t>
            </w:r>
          </w:p>
        </w:tc>
      </w:tr>
      <w:tr>
        <w:trPr>
          <w:trHeight w:val="1533" w:hRule="atLeast"/>
        </w:trPr>
        <w:tc>
          <w:tcPr>
            <w:tcW w:w="3134" w:type="dxa"/>
          </w:tcPr>
          <w:p>
            <w:pPr>
              <w:pStyle w:val="TableParagraph"/>
              <w:spacing w:line="20" w:lineRule="exact" w:before="0"/>
              <w:ind w:left="0"/>
              <w:jc w:val="left"/>
              <w:rPr>
                <w:sz w:val="2"/>
              </w:rPr>
            </w:pPr>
            <w:r>
              <w:rPr>
                <w:sz w:val="2"/>
              </w:rPr>
              <mc:AlternateContent>
                <mc:Choice Requires="wps">
                  <w:drawing>
                    <wp:inline distT="0" distB="0" distL="0" distR="0">
                      <wp:extent cx="1826260" cy="9525"/>
                      <wp:effectExtent l="0" t="0" r="0" b="0"/>
                      <wp:docPr id="8" name="Group 8"/>
                      <wp:cNvGraphicFramePr>
                        <a:graphicFrameLocks/>
                      </wp:cNvGraphicFramePr>
                      <a:graphic>
                        <a:graphicData uri="http://schemas.microsoft.com/office/word/2010/wordprocessingGroup">
                          <wpg:wgp>
                            <wpg:cNvPr id="8" name="Group 8"/>
                            <wpg:cNvGrpSpPr/>
                            <wpg:grpSpPr>
                              <a:xfrm>
                                <a:off x="0" y="0"/>
                                <a:ext cx="1826260" cy="9525"/>
                                <a:chExt cx="1826260" cy="9525"/>
                              </a:xfrm>
                            </wpg:grpSpPr>
                            <wps:wsp>
                              <wps:cNvPr id="9" name="Graphic 9"/>
                              <wps:cNvSpPr/>
                              <wps:spPr>
                                <a:xfrm>
                                  <a:off x="0" y="0"/>
                                  <a:ext cx="1826260" cy="9525"/>
                                </a:xfrm>
                                <a:custGeom>
                                  <a:avLst/>
                                  <a:gdLst/>
                                  <a:ahLst/>
                                  <a:cxnLst/>
                                  <a:rect l="l" t="t" r="r" b="b"/>
                                  <a:pathLst>
                                    <a:path w="1826260" h="9525">
                                      <a:moveTo>
                                        <a:pt x="1825752" y="0"/>
                                      </a:moveTo>
                                      <a:lnTo>
                                        <a:pt x="0" y="0"/>
                                      </a:lnTo>
                                      <a:lnTo>
                                        <a:pt x="0" y="9144"/>
                                      </a:lnTo>
                                      <a:lnTo>
                                        <a:pt x="1825752" y="9144"/>
                                      </a:lnTo>
                                      <a:lnTo>
                                        <a:pt x="18257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3.8pt;height:.75pt;mso-position-horizontal-relative:char;mso-position-vertical-relative:line" id="docshapegroup7" coordorigin="0,0" coordsize="2876,15">
                      <v:rect style="position:absolute;left:0;top:0;width:2876;height:15" id="docshape8" filled="true" fillcolor="#000000" stroked="false">
                        <v:fill type="solid"/>
                      </v:rect>
                    </v:group>
                  </w:pict>
                </mc:Fallback>
              </mc:AlternateContent>
            </w:r>
            <w:r>
              <w:rPr>
                <w:sz w:val="2"/>
              </w:rPr>
            </w:r>
          </w:p>
          <w:p>
            <w:pPr>
              <w:pStyle w:val="TableParagraph"/>
              <w:spacing w:line="207" w:lineRule="exact" w:before="171"/>
              <w:ind w:left="115"/>
              <w:jc w:val="left"/>
              <w:rPr>
                <w:i/>
                <w:sz w:val="18"/>
              </w:rPr>
            </w:pPr>
            <w:r>
              <w:rPr>
                <w:i/>
                <w:sz w:val="18"/>
              </w:rPr>
              <w:t>Article</w:t>
            </w:r>
            <w:r>
              <w:rPr>
                <w:i/>
                <w:spacing w:val="-3"/>
                <w:sz w:val="18"/>
              </w:rPr>
              <w:t> </w:t>
            </w:r>
            <w:r>
              <w:rPr>
                <w:i/>
                <w:spacing w:val="-2"/>
                <w:sz w:val="18"/>
              </w:rPr>
              <w:t>history:</w:t>
            </w:r>
          </w:p>
          <w:p>
            <w:pPr>
              <w:pStyle w:val="TableParagraph"/>
              <w:spacing w:line="206" w:lineRule="exact" w:before="0"/>
              <w:ind w:left="115"/>
              <w:jc w:val="left"/>
              <w:rPr>
                <w:sz w:val="18"/>
              </w:rPr>
            </w:pPr>
            <w:r>
              <w:rPr>
                <w:sz w:val="18"/>
              </w:rPr>
              <w:t>Received</w:t>
            </w:r>
            <w:r>
              <w:rPr>
                <w:spacing w:val="-3"/>
                <w:sz w:val="18"/>
              </w:rPr>
              <w:t> </w:t>
            </w:r>
            <w:r>
              <w:rPr>
                <w:sz w:val="18"/>
              </w:rPr>
              <w:t>29</w:t>
            </w:r>
            <w:r>
              <w:rPr>
                <w:spacing w:val="-3"/>
                <w:sz w:val="18"/>
              </w:rPr>
              <w:t> </w:t>
            </w:r>
            <w:r>
              <w:rPr>
                <w:sz w:val="18"/>
              </w:rPr>
              <w:t>August</w:t>
            </w:r>
            <w:r>
              <w:rPr>
                <w:spacing w:val="-5"/>
                <w:sz w:val="18"/>
              </w:rPr>
              <w:t> </w:t>
            </w:r>
            <w:r>
              <w:rPr>
                <w:spacing w:val="-4"/>
                <w:sz w:val="18"/>
              </w:rPr>
              <w:t>2025</w:t>
            </w:r>
          </w:p>
          <w:p>
            <w:pPr>
              <w:pStyle w:val="TableParagraph"/>
              <w:spacing w:line="207" w:lineRule="exact" w:before="0"/>
              <w:ind w:left="115"/>
              <w:jc w:val="left"/>
              <w:rPr>
                <w:sz w:val="18"/>
              </w:rPr>
            </w:pPr>
            <w:r>
              <w:rPr>
                <w:sz w:val="18"/>
              </w:rPr>
              <w:t>Revised</w:t>
            </w:r>
            <w:r>
              <w:rPr>
                <w:spacing w:val="-3"/>
                <w:sz w:val="18"/>
              </w:rPr>
              <w:t> </w:t>
            </w:r>
            <w:r>
              <w:rPr>
                <w:sz w:val="18"/>
              </w:rPr>
              <w:t>03</w:t>
            </w:r>
            <w:r>
              <w:rPr>
                <w:spacing w:val="-3"/>
                <w:sz w:val="18"/>
              </w:rPr>
              <w:t> </w:t>
            </w:r>
            <w:r>
              <w:rPr>
                <w:sz w:val="18"/>
              </w:rPr>
              <w:t>October</w:t>
            </w:r>
            <w:r>
              <w:rPr>
                <w:spacing w:val="-1"/>
                <w:sz w:val="18"/>
              </w:rPr>
              <w:t> </w:t>
            </w:r>
            <w:r>
              <w:rPr>
                <w:spacing w:val="-4"/>
                <w:sz w:val="18"/>
              </w:rPr>
              <w:t>2025</w:t>
            </w:r>
          </w:p>
          <w:p>
            <w:pPr>
              <w:pStyle w:val="TableParagraph"/>
              <w:spacing w:before="5"/>
              <w:ind w:left="115" w:right="647"/>
              <w:jc w:val="left"/>
              <w:rPr>
                <w:sz w:val="18"/>
              </w:rPr>
            </w:pPr>
            <w:r>
              <w:rPr>
                <w:sz w:val="18"/>
              </w:rPr>
              <w:t>Accepted</w:t>
            </w:r>
            <w:r>
              <w:rPr>
                <w:spacing w:val="-12"/>
                <w:sz w:val="18"/>
              </w:rPr>
              <w:t> </w:t>
            </w:r>
            <w:r>
              <w:rPr>
                <w:sz w:val="18"/>
              </w:rPr>
              <w:t>22</w:t>
            </w:r>
            <w:r>
              <w:rPr>
                <w:spacing w:val="-10"/>
                <w:sz w:val="18"/>
              </w:rPr>
              <w:t> </w:t>
            </w:r>
            <w:r>
              <w:rPr>
                <w:sz w:val="18"/>
              </w:rPr>
              <w:t>October</w:t>
            </w:r>
            <w:r>
              <w:rPr>
                <w:spacing w:val="-11"/>
                <w:sz w:val="18"/>
              </w:rPr>
              <w:t> </w:t>
            </w:r>
            <w:r>
              <w:rPr>
                <w:sz w:val="18"/>
              </w:rPr>
              <w:t>2025 Online first</w:t>
            </w:r>
          </w:p>
          <w:p>
            <w:pPr>
              <w:pStyle w:val="TableParagraph"/>
              <w:tabs>
                <w:tab w:pos="2875" w:val="left" w:leader="none"/>
              </w:tabs>
              <w:spacing w:line="206" w:lineRule="exact" w:before="0"/>
              <w:ind w:left="0"/>
              <w:jc w:val="left"/>
              <w:rPr>
                <w:sz w:val="18"/>
              </w:rPr>
            </w:pPr>
            <w:r>
              <w:rPr>
                <w:spacing w:val="67"/>
                <w:sz w:val="18"/>
                <w:u w:val="single"/>
              </w:rPr>
              <w:t> </w:t>
            </w:r>
            <w:r>
              <w:rPr>
                <w:sz w:val="18"/>
                <w:u w:val="single"/>
              </w:rPr>
              <w:t>Published</w:t>
            </w:r>
            <w:r>
              <w:rPr>
                <w:spacing w:val="-2"/>
                <w:sz w:val="18"/>
                <w:u w:val="single"/>
              </w:rPr>
              <w:t> </w:t>
            </w:r>
            <w:r>
              <w:rPr>
                <w:sz w:val="18"/>
                <w:u w:val="single"/>
              </w:rPr>
              <w:t>31</w:t>
            </w:r>
            <w:r>
              <w:rPr>
                <w:spacing w:val="-2"/>
                <w:sz w:val="18"/>
                <w:u w:val="single"/>
              </w:rPr>
              <w:t> </w:t>
            </w:r>
            <w:r>
              <w:rPr>
                <w:sz w:val="18"/>
                <w:u w:val="single"/>
              </w:rPr>
              <w:t>October</w:t>
            </w:r>
            <w:r>
              <w:rPr>
                <w:spacing w:val="-2"/>
                <w:sz w:val="18"/>
                <w:u w:val="single"/>
              </w:rPr>
              <w:t> </w:t>
            </w:r>
            <w:r>
              <w:rPr>
                <w:spacing w:val="-4"/>
                <w:sz w:val="18"/>
                <w:u w:val="single"/>
              </w:rPr>
              <w:t>2025</w:t>
            </w:r>
            <w:r>
              <w:rPr>
                <w:sz w:val="18"/>
                <w:u w:val="single"/>
              </w:rPr>
              <w:tab/>
            </w:r>
          </w:p>
        </w:tc>
        <w:tc>
          <w:tcPr>
            <w:tcW w:w="5424" w:type="dxa"/>
            <w:vMerge w:val="restart"/>
            <w:tcBorders>
              <w:top w:val="single" w:sz="6" w:space="0" w:color="000000"/>
            </w:tcBorders>
          </w:tcPr>
          <w:p>
            <w:pPr>
              <w:pStyle w:val="TableParagraph"/>
              <w:spacing w:line="220" w:lineRule="auto" w:before="75"/>
              <w:ind w:left="115" w:right="106"/>
              <w:jc w:val="both"/>
              <w:rPr>
                <w:sz w:val="18"/>
              </w:rPr>
            </w:pPr>
            <w:r>
              <w:rPr>
                <w:sz w:val="18"/>
              </w:rPr>
              <w:t>Continuous stirred-tank reactors (CSTRs) are integral to industrial chemical processes due to their uniform mixing and steady-state operation. The saponification of ethyl acetate with sodium hydroxide is a widely used model reaction for studying kinetics in CSTRs. Understanding</w:t>
            </w:r>
            <w:r>
              <w:rPr>
                <w:spacing w:val="-12"/>
                <w:sz w:val="18"/>
              </w:rPr>
              <w:t> </w:t>
            </w:r>
            <w:r>
              <w:rPr>
                <w:sz w:val="18"/>
              </w:rPr>
              <w:t>the</w:t>
            </w:r>
            <w:r>
              <w:rPr>
                <w:spacing w:val="-10"/>
                <w:sz w:val="18"/>
              </w:rPr>
              <w:t> </w:t>
            </w:r>
            <w:r>
              <w:rPr>
                <w:sz w:val="18"/>
              </w:rPr>
              <w:t>sensitivity</w:t>
            </w:r>
            <w:r>
              <w:rPr>
                <w:spacing w:val="-9"/>
                <w:sz w:val="18"/>
              </w:rPr>
              <w:t> </w:t>
            </w:r>
            <w:r>
              <w:rPr>
                <w:sz w:val="18"/>
              </w:rPr>
              <w:t>of</w:t>
            </w:r>
            <w:r>
              <w:rPr>
                <w:spacing w:val="-12"/>
                <w:sz w:val="18"/>
              </w:rPr>
              <w:t> </w:t>
            </w:r>
            <w:r>
              <w:rPr>
                <w:sz w:val="18"/>
              </w:rPr>
              <w:t>reaction</w:t>
            </w:r>
            <w:r>
              <w:rPr>
                <w:spacing w:val="-11"/>
                <w:sz w:val="18"/>
              </w:rPr>
              <w:t> </w:t>
            </w:r>
            <w:r>
              <w:rPr>
                <w:sz w:val="18"/>
              </w:rPr>
              <w:t>kinetics</w:t>
            </w:r>
            <w:r>
              <w:rPr>
                <w:spacing w:val="-7"/>
                <w:sz w:val="18"/>
              </w:rPr>
              <w:t> </w:t>
            </w:r>
            <w:r>
              <w:rPr>
                <w:sz w:val="18"/>
              </w:rPr>
              <w:t>to</w:t>
            </w:r>
            <w:r>
              <w:rPr>
                <w:spacing w:val="-9"/>
                <w:sz w:val="18"/>
              </w:rPr>
              <w:t> </w:t>
            </w:r>
            <w:r>
              <w:rPr>
                <w:sz w:val="18"/>
              </w:rPr>
              <w:t>operating</w:t>
            </w:r>
            <w:r>
              <w:rPr>
                <w:spacing w:val="-9"/>
                <w:sz w:val="18"/>
              </w:rPr>
              <w:t> </w:t>
            </w:r>
            <w:r>
              <w:rPr>
                <w:sz w:val="18"/>
              </w:rPr>
              <w:t>conditions is</w:t>
            </w:r>
            <w:r>
              <w:rPr>
                <w:spacing w:val="-12"/>
                <w:sz w:val="18"/>
              </w:rPr>
              <w:t> </w:t>
            </w:r>
            <w:r>
              <w:rPr>
                <w:sz w:val="18"/>
              </w:rPr>
              <w:t>critical</w:t>
            </w:r>
            <w:r>
              <w:rPr>
                <w:spacing w:val="-11"/>
                <w:sz w:val="18"/>
              </w:rPr>
              <w:t> </w:t>
            </w:r>
            <w:r>
              <w:rPr>
                <w:sz w:val="18"/>
              </w:rPr>
              <w:t>for</w:t>
            </w:r>
            <w:r>
              <w:rPr>
                <w:spacing w:val="-11"/>
                <w:sz w:val="18"/>
              </w:rPr>
              <w:t> </w:t>
            </w:r>
            <w:r>
              <w:rPr>
                <w:sz w:val="18"/>
              </w:rPr>
              <w:t>enhancing</w:t>
            </w:r>
            <w:r>
              <w:rPr>
                <w:spacing w:val="-11"/>
                <w:sz w:val="18"/>
              </w:rPr>
              <w:t> </w:t>
            </w:r>
            <w:r>
              <w:rPr>
                <w:sz w:val="18"/>
              </w:rPr>
              <w:t>reactor</w:t>
            </w:r>
            <w:r>
              <w:rPr>
                <w:spacing w:val="-12"/>
                <w:sz w:val="18"/>
              </w:rPr>
              <w:t> </w:t>
            </w:r>
            <w:r>
              <w:rPr>
                <w:sz w:val="18"/>
              </w:rPr>
              <w:t>performance,</w:t>
            </w:r>
            <w:r>
              <w:rPr>
                <w:spacing w:val="-11"/>
                <w:sz w:val="18"/>
              </w:rPr>
              <w:t> </w:t>
            </w:r>
            <w:r>
              <w:rPr>
                <w:sz w:val="18"/>
              </w:rPr>
              <w:t>ensuring</w:t>
            </w:r>
            <w:r>
              <w:rPr>
                <w:spacing w:val="-11"/>
                <w:sz w:val="18"/>
              </w:rPr>
              <w:t> </w:t>
            </w:r>
            <w:r>
              <w:rPr>
                <w:sz w:val="18"/>
              </w:rPr>
              <w:t>consistent</w:t>
            </w:r>
            <w:r>
              <w:rPr>
                <w:spacing w:val="-11"/>
                <w:sz w:val="18"/>
              </w:rPr>
              <w:t> </w:t>
            </w:r>
            <w:r>
              <w:rPr>
                <w:sz w:val="18"/>
              </w:rPr>
              <w:t>product quality, and</w:t>
            </w:r>
            <w:r>
              <w:rPr>
                <w:spacing w:val="-1"/>
                <w:sz w:val="18"/>
              </w:rPr>
              <w:t> </w:t>
            </w:r>
            <w:r>
              <w:rPr>
                <w:sz w:val="18"/>
              </w:rPr>
              <w:t>minimizing</w:t>
            </w:r>
            <w:r>
              <w:rPr>
                <w:spacing w:val="-1"/>
                <w:sz w:val="18"/>
              </w:rPr>
              <w:t> </w:t>
            </w:r>
            <w:r>
              <w:rPr>
                <w:sz w:val="18"/>
              </w:rPr>
              <w:t>inefficiencies. Reaction kinetics in</w:t>
            </w:r>
            <w:r>
              <w:rPr>
                <w:spacing w:val="-1"/>
                <w:sz w:val="18"/>
              </w:rPr>
              <w:t> </w:t>
            </w:r>
            <w:r>
              <w:rPr>
                <w:sz w:val="18"/>
              </w:rPr>
              <w:t>a CSTR are influenced by reactant concentrations, temperature, and flow rate. Misidentifying or poorly optimizing these parameters can result in suboptimal performance and reduced conversion efficiency, posing challenges for industrial applications. This study conducts a detailed sensitivity analysis to identify the key parameters influencing the saponification reaction in a CSTR. It quantifies how variations in these parameters affect conversion efficiency and overall reaction performance, providing actionable insights for process optimisation. A reaction kinetics model was selected and validated using robust pilot-plant</w:t>
            </w:r>
            <w:r>
              <w:rPr>
                <w:spacing w:val="-12"/>
                <w:sz w:val="18"/>
              </w:rPr>
              <w:t> </w:t>
            </w:r>
            <w:r>
              <w:rPr>
                <w:sz w:val="18"/>
              </w:rPr>
              <w:t>experimental</w:t>
            </w:r>
            <w:r>
              <w:rPr>
                <w:spacing w:val="-10"/>
                <w:sz w:val="18"/>
              </w:rPr>
              <w:t> </w:t>
            </w:r>
            <w:r>
              <w:rPr>
                <w:sz w:val="18"/>
              </w:rPr>
              <w:t>data.</w:t>
            </w:r>
            <w:r>
              <w:rPr>
                <w:spacing w:val="-9"/>
                <w:sz w:val="18"/>
              </w:rPr>
              <w:t> </w:t>
            </w:r>
            <w:r>
              <w:rPr>
                <w:sz w:val="18"/>
              </w:rPr>
              <w:t>Parameters,</w:t>
            </w:r>
            <w:r>
              <w:rPr>
                <w:spacing w:val="-12"/>
                <w:sz w:val="18"/>
              </w:rPr>
              <w:t> </w:t>
            </w:r>
            <w:r>
              <w:rPr>
                <w:sz w:val="18"/>
              </w:rPr>
              <w:t>including</w:t>
            </w:r>
            <w:r>
              <w:rPr>
                <w:spacing w:val="-10"/>
                <w:sz w:val="18"/>
              </w:rPr>
              <w:t> </w:t>
            </w:r>
            <w:r>
              <w:rPr>
                <w:sz w:val="18"/>
              </w:rPr>
              <w:t>reactor</w:t>
            </w:r>
            <w:r>
              <w:rPr>
                <w:spacing w:val="-12"/>
                <w:sz w:val="18"/>
              </w:rPr>
              <w:t> </w:t>
            </w:r>
            <w:r>
              <w:rPr>
                <w:sz w:val="18"/>
              </w:rPr>
              <w:t>temperature,</w:t>
            </w:r>
            <w:r>
              <w:rPr>
                <w:spacing w:val="-11"/>
                <w:sz w:val="18"/>
              </w:rPr>
              <w:t> </w:t>
            </w:r>
            <w:r>
              <w:rPr>
                <w:sz w:val="18"/>
              </w:rPr>
              <w:t>were systematically analysed through numerical simulations to assess their sensitivity and impact on system performance. The validated model demonstrated strong agreement with experimental results, yielding RMSE values ranging from 0.0007 to 0.0013 and R² values between 0.9996 and 0.9999 across 30, 40, 50, and 60</w:t>
            </w:r>
            <w:r>
              <w:rPr>
                <w:spacing w:val="-12"/>
                <w:sz w:val="18"/>
              </w:rPr>
              <w:t> </w:t>
            </w:r>
            <w:r>
              <w:rPr>
                <w:sz w:val="18"/>
              </w:rPr>
              <w:t>°C. Maximum deviation remained</w:t>
            </w:r>
            <w:r>
              <w:rPr>
                <w:spacing w:val="-5"/>
                <w:sz w:val="18"/>
              </w:rPr>
              <w:t> </w:t>
            </w:r>
            <w:r>
              <w:rPr>
                <w:sz w:val="18"/>
              </w:rPr>
              <w:t>below</w:t>
            </w:r>
            <w:r>
              <w:rPr>
                <w:spacing w:val="-12"/>
                <w:sz w:val="18"/>
              </w:rPr>
              <w:t> </w:t>
            </w:r>
            <w:r>
              <w:rPr>
                <w:sz w:val="18"/>
              </w:rPr>
              <w:t>0.6</w:t>
            </w:r>
            <w:r>
              <w:rPr>
                <w:spacing w:val="-9"/>
                <w:sz w:val="18"/>
              </w:rPr>
              <w:t> </w:t>
            </w:r>
            <w:r>
              <w:rPr>
                <w:sz w:val="18"/>
              </w:rPr>
              <w:t>%,</w:t>
            </w:r>
            <w:r>
              <w:rPr>
                <w:spacing w:val="-8"/>
                <w:sz w:val="18"/>
              </w:rPr>
              <w:t> </w:t>
            </w:r>
            <w:r>
              <w:rPr>
                <w:sz w:val="18"/>
              </w:rPr>
              <w:t>highlighting</w:t>
            </w:r>
            <w:r>
              <w:rPr>
                <w:spacing w:val="-10"/>
                <w:sz w:val="18"/>
              </w:rPr>
              <w:t> </w:t>
            </w:r>
            <w:r>
              <w:rPr>
                <w:sz w:val="18"/>
              </w:rPr>
              <w:t>the</w:t>
            </w:r>
            <w:r>
              <w:rPr>
                <w:spacing w:val="-9"/>
                <w:sz w:val="18"/>
              </w:rPr>
              <w:t> </w:t>
            </w:r>
            <w:r>
              <w:rPr>
                <w:sz w:val="18"/>
              </w:rPr>
              <w:t>model’s</w:t>
            </w:r>
            <w:r>
              <w:rPr>
                <w:spacing w:val="-4"/>
                <w:sz w:val="18"/>
              </w:rPr>
              <w:t> </w:t>
            </w:r>
            <w:r>
              <w:rPr>
                <w:sz w:val="18"/>
              </w:rPr>
              <w:t>predictive</w:t>
            </w:r>
            <w:r>
              <w:rPr>
                <w:spacing w:val="-9"/>
                <w:sz w:val="18"/>
              </w:rPr>
              <w:t> </w:t>
            </w:r>
            <w:r>
              <w:rPr>
                <w:sz w:val="18"/>
              </w:rPr>
              <w:t>accuracy</w:t>
            </w:r>
            <w:r>
              <w:rPr>
                <w:spacing w:val="-10"/>
                <w:sz w:val="18"/>
              </w:rPr>
              <w:t> </w:t>
            </w:r>
            <w:r>
              <w:rPr>
                <w:sz w:val="18"/>
              </w:rPr>
              <w:t>and industrial</w:t>
            </w:r>
            <w:r>
              <w:rPr>
                <w:spacing w:val="-12"/>
                <w:sz w:val="18"/>
              </w:rPr>
              <w:t> </w:t>
            </w:r>
            <w:r>
              <w:rPr>
                <w:sz w:val="18"/>
              </w:rPr>
              <w:t>applicability.</w:t>
            </w:r>
            <w:r>
              <w:rPr>
                <w:spacing w:val="-11"/>
                <w:sz w:val="18"/>
              </w:rPr>
              <w:t> </w:t>
            </w:r>
            <w:r>
              <w:rPr>
                <w:sz w:val="18"/>
              </w:rPr>
              <w:t>Sensitivity</w:t>
            </w:r>
            <w:r>
              <w:rPr>
                <w:spacing w:val="-11"/>
                <w:sz w:val="18"/>
              </w:rPr>
              <w:t> </w:t>
            </w:r>
            <w:r>
              <w:rPr>
                <w:sz w:val="18"/>
              </w:rPr>
              <w:t>analysis</w:t>
            </w:r>
            <w:r>
              <w:rPr>
                <w:spacing w:val="-11"/>
                <w:sz w:val="18"/>
              </w:rPr>
              <w:t> </w:t>
            </w:r>
            <w:r>
              <w:rPr>
                <w:sz w:val="18"/>
              </w:rPr>
              <w:t>showed</w:t>
            </w:r>
            <w:r>
              <w:rPr>
                <w:spacing w:val="-12"/>
                <w:sz w:val="18"/>
              </w:rPr>
              <w:t> </w:t>
            </w:r>
            <w:r>
              <w:rPr>
                <w:sz w:val="18"/>
              </w:rPr>
              <w:t>the</w:t>
            </w:r>
            <w:r>
              <w:rPr>
                <w:spacing w:val="-11"/>
                <w:sz w:val="18"/>
              </w:rPr>
              <w:t> </w:t>
            </w:r>
            <w:r>
              <w:rPr>
                <w:sz w:val="18"/>
              </w:rPr>
              <w:t>greatest</w:t>
            </w:r>
            <w:r>
              <w:rPr>
                <w:spacing w:val="-11"/>
                <w:sz w:val="18"/>
              </w:rPr>
              <w:t> </w:t>
            </w:r>
            <w:r>
              <w:rPr>
                <w:sz w:val="18"/>
              </w:rPr>
              <w:t>marginal benefit between 30 and 40</w:t>
            </w:r>
            <w:r>
              <w:rPr>
                <w:spacing w:val="-8"/>
                <w:sz w:val="18"/>
              </w:rPr>
              <w:t> </w:t>
            </w:r>
            <w:r>
              <w:rPr>
                <w:sz w:val="18"/>
              </w:rPr>
              <w:t>°C, with a peak sensitivity ratio of 0.00072, indicating that small temperature adjustments in this range have the greatest</w:t>
            </w:r>
            <w:r>
              <w:rPr>
                <w:spacing w:val="2"/>
                <w:sz w:val="18"/>
              </w:rPr>
              <w:t> </w:t>
            </w:r>
            <w:r>
              <w:rPr>
                <w:sz w:val="18"/>
              </w:rPr>
              <w:t>impact</w:t>
            </w:r>
            <w:r>
              <w:rPr>
                <w:spacing w:val="7"/>
                <w:sz w:val="18"/>
              </w:rPr>
              <w:t> </w:t>
            </w:r>
            <w:r>
              <w:rPr>
                <w:sz w:val="18"/>
              </w:rPr>
              <w:t>on</w:t>
            </w:r>
            <w:r>
              <w:rPr>
                <w:spacing w:val="5"/>
                <w:sz w:val="18"/>
              </w:rPr>
              <w:t> </w:t>
            </w:r>
            <w:r>
              <w:rPr>
                <w:sz w:val="18"/>
              </w:rPr>
              <w:t>the</w:t>
            </w:r>
            <w:r>
              <w:rPr>
                <w:spacing w:val="5"/>
                <w:sz w:val="18"/>
              </w:rPr>
              <w:t> </w:t>
            </w:r>
            <w:r>
              <w:rPr>
                <w:sz w:val="18"/>
              </w:rPr>
              <w:t>final</w:t>
            </w:r>
            <w:r>
              <w:rPr>
                <w:spacing w:val="7"/>
                <w:sz w:val="18"/>
              </w:rPr>
              <w:t> </w:t>
            </w:r>
            <w:r>
              <w:rPr>
                <w:sz w:val="18"/>
              </w:rPr>
              <w:t>conversion</w:t>
            </w:r>
            <w:r>
              <w:rPr>
                <w:spacing w:val="5"/>
                <w:sz w:val="18"/>
              </w:rPr>
              <w:t> </w:t>
            </w:r>
            <w:r>
              <w:rPr>
                <w:sz w:val="18"/>
              </w:rPr>
              <w:t>of</w:t>
            </w:r>
            <w:r>
              <w:rPr>
                <w:spacing w:val="6"/>
                <w:sz w:val="18"/>
              </w:rPr>
              <w:t> </w:t>
            </w:r>
            <w:r>
              <w:rPr>
                <w:sz w:val="18"/>
              </w:rPr>
              <w:t>ethyl</w:t>
            </w:r>
            <w:r>
              <w:rPr>
                <w:spacing w:val="3"/>
                <w:sz w:val="18"/>
              </w:rPr>
              <w:t> </w:t>
            </w:r>
            <w:r>
              <w:rPr>
                <w:sz w:val="18"/>
              </w:rPr>
              <w:t>acetate.</w:t>
            </w:r>
            <w:r>
              <w:rPr>
                <w:spacing w:val="7"/>
                <w:sz w:val="18"/>
              </w:rPr>
              <w:t> </w:t>
            </w:r>
            <w:r>
              <w:rPr>
                <w:sz w:val="18"/>
              </w:rPr>
              <w:t>This</w:t>
            </w:r>
            <w:r>
              <w:rPr>
                <w:spacing w:val="6"/>
                <w:sz w:val="18"/>
              </w:rPr>
              <w:t> </w:t>
            </w:r>
            <w:r>
              <w:rPr>
                <w:sz w:val="18"/>
              </w:rPr>
              <w:t>study</w:t>
            </w:r>
            <w:r>
              <w:rPr>
                <w:spacing w:val="5"/>
                <w:sz w:val="18"/>
              </w:rPr>
              <w:t> </w:t>
            </w:r>
            <w:r>
              <w:rPr>
                <w:spacing w:val="-4"/>
                <w:sz w:val="18"/>
              </w:rPr>
              <w:t>sets</w:t>
            </w:r>
          </w:p>
        </w:tc>
      </w:tr>
      <w:tr>
        <w:trPr>
          <w:trHeight w:val="3870" w:hRule="atLeast"/>
        </w:trPr>
        <w:tc>
          <w:tcPr>
            <w:tcW w:w="3134" w:type="dxa"/>
          </w:tcPr>
          <w:p>
            <w:pPr>
              <w:pStyle w:val="TableParagraph"/>
              <w:spacing w:line="190" w:lineRule="exact" w:before="79"/>
              <w:ind w:left="115"/>
              <w:jc w:val="left"/>
              <w:rPr>
                <w:i/>
                <w:sz w:val="18"/>
              </w:rPr>
            </w:pPr>
            <w:r>
              <w:rPr>
                <w:i/>
                <w:spacing w:val="-2"/>
                <w:sz w:val="18"/>
              </w:rPr>
              <w:t>Keywords:</w:t>
            </w:r>
          </w:p>
          <w:p>
            <w:pPr>
              <w:pStyle w:val="TableParagraph"/>
              <w:spacing w:line="170" w:lineRule="exact" w:before="0"/>
              <w:ind w:left="115"/>
              <w:jc w:val="left"/>
              <w:rPr>
                <w:sz w:val="18"/>
              </w:rPr>
            </w:pPr>
            <w:r>
              <w:rPr>
                <w:spacing w:val="-4"/>
                <w:sz w:val="18"/>
              </w:rPr>
              <w:t>CSTR</w:t>
            </w:r>
          </w:p>
          <w:p>
            <w:pPr>
              <w:pStyle w:val="TableParagraph"/>
              <w:spacing w:line="199" w:lineRule="auto"/>
              <w:ind w:left="115" w:right="1616"/>
              <w:jc w:val="left"/>
              <w:rPr>
                <w:sz w:val="18"/>
              </w:rPr>
            </w:pPr>
            <w:r>
              <w:rPr>
                <w:sz w:val="18"/>
              </w:rPr>
              <w:t>Sensitivity</w:t>
            </w:r>
            <w:r>
              <w:rPr>
                <w:spacing w:val="-12"/>
                <w:sz w:val="18"/>
              </w:rPr>
              <w:t> </w:t>
            </w:r>
            <w:r>
              <w:rPr>
                <w:sz w:val="18"/>
              </w:rPr>
              <w:t>analysis Reaction kinetics </w:t>
            </w:r>
            <w:r>
              <w:rPr>
                <w:spacing w:val="-2"/>
                <w:sz w:val="18"/>
              </w:rPr>
              <w:t>Saponification </w:t>
            </w:r>
            <w:r>
              <w:rPr>
                <w:sz w:val="18"/>
              </w:rPr>
              <w:t>Ethyl acetate </w:t>
            </w:r>
            <w:r>
              <w:rPr>
                <w:spacing w:val="-4"/>
                <w:sz w:val="18"/>
              </w:rPr>
              <w:t>RSME</w:t>
            </w:r>
          </w:p>
          <w:p>
            <w:pPr>
              <w:pStyle w:val="TableParagraph"/>
              <w:spacing w:line="178" w:lineRule="exact" w:before="0"/>
              <w:ind w:left="115"/>
              <w:jc w:val="left"/>
              <w:rPr>
                <w:sz w:val="18"/>
              </w:rPr>
            </w:pPr>
            <w:r>
              <w:rPr>
                <w:sz w:val="18"/>
              </w:rPr>
              <w:t>Sodium</w:t>
            </w:r>
            <w:r>
              <w:rPr>
                <w:spacing w:val="1"/>
                <w:sz w:val="18"/>
              </w:rPr>
              <w:t> </w:t>
            </w:r>
            <w:r>
              <w:rPr>
                <w:spacing w:val="-2"/>
                <w:sz w:val="18"/>
              </w:rPr>
              <w:t>hydroxide</w:t>
            </w:r>
          </w:p>
          <w:p>
            <w:pPr>
              <w:pStyle w:val="TableParagraph"/>
              <w:spacing w:before="85"/>
              <w:ind w:left="115"/>
              <w:jc w:val="left"/>
              <w:rPr>
                <w:i/>
                <w:sz w:val="18"/>
              </w:rPr>
            </w:pPr>
            <w:r>
              <w:rPr>
                <w:i/>
                <w:spacing w:val="-4"/>
                <w:sz w:val="18"/>
              </w:rPr>
              <w:t>DOI:</w:t>
            </w:r>
          </w:p>
          <w:p>
            <w:pPr>
              <w:pStyle w:val="TableParagraph"/>
              <w:spacing w:before="86"/>
              <w:ind w:left="115"/>
              <w:jc w:val="left"/>
              <w:rPr>
                <w:sz w:val="18"/>
              </w:rPr>
            </w:pPr>
            <w:r>
              <w:rPr>
                <w:spacing w:val="-2"/>
                <w:sz w:val="18"/>
              </w:rPr>
              <w:t>10.24191/mjcet.v8i2.8714</w:t>
            </w:r>
          </w:p>
          <w:p>
            <w:pPr>
              <w:pStyle w:val="TableParagraph"/>
              <w:spacing w:before="0"/>
              <w:ind w:left="0"/>
              <w:jc w:val="left"/>
              <w:rPr>
                <w:i/>
                <w:sz w:val="18"/>
              </w:rPr>
            </w:pPr>
          </w:p>
          <w:p>
            <w:pPr>
              <w:pStyle w:val="TableParagraph"/>
              <w:spacing w:before="0"/>
              <w:ind w:left="0"/>
              <w:jc w:val="left"/>
              <w:rPr>
                <w:i/>
                <w:sz w:val="18"/>
              </w:rPr>
            </w:pPr>
          </w:p>
          <w:p>
            <w:pPr>
              <w:pStyle w:val="TableParagraph"/>
              <w:spacing w:before="0"/>
              <w:ind w:left="0"/>
              <w:jc w:val="left"/>
              <w:rPr>
                <w:i/>
                <w:sz w:val="18"/>
              </w:rPr>
            </w:pPr>
          </w:p>
          <w:p>
            <w:pPr>
              <w:pStyle w:val="TableParagraph"/>
              <w:spacing w:before="0"/>
              <w:ind w:left="0"/>
              <w:jc w:val="left"/>
              <w:rPr>
                <w:i/>
                <w:sz w:val="18"/>
              </w:rPr>
            </w:pPr>
          </w:p>
          <w:p>
            <w:pPr>
              <w:pStyle w:val="TableParagraph"/>
              <w:spacing w:before="0"/>
              <w:ind w:left="0"/>
              <w:jc w:val="left"/>
              <w:rPr>
                <w:i/>
                <w:sz w:val="18"/>
              </w:rPr>
            </w:pPr>
          </w:p>
          <w:p>
            <w:pPr>
              <w:pStyle w:val="TableParagraph"/>
              <w:spacing w:before="169"/>
              <w:ind w:left="0"/>
              <w:jc w:val="left"/>
              <w:rPr>
                <w:i/>
                <w:sz w:val="18"/>
              </w:rPr>
            </w:pPr>
          </w:p>
          <w:p>
            <w:pPr>
              <w:pStyle w:val="TableParagraph"/>
              <w:tabs>
                <w:tab w:pos="3134" w:val="left" w:leader="none"/>
              </w:tabs>
              <w:spacing w:before="0"/>
              <w:ind w:left="0" w:right="-15"/>
              <w:jc w:val="left"/>
              <w:rPr>
                <w:sz w:val="18"/>
              </w:rPr>
            </w:pPr>
            <w:r>
              <w:rPr>
                <w:sz w:val="18"/>
              </w:rPr>
              <mc:AlternateContent>
                <mc:Choice Requires="wps">
                  <w:drawing>
                    <wp:anchor distT="0" distB="0" distL="0" distR="0" allowOverlap="1" layoutInCell="1" locked="0" behindDoc="0" simplePos="0" relativeHeight="15730176">
                      <wp:simplePos x="0" y="0"/>
                      <wp:positionH relativeFrom="column">
                        <wp:posOffset>39623</wp:posOffset>
                      </wp:positionH>
                      <wp:positionV relativeFrom="paragraph">
                        <wp:posOffset>237773</wp:posOffset>
                      </wp:positionV>
                      <wp:extent cx="1801495" cy="952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801495" cy="9525"/>
                                <a:chExt cx="1801495" cy="9525"/>
                              </a:xfrm>
                            </wpg:grpSpPr>
                            <wps:wsp>
                              <wps:cNvPr id="11" name="Graphic 11"/>
                              <wps:cNvSpPr/>
                              <wps:spPr>
                                <a:xfrm>
                                  <a:off x="0" y="0"/>
                                  <a:ext cx="1801495" cy="9525"/>
                                </a:xfrm>
                                <a:custGeom>
                                  <a:avLst/>
                                  <a:gdLst/>
                                  <a:ahLst/>
                                  <a:cxnLst/>
                                  <a:rect l="l" t="t" r="r" b="b"/>
                                  <a:pathLst>
                                    <a:path w="1801495" h="9525">
                                      <a:moveTo>
                                        <a:pt x="1801368" y="0"/>
                                      </a:moveTo>
                                      <a:lnTo>
                                        <a:pt x="188976" y="0"/>
                                      </a:lnTo>
                                      <a:lnTo>
                                        <a:pt x="179832" y="0"/>
                                      </a:lnTo>
                                      <a:lnTo>
                                        <a:pt x="0" y="0"/>
                                      </a:lnTo>
                                      <a:lnTo>
                                        <a:pt x="0" y="9144"/>
                                      </a:lnTo>
                                      <a:lnTo>
                                        <a:pt x="179832" y="9144"/>
                                      </a:lnTo>
                                      <a:lnTo>
                                        <a:pt x="188976" y="9144"/>
                                      </a:lnTo>
                                      <a:lnTo>
                                        <a:pt x="1801368" y="9144"/>
                                      </a:lnTo>
                                      <a:lnTo>
                                        <a:pt x="18013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2pt;margin-top:18.722343pt;width:141.85pt;height:.75pt;mso-position-horizontal-relative:column;mso-position-vertical-relative:paragraph;z-index:15730176" id="docshapegroup9" coordorigin="62,374" coordsize="2837,15">
                      <v:shape style="position:absolute;left:62;top:374;width:2837;height:15" id="docshape10" coordorigin="62,374" coordsize="2837,15" path="m2899,374l360,374,346,374,62,374,62,389,346,389,360,389,2899,389,2899,374xe" filled="true" fillcolor="#000000" stroked="false">
                        <v:path arrowok="t"/>
                        <v:fill type="solid"/>
                      </v:shape>
                      <w10:wrap type="none"/>
                    </v:group>
                  </w:pict>
                </mc:Fallback>
              </mc:AlternateContent>
            </w:r>
            <w:r>
              <w:rPr>
                <w:w w:val="101"/>
                <w:sz w:val="18"/>
                <w:u w:val="single"/>
              </w:rPr>
              <w:t> </w:t>
            </w:r>
            <w:r>
              <w:rPr>
                <w:sz w:val="18"/>
                <w:u w:val="single"/>
              </w:rPr>
              <w:tab/>
            </w:r>
          </w:p>
        </w:tc>
        <w:tc>
          <w:tcPr>
            <w:tcW w:w="5424" w:type="dxa"/>
            <w:vMerge/>
            <w:tcBorders>
              <w:top w:val="nil"/>
            </w:tcBorders>
          </w:tcPr>
          <w:p>
            <w:pPr>
              <w:rPr>
                <w:sz w:val="2"/>
                <w:szCs w:val="2"/>
              </w:rPr>
            </w:pPr>
          </w:p>
        </w:tc>
      </w:tr>
    </w:tbl>
    <w:p>
      <w:pPr>
        <w:spacing w:before="126"/>
        <w:ind w:left="481" w:right="0" w:firstLine="0"/>
        <w:jc w:val="left"/>
        <w:rPr>
          <w:sz w:val="16"/>
        </w:rPr>
      </w:pPr>
      <w:r>
        <w:rPr>
          <w:position w:val="5"/>
          <w:sz w:val="10"/>
        </w:rPr>
        <w:t>2*</w:t>
      </w:r>
      <w:r>
        <w:rPr>
          <w:sz w:val="16"/>
        </w:rPr>
        <w:t>Corresponding</w:t>
      </w:r>
      <w:r>
        <w:rPr>
          <w:spacing w:val="-4"/>
          <w:sz w:val="16"/>
        </w:rPr>
        <w:t> </w:t>
      </w:r>
      <w:r>
        <w:rPr>
          <w:sz w:val="16"/>
        </w:rPr>
        <w:t>author.</w:t>
      </w:r>
      <w:r>
        <w:rPr>
          <w:spacing w:val="-7"/>
          <w:sz w:val="16"/>
        </w:rPr>
        <w:t> </w:t>
      </w:r>
      <w:r>
        <w:rPr>
          <w:i/>
          <w:sz w:val="16"/>
        </w:rPr>
        <w:t>E-mail</w:t>
      </w:r>
      <w:r>
        <w:rPr>
          <w:i/>
          <w:spacing w:val="-7"/>
          <w:sz w:val="16"/>
        </w:rPr>
        <w:t> </w:t>
      </w:r>
      <w:r>
        <w:rPr>
          <w:i/>
          <w:sz w:val="16"/>
        </w:rPr>
        <w:t>address</w:t>
      </w:r>
      <w:r>
        <w:rPr>
          <w:sz w:val="16"/>
        </w:rPr>
        <w:t>:</w:t>
      </w:r>
      <w:r>
        <w:rPr>
          <w:spacing w:val="-6"/>
          <w:sz w:val="16"/>
        </w:rPr>
        <w:t> </w:t>
      </w:r>
      <w:hyperlink r:id="rId8">
        <w:r>
          <w:rPr>
            <w:spacing w:val="-2"/>
            <w:sz w:val="16"/>
          </w:rPr>
          <w:t>abdulbari@uitm.edu.my</w:t>
        </w:r>
      </w:hyperlink>
    </w:p>
    <w:p>
      <w:pPr>
        <w:spacing w:after="0"/>
        <w:jc w:val="left"/>
        <w:rPr>
          <w:sz w:val="16"/>
        </w:rPr>
        <w:sectPr>
          <w:type w:val="continuous"/>
          <w:pgSz w:w="10890" w:h="14860"/>
          <w:pgMar w:header="0" w:footer="1649" w:top="1320" w:bottom="1840" w:left="992" w:right="1133"/>
        </w:sectPr>
      </w:pPr>
    </w:p>
    <w:p>
      <w:pPr>
        <w:pStyle w:val="BodyText"/>
        <w:spacing w:before="10"/>
        <w:rPr>
          <w:sz w:val="9"/>
        </w:rPr>
      </w:pPr>
    </w:p>
    <w:p>
      <w:pPr>
        <w:tabs>
          <w:tab w:pos="3265" w:val="left" w:leader="none"/>
        </w:tabs>
        <w:spacing w:line="20" w:lineRule="exact"/>
        <w:ind w:left="131" w:right="0" w:firstLine="0"/>
        <w:rPr>
          <w:sz w:val="2"/>
        </w:rPr>
      </w:pPr>
      <w:r>
        <w:rPr>
          <w:sz w:val="2"/>
        </w:rPr>
        <mc:AlternateContent>
          <mc:Choice Requires="wps">
            <w:drawing>
              <wp:inline distT="0" distB="0" distL="0" distR="0">
                <wp:extent cx="1826260" cy="9525"/>
                <wp:effectExtent l="0" t="0" r="0" b="0"/>
                <wp:docPr id="15" name="Group 15"/>
                <wp:cNvGraphicFramePr>
                  <a:graphicFrameLocks/>
                </wp:cNvGraphicFramePr>
                <a:graphic>
                  <a:graphicData uri="http://schemas.microsoft.com/office/word/2010/wordprocessingGroup">
                    <wpg:wgp>
                      <wpg:cNvPr id="15" name="Group 15"/>
                      <wpg:cNvGrpSpPr/>
                      <wpg:grpSpPr>
                        <a:xfrm>
                          <a:off x="0" y="0"/>
                          <a:ext cx="1826260" cy="9525"/>
                          <a:chExt cx="1826260" cy="9525"/>
                        </a:xfrm>
                      </wpg:grpSpPr>
                      <wps:wsp>
                        <wps:cNvPr id="16" name="Graphic 16"/>
                        <wps:cNvSpPr/>
                        <wps:spPr>
                          <a:xfrm>
                            <a:off x="0" y="0"/>
                            <a:ext cx="1826260" cy="9525"/>
                          </a:xfrm>
                          <a:custGeom>
                            <a:avLst/>
                            <a:gdLst/>
                            <a:ahLst/>
                            <a:cxnLst/>
                            <a:rect l="l" t="t" r="r" b="b"/>
                            <a:pathLst>
                              <a:path w="1826260" h="9525">
                                <a:moveTo>
                                  <a:pt x="1825752" y="0"/>
                                </a:moveTo>
                                <a:lnTo>
                                  <a:pt x="0" y="0"/>
                                </a:lnTo>
                                <a:lnTo>
                                  <a:pt x="0" y="9144"/>
                                </a:lnTo>
                                <a:lnTo>
                                  <a:pt x="1825752" y="9144"/>
                                </a:lnTo>
                                <a:lnTo>
                                  <a:pt x="18257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3.8pt;height:.75pt;mso-position-horizontal-relative:char;mso-position-vertical-relative:line" id="docshapegroup14" coordorigin="0,0" coordsize="2876,15">
                <v:rect style="position:absolute;left:0;top:0;width:2876;height:15" id="docshape15"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3444875" cy="9525"/>
                <wp:effectExtent l="0" t="0" r="0" b="0"/>
                <wp:docPr id="17" name="Group 17"/>
                <wp:cNvGraphicFramePr>
                  <a:graphicFrameLocks/>
                </wp:cNvGraphicFramePr>
                <a:graphic>
                  <a:graphicData uri="http://schemas.microsoft.com/office/word/2010/wordprocessingGroup">
                    <wpg:wgp>
                      <wpg:cNvPr id="17" name="Group 17"/>
                      <wpg:cNvGrpSpPr/>
                      <wpg:grpSpPr>
                        <a:xfrm>
                          <a:off x="0" y="0"/>
                          <a:ext cx="3444875" cy="9525"/>
                          <a:chExt cx="3444875" cy="9525"/>
                        </a:xfrm>
                      </wpg:grpSpPr>
                      <wps:wsp>
                        <wps:cNvPr id="18" name="Graphic 18"/>
                        <wps:cNvSpPr/>
                        <wps:spPr>
                          <a:xfrm>
                            <a:off x="0" y="0"/>
                            <a:ext cx="3444875" cy="9525"/>
                          </a:xfrm>
                          <a:custGeom>
                            <a:avLst/>
                            <a:gdLst/>
                            <a:ahLst/>
                            <a:cxnLst/>
                            <a:rect l="l" t="t" r="r" b="b"/>
                            <a:pathLst>
                              <a:path w="3444875" h="9525">
                                <a:moveTo>
                                  <a:pt x="3444252" y="0"/>
                                </a:moveTo>
                                <a:lnTo>
                                  <a:pt x="0" y="0"/>
                                </a:lnTo>
                                <a:lnTo>
                                  <a:pt x="0" y="9144"/>
                                </a:lnTo>
                                <a:lnTo>
                                  <a:pt x="3444252" y="9144"/>
                                </a:lnTo>
                                <a:lnTo>
                                  <a:pt x="34442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71.25pt;height:.75pt;mso-position-horizontal-relative:char;mso-position-vertical-relative:line" id="docshapegroup16" coordorigin="0,0" coordsize="5425,15">
                <v:rect style="position:absolute;left:0;top:0;width:5425;height:15" id="docshape17" filled="true" fillcolor="#000000" stroked="false">
                  <v:fill type="solid"/>
                </v:rect>
              </v:group>
            </w:pict>
          </mc:Fallback>
        </mc:AlternateContent>
      </w:r>
      <w:r>
        <w:rPr>
          <w:sz w:val="2"/>
        </w:rPr>
      </w:r>
    </w:p>
    <w:p>
      <w:pPr>
        <w:spacing w:line="223" w:lineRule="auto" w:before="68"/>
        <w:ind w:left="3380" w:right="36" w:firstLine="0"/>
        <w:jc w:val="left"/>
        <w:rPr>
          <w:sz w:val="18"/>
        </w:rPr>
      </w:pPr>
      <w:r>
        <w:rPr>
          <w:sz w:val="18"/>
        </w:rPr>
        <w:t>itself apart from classical saponification research by integrating pilot-plant</w:t>
      </w:r>
      <w:r>
        <w:rPr>
          <w:spacing w:val="20"/>
          <w:sz w:val="18"/>
        </w:rPr>
        <w:t> </w:t>
      </w:r>
      <w:r>
        <w:rPr>
          <w:sz w:val="18"/>
        </w:rPr>
        <w:t>data</w:t>
      </w:r>
      <w:r>
        <w:rPr>
          <w:spacing w:val="23"/>
          <w:sz w:val="18"/>
        </w:rPr>
        <w:t> </w:t>
      </w:r>
      <w:r>
        <w:rPr>
          <w:sz w:val="18"/>
        </w:rPr>
        <w:t>with</w:t>
      </w:r>
      <w:r>
        <w:rPr>
          <w:spacing w:val="18"/>
          <w:sz w:val="18"/>
        </w:rPr>
        <w:t> </w:t>
      </w:r>
      <w:r>
        <w:rPr>
          <w:sz w:val="18"/>
        </w:rPr>
        <w:t>MATLAB-based</w:t>
      </w:r>
      <w:r>
        <w:rPr>
          <w:spacing w:val="19"/>
          <w:sz w:val="18"/>
        </w:rPr>
        <w:t> </w:t>
      </w:r>
      <w:r>
        <w:rPr>
          <w:sz w:val="18"/>
        </w:rPr>
        <w:t>analysis,</w:t>
      </w:r>
      <w:r>
        <w:rPr>
          <w:spacing w:val="20"/>
          <w:sz w:val="18"/>
        </w:rPr>
        <w:t> </w:t>
      </w:r>
      <w:r>
        <w:rPr>
          <w:sz w:val="18"/>
        </w:rPr>
        <w:t>offering</w:t>
      </w:r>
      <w:r>
        <w:rPr>
          <w:spacing w:val="13"/>
          <w:sz w:val="18"/>
        </w:rPr>
        <w:t> </w:t>
      </w:r>
      <w:r>
        <w:rPr>
          <w:sz w:val="18"/>
        </w:rPr>
        <w:t>a</w:t>
      </w:r>
      <w:r>
        <w:rPr>
          <w:spacing w:val="19"/>
          <w:sz w:val="18"/>
        </w:rPr>
        <w:t> </w:t>
      </w:r>
      <w:r>
        <w:rPr>
          <w:sz w:val="18"/>
        </w:rPr>
        <w:t>validated</w:t>
      </w:r>
      <w:r>
        <w:rPr>
          <w:spacing w:val="18"/>
          <w:sz w:val="18"/>
        </w:rPr>
        <w:t> </w:t>
      </w:r>
      <w:r>
        <w:rPr>
          <w:spacing w:val="-2"/>
          <w:sz w:val="18"/>
        </w:rPr>
        <w:t>dataset</w:t>
      </w:r>
    </w:p>
    <w:p>
      <w:pPr>
        <w:tabs>
          <w:tab w:pos="3265" w:val="left" w:leader="none"/>
        </w:tabs>
        <w:spacing w:line="194" w:lineRule="exact" w:before="0"/>
        <w:ind w:left="131" w:right="0" w:firstLine="0"/>
        <w:jc w:val="left"/>
        <w:rPr>
          <w:sz w:val="18"/>
        </w:rPr>
      </w:pPr>
      <w:bookmarkStart w:name="1. INtroduction" w:id="1"/>
      <w:bookmarkEnd w:id="1"/>
      <w:r>
        <w:rPr/>
      </w:r>
      <w:r>
        <w:rPr>
          <w:sz w:val="18"/>
          <w:u w:val="single"/>
        </w:rPr>
        <w:tab/>
      </w:r>
      <w:r>
        <w:rPr>
          <w:spacing w:val="80"/>
          <w:sz w:val="18"/>
        </w:rPr>
        <w:t> </w:t>
      </w:r>
      <w:r>
        <w:rPr>
          <w:sz w:val="18"/>
        </w:rPr>
        <w:t>and a meaningful contribution to chemical reaction engineering.</w:t>
      </w:r>
    </w:p>
    <w:p>
      <w:pPr>
        <w:pStyle w:val="BodyText"/>
        <w:spacing w:before="144"/>
      </w:pPr>
    </w:p>
    <w:p>
      <w:pPr>
        <w:pStyle w:val="Heading1"/>
        <w:numPr>
          <w:ilvl w:val="0"/>
          <w:numId w:val="1"/>
        </w:numPr>
        <w:tabs>
          <w:tab w:pos="625" w:val="left" w:leader="none"/>
        </w:tabs>
        <w:spacing w:line="240" w:lineRule="auto" w:before="1" w:after="0"/>
        <w:ind w:left="625" w:right="0" w:hanging="427"/>
        <w:jc w:val="left"/>
      </w:pPr>
      <w:r>
        <w:rPr>
          <w:spacing w:val="-2"/>
        </w:rPr>
        <w:t>INTRODUCTION</w:t>
      </w:r>
    </w:p>
    <w:p>
      <w:pPr>
        <w:pStyle w:val="BodyText"/>
        <w:spacing w:before="15"/>
        <w:rPr>
          <w:b/>
        </w:rPr>
      </w:pPr>
    </w:p>
    <w:p>
      <w:pPr>
        <w:pStyle w:val="BodyText"/>
        <w:spacing w:line="276" w:lineRule="auto"/>
        <w:ind w:left="197" w:right="50"/>
        <w:jc w:val="both"/>
      </w:pPr>
      <w:r>
        <w:rPr/>
        <w:t>Continuous stirred tank reactors (CSTRs) are widely utilised in industrial chemical processes for their ability to</w:t>
      </w:r>
      <w:r>
        <w:rPr>
          <w:spacing w:val="-3"/>
        </w:rPr>
        <w:t> </w:t>
      </w:r>
      <w:r>
        <w:rPr/>
        <w:t>maintain steady-state conditions, ensuring uniform</w:t>
      </w:r>
      <w:r>
        <w:rPr>
          <w:spacing w:val="-2"/>
        </w:rPr>
        <w:t> </w:t>
      </w:r>
      <w:r>
        <w:rPr/>
        <w:t>product quality</w:t>
      </w:r>
      <w:r>
        <w:rPr>
          <w:spacing w:val="-3"/>
        </w:rPr>
        <w:t> </w:t>
      </w:r>
      <w:r>
        <w:rPr/>
        <w:t>and scalability (Cherkasov et al., 2022). These reactors are essential in industries such as food processing, pharmaceuticals, and petrochemicals, where continuous production and strict process control are required (Hu, 2021). Their design</w:t>
      </w:r>
      <w:r>
        <w:rPr>
          <w:spacing w:val="-4"/>
        </w:rPr>
        <w:t> </w:t>
      </w:r>
      <w:r>
        <w:rPr/>
        <w:t>facilitates</w:t>
      </w:r>
      <w:r>
        <w:rPr>
          <w:spacing w:val="-6"/>
        </w:rPr>
        <w:t> </w:t>
      </w:r>
      <w:r>
        <w:rPr/>
        <w:t>homogeneity</w:t>
      </w:r>
      <w:r>
        <w:rPr>
          <w:spacing w:val="-4"/>
        </w:rPr>
        <w:t> </w:t>
      </w:r>
      <w:r>
        <w:rPr/>
        <w:t>through</w:t>
      </w:r>
      <w:r>
        <w:rPr>
          <w:spacing w:val="-4"/>
        </w:rPr>
        <w:t> </w:t>
      </w:r>
      <w:r>
        <w:rPr/>
        <w:t>continuous</w:t>
      </w:r>
      <w:r>
        <w:rPr>
          <w:spacing w:val="-6"/>
        </w:rPr>
        <w:t> </w:t>
      </w:r>
      <w:r>
        <w:rPr/>
        <w:t>stirring,</w:t>
      </w:r>
      <w:r>
        <w:rPr>
          <w:spacing w:val="-7"/>
        </w:rPr>
        <w:t> </w:t>
      </w:r>
      <w:r>
        <w:rPr/>
        <w:t>enabling</w:t>
      </w:r>
      <w:r>
        <w:rPr>
          <w:spacing w:val="-4"/>
        </w:rPr>
        <w:t> </w:t>
      </w:r>
      <w:r>
        <w:rPr/>
        <w:t>uniform</w:t>
      </w:r>
      <w:r>
        <w:rPr>
          <w:spacing w:val="-3"/>
        </w:rPr>
        <w:t> </w:t>
      </w:r>
      <w:r>
        <w:rPr/>
        <w:t>reactant</w:t>
      </w:r>
      <w:r>
        <w:rPr>
          <w:spacing w:val="-3"/>
        </w:rPr>
        <w:t> </w:t>
      </w:r>
      <w:r>
        <w:rPr/>
        <w:t>distribution,</w:t>
      </w:r>
      <w:r>
        <w:rPr>
          <w:spacing w:val="-7"/>
        </w:rPr>
        <w:t> </w:t>
      </w:r>
      <w:r>
        <w:rPr/>
        <w:t>catalyst presence, and heat regulation (Scott, 1991). Such features are particularly useful in reactions like the saponification of</w:t>
      </w:r>
      <w:r>
        <w:rPr>
          <w:spacing w:val="-3"/>
        </w:rPr>
        <w:t> </w:t>
      </w:r>
      <w:r>
        <w:rPr/>
        <w:t>ethyl</w:t>
      </w:r>
      <w:r>
        <w:rPr>
          <w:spacing w:val="-2"/>
        </w:rPr>
        <w:t> </w:t>
      </w:r>
      <w:r>
        <w:rPr/>
        <w:t>acetate with sodium hydroxide,</w:t>
      </w:r>
      <w:r>
        <w:rPr>
          <w:spacing w:val="-1"/>
        </w:rPr>
        <w:t> </w:t>
      </w:r>
      <w:r>
        <w:rPr/>
        <w:t>which</w:t>
      </w:r>
      <w:r>
        <w:rPr>
          <w:spacing w:val="-3"/>
        </w:rPr>
        <w:t> </w:t>
      </w:r>
      <w:r>
        <w:rPr/>
        <w:t>require</w:t>
      </w:r>
      <w:r>
        <w:rPr>
          <w:spacing w:val="-2"/>
        </w:rPr>
        <w:t> </w:t>
      </w:r>
      <w:r>
        <w:rPr/>
        <w:t>consistent reaction</w:t>
      </w:r>
      <w:r>
        <w:rPr>
          <w:spacing w:val="-3"/>
        </w:rPr>
        <w:t> </w:t>
      </w:r>
      <w:r>
        <w:rPr/>
        <w:t>environments</w:t>
      </w:r>
      <w:r>
        <w:rPr>
          <w:spacing w:val="-5"/>
        </w:rPr>
        <w:t> </w:t>
      </w:r>
      <w:r>
        <w:rPr/>
        <w:t>for optimal performance (Harmon Ray &amp; Villa, 2000). Recent studies have emphasised the importance of advanced sensitivity analysis techniques to improve such processes (Florez-Orrego et al., 2022). The saponification</w:t>
      </w:r>
      <w:r>
        <w:rPr>
          <w:spacing w:val="-3"/>
        </w:rPr>
        <w:t> </w:t>
      </w:r>
      <w:r>
        <w:rPr/>
        <w:t>of</w:t>
      </w:r>
      <w:r>
        <w:rPr>
          <w:spacing w:val="-3"/>
        </w:rPr>
        <w:t> </w:t>
      </w:r>
      <w:r>
        <w:rPr/>
        <w:t>ethyl</w:t>
      </w:r>
      <w:r>
        <w:rPr>
          <w:spacing w:val="-2"/>
        </w:rPr>
        <w:t> </w:t>
      </w:r>
      <w:r>
        <w:rPr/>
        <w:t>acetate</w:t>
      </w:r>
      <w:r>
        <w:rPr>
          <w:spacing w:val="-2"/>
        </w:rPr>
        <w:t> </w:t>
      </w:r>
      <w:r>
        <w:rPr/>
        <w:t>with sodium</w:t>
      </w:r>
      <w:r>
        <w:rPr>
          <w:spacing w:val="-2"/>
        </w:rPr>
        <w:t> </w:t>
      </w:r>
      <w:r>
        <w:rPr/>
        <w:t>hydroxide</w:t>
      </w:r>
      <w:r>
        <w:rPr>
          <w:spacing w:val="-2"/>
        </w:rPr>
        <w:t> </w:t>
      </w:r>
      <w:r>
        <w:rPr/>
        <w:t>is</w:t>
      </w:r>
      <w:r>
        <w:rPr>
          <w:spacing w:val="-5"/>
        </w:rPr>
        <w:t> </w:t>
      </w:r>
      <w:r>
        <w:rPr/>
        <w:t>a</w:t>
      </w:r>
      <w:r>
        <w:rPr>
          <w:spacing w:val="-2"/>
        </w:rPr>
        <w:t> </w:t>
      </w:r>
      <w:r>
        <w:rPr/>
        <w:t>widely</w:t>
      </w:r>
      <w:r>
        <w:rPr>
          <w:spacing w:val="-3"/>
        </w:rPr>
        <w:t> </w:t>
      </w:r>
      <w:r>
        <w:rPr/>
        <w:t>studied</w:t>
      </w:r>
      <w:r>
        <w:rPr>
          <w:spacing w:val="-3"/>
        </w:rPr>
        <w:t> </w:t>
      </w:r>
      <w:r>
        <w:rPr/>
        <w:t>reaction</w:t>
      </w:r>
      <w:r>
        <w:rPr>
          <w:spacing w:val="-8"/>
        </w:rPr>
        <w:t> </w:t>
      </w:r>
      <w:r>
        <w:rPr/>
        <w:t>in</w:t>
      </w:r>
      <w:r>
        <w:rPr>
          <w:spacing w:val="-3"/>
        </w:rPr>
        <w:t> </w:t>
      </w:r>
      <w:r>
        <w:rPr/>
        <w:t>chemical</w:t>
      </w:r>
      <w:r>
        <w:rPr>
          <w:spacing w:val="-7"/>
        </w:rPr>
        <w:t> </w:t>
      </w:r>
      <w:r>
        <w:rPr/>
        <w:t>engineering education and research, typically carried out in batch or continuous stirred-tank reactors (Mesfer, 2018). The process produces ethanol and sodium acetate and is controlled by parameters such as temperature, reactant</w:t>
      </w:r>
      <w:r>
        <w:rPr>
          <w:spacing w:val="-13"/>
        </w:rPr>
        <w:t> </w:t>
      </w:r>
      <w:r>
        <w:rPr/>
        <w:t>concentration,</w:t>
      </w:r>
      <w:r>
        <w:rPr>
          <w:spacing w:val="-8"/>
        </w:rPr>
        <w:t> </w:t>
      </w:r>
      <w:r>
        <w:rPr/>
        <w:t>residence</w:t>
      </w:r>
      <w:r>
        <w:rPr>
          <w:spacing w:val="-9"/>
        </w:rPr>
        <w:t> </w:t>
      </w:r>
      <w:r>
        <w:rPr/>
        <w:t>time,</w:t>
      </w:r>
      <w:r>
        <w:rPr>
          <w:spacing w:val="-8"/>
        </w:rPr>
        <w:t> </w:t>
      </w:r>
      <w:r>
        <w:rPr/>
        <w:t>and</w:t>
      </w:r>
      <w:r>
        <w:rPr>
          <w:spacing w:val="-10"/>
        </w:rPr>
        <w:t> </w:t>
      </w:r>
      <w:r>
        <w:rPr/>
        <w:t>mixing</w:t>
      </w:r>
      <w:r>
        <w:rPr>
          <w:spacing w:val="-10"/>
        </w:rPr>
        <w:t> </w:t>
      </w:r>
      <w:r>
        <w:rPr/>
        <w:t>conditions,</w:t>
      </w:r>
      <w:r>
        <w:rPr>
          <w:spacing w:val="-3"/>
        </w:rPr>
        <w:t> </w:t>
      </w:r>
      <w:r>
        <w:rPr/>
        <w:t>which</w:t>
      </w:r>
      <w:r>
        <w:rPr>
          <w:spacing w:val="-10"/>
        </w:rPr>
        <w:t> </w:t>
      </w:r>
      <w:r>
        <w:rPr/>
        <w:t>strongly</w:t>
      </w:r>
      <w:r>
        <w:rPr>
          <w:spacing w:val="-10"/>
        </w:rPr>
        <w:t> </w:t>
      </w:r>
      <w:r>
        <w:rPr/>
        <w:t>influence</w:t>
      </w:r>
      <w:r>
        <w:rPr>
          <w:spacing w:val="-9"/>
        </w:rPr>
        <w:t> </w:t>
      </w:r>
      <w:r>
        <w:rPr/>
        <w:t>the</w:t>
      </w:r>
      <w:r>
        <w:rPr>
          <w:spacing w:val="-9"/>
        </w:rPr>
        <w:t> </w:t>
      </w:r>
      <w:r>
        <w:rPr/>
        <w:t>overall</w:t>
      </w:r>
      <w:r>
        <w:rPr>
          <w:spacing w:val="-9"/>
        </w:rPr>
        <w:t> </w:t>
      </w:r>
      <w:r>
        <w:rPr/>
        <w:t>kinetics (Danish et al., 2015; Ihsanullah et al., 2015).</w:t>
      </w:r>
    </w:p>
    <w:p>
      <w:pPr>
        <w:pStyle w:val="BodyText"/>
        <w:spacing w:before="9"/>
      </w:pPr>
    </w:p>
    <w:p>
      <w:pPr>
        <w:pStyle w:val="BodyText"/>
        <w:spacing w:line="276" w:lineRule="auto"/>
        <w:ind w:left="197" w:right="51" w:firstLine="283"/>
        <w:jc w:val="both"/>
      </w:pPr>
      <w:r>
        <w:rPr/>
        <w:t>The</w:t>
      </w:r>
      <w:r>
        <w:rPr>
          <w:spacing w:val="-13"/>
        </w:rPr>
        <w:t> </w:t>
      </w:r>
      <w:r>
        <w:rPr/>
        <w:t>operation</w:t>
      </w:r>
      <w:r>
        <w:rPr>
          <w:spacing w:val="-12"/>
        </w:rPr>
        <w:t> </w:t>
      </w:r>
      <w:r>
        <w:rPr/>
        <w:t>of</w:t>
      </w:r>
      <w:r>
        <w:rPr>
          <w:spacing w:val="-13"/>
        </w:rPr>
        <w:t> </w:t>
      </w:r>
      <w:r>
        <w:rPr/>
        <w:t>CSTRs</w:t>
      </w:r>
      <w:r>
        <w:rPr>
          <w:spacing w:val="-12"/>
        </w:rPr>
        <w:t> </w:t>
      </w:r>
      <w:r>
        <w:rPr/>
        <w:t>depends</w:t>
      </w:r>
      <w:r>
        <w:rPr>
          <w:spacing w:val="-13"/>
        </w:rPr>
        <w:t> </w:t>
      </w:r>
      <w:r>
        <w:rPr/>
        <w:t>heavily</w:t>
      </w:r>
      <w:r>
        <w:rPr>
          <w:spacing w:val="-12"/>
        </w:rPr>
        <w:t> </w:t>
      </w:r>
      <w:r>
        <w:rPr/>
        <w:t>on</w:t>
      </w:r>
      <w:r>
        <w:rPr>
          <w:spacing w:val="-13"/>
        </w:rPr>
        <w:t> </w:t>
      </w:r>
      <w:r>
        <w:rPr/>
        <w:t>precise</w:t>
      </w:r>
      <w:r>
        <w:rPr>
          <w:spacing w:val="-12"/>
        </w:rPr>
        <w:t> </w:t>
      </w:r>
      <w:r>
        <w:rPr/>
        <w:t>control</w:t>
      </w:r>
      <w:r>
        <w:rPr>
          <w:spacing w:val="-13"/>
        </w:rPr>
        <w:t> </w:t>
      </w:r>
      <w:r>
        <w:rPr/>
        <w:t>of</w:t>
      </w:r>
      <w:r>
        <w:rPr>
          <w:spacing w:val="-12"/>
        </w:rPr>
        <w:t> </w:t>
      </w:r>
      <w:r>
        <w:rPr/>
        <w:t>parameters</w:t>
      </w:r>
      <w:r>
        <w:rPr>
          <w:spacing w:val="-13"/>
        </w:rPr>
        <w:t> </w:t>
      </w:r>
      <w:r>
        <w:rPr/>
        <w:t>such</w:t>
      </w:r>
      <w:r>
        <w:rPr>
          <w:spacing w:val="-12"/>
        </w:rPr>
        <w:t> </w:t>
      </w:r>
      <w:r>
        <w:rPr/>
        <w:t>as</w:t>
      </w:r>
      <w:r>
        <w:rPr>
          <w:spacing w:val="-13"/>
        </w:rPr>
        <w:t> </w:t>
      </w:r>
      <w:r>
        <w:rPr/>
        <w:t>temperature,</w:t>
      </w:r>
      <w:r>
        <w:rPr>
          <w:spacing w:val="-12"/>
        </w:rPr>
        <w:t> </w:t>
      </w:r>
      <w:r>
        <w:rPr/>
        <w:t>agitation speed, reactant concentration, and flow rates (Ihsanullah et al., 2015). Effective heat exchange systems</w:t>
      </w:r>
      <w:r>
        <w:rPr>
          <w:spacing w:val="-1"/>
        </w:rPr>
        <w:t> </w:t>
      </w:r>
      <w:r>
        <w:rPr/>
        <w:t>in these reactors prevent</w:t>
      </w:r>
      <w:r>
        <w:rPr>
          <w:spacing w:val="-1"/>
        </w:rPr>
        <w:t> </w:t>
      </w:r>
      <w:r>
        <w:rPr/>
        <w:t>localised</w:t>
      </w:r>
      <w:r>
        <w:rPr>
          <w:spacing w:val="-3"/>
        </w:rPr>
        <w:t> </w:t>
      </w:r>
      <w:r>
        <w:rPr/>
        <w:t>temperature spikes and drops, ensuring safety</w:t>
      </w:r>
      <w:r>
        <w:rPr>
          <w:spacing w:val="-2"/>
        </w:rPr>
        <w:t> </w:t>
      </w:r>
      <w:r>
        <w:rPr/>
        <w:t>and reliability (Wang</w:t>
      </w:r>
      <w:r>
        <w:rPr>
          <w:spacing w:val="-2"/>
        </w:rPr>
        <w:t> </w:t>
      </w:r>
      <w:r>
        <w:rPr/>
        <w:t>et</w:t>
      </w:r>
      <w:r>
        <w:rPr>
          <w:spacing w:val="-1"/>
        </w:rPr>
        <w:t> </w:t>
      </w:r>
      <w:r>
        <w:rPr/>
        <w:t>al., 2020).</w:t>
      </w:r>
      <w:r>
        <w:rPr>
          <w:spacing w:val="-13"/>
        </w:rPr>
        <w:t> </w:t>
      </w:r>
      <w:r>
        <w:rPr/>
        <w:t>This</w:t>
      </w:r>
      <w:r>
        <w:rPr>
          <w:spacing w:val="-12"/>
        </w:rPr>
        <w:t> </w:t>
      </w:r>
      <w:r>
        <w:rPr/>
        <w:t>makes</w:t>
      </w:r>
      <w:r>
        <w:rPr>
          <w:spacing w:val="-13"/>
        </w:rPr>
        <w:t> </w:t>
      </w:r>
      <w:r>
        <w:rPr/>
        <w:t>them</w:t>
      </w:r>
      <w:r>
        <w:rPr>
          <w:spacing w:val="-12"/>
        </w:rPr>
        <w:t> </w:t>
      </w:r>
      <w:r>
        <w:rPr/>
        <w:t>suitable</w:t>
      </w:r>
      <w:r>
        <w:rPr>
          <w:spacing w:val="-13"/>
        </w:rPr>
        <w:t> </w:t>
      </w:r>
      <w:r>
        <w:rPr/>
        <w:t>for</w:t>
      </w:r>
      <w:r>
        <w:rPr>
          <w:spacing w:val="-12"/>
        </w:rPr>
        <w:t> </w:t>
      </w:r>
      <w:r>
        <w:rPr/>
        <w:t>highly</w:t>
      </w:r>
      <w:r>
        <w:rPr>
          <w:spacing w:val="-13"/>
        </w:rPr>
        <w:t> </w:t>
      </w:r>
      <w:r>
        <w:rPr/>
        <w:t>regulated</w:t>
      </w:r>
      <w:r>
        <w:rPr>
          <w:spacing w:val="-12"/>
        </w:rPr>
        <w:t> </w:t>
      </w:r>
      <w:r>
        <w:rPr/>
        <w:t>industries</w:t>
      </w:r>
      <w:r>
        <w:rPr>
          <w:spacing w:val="-12"/>
        </w:rPr>
        <w:t> </w:t>
      </w:r>
      <w:r>
        <w:rPr/>
        <w:t>such</w:t>
      </w:r>
      <w:r>
        <w:rPr>
          <w:spacing w:val="-12"/>
        </w:rPr>
        <w:t> </w:t>
      </w:r>
      <w:r>
        <w:rPr/>
        <w:t>as</w:t>
      </w:r>
      <w:r>
        <w:rPr>
          <w:spacing w:val="-9"/>
        </w:rPr>
        <w:t> </w:t>
      </w:r>
      <w:r>
        <w:rPr/>
        <w:t>pharmaceuticals,</w:t>
      </w:r>
      <w:r>
        <w:rPr>
          <w:spacing w:val="-6"/>
        </w:rPr>
        <w:t> </w:t>
      </w:r>
      <w:r>
        <w:rPr/>
        <w:t>where</w:t>
      </w:r>
      <w:r>
        <w:rPr>
          <w:spacing w:val="-11"/>
        </w:rPr>
        <w:t> </w:t>
      </w:r>
      <w:r>
        <w:rPr/>
        <w:t>consistency in</w:t>
      </w:r>
      <w:r>
        <w:rPr>
          <w:spacing w:val="-13"/>
        </w:rPr>
        <w:t> </w:t>
      </w:r>
      <w:r>
        <w:rPr/>
        <w:t>quality</w:t>
      </w:r>
      <w:r>
        <w:rPr>
          <w:spacing w:val="-12"/>
        </w:rPr>
        <w:t> </w:t>
      </w:r>
      <w:r>
        <w:rPr/>
        <w:t>is</w:t>
      </w:r>
      <w:r>
        <w:rPr>
          <w:spacing w:val="-13"/>
        </w:rPr>
        <w:t> </w:t>
      </w:r>
      <w:r>
        <w:rPr/>
        <w:t>critical</w:t>
      </w:r>
      <w:r>
        <w:rPr>
          <w:spacing w:val="-12"/>
        </w:rPr>
        <w:t> </w:t>
      </w:r>
      <w:r>
        <w:rPr/>
        <w:t>(Berton</w:t>
      </w:r>
      <w:r>
        <w:rPr>
          <w:spacing w:val="-13"/>
        </w:rPr>
        <w:t> </w:t>
      </w:r>
      <w:r>
        <w:rPr/>
        <w:t>et</w:t>
      </w:r>
      <w:r>
        <w:rPr>
          <w:spacing w:val="-12"/>
        </w:rPr>
        <w:t> </w:t>
      </w:r>
      <w:r>
        <w:rPr/>
        <w:t>al.,</w:t>
      </w:r>
      <w:r>
        <w:rPr>
          <w:spacing w:val="-13"/>
        </w:rPr>
        <w:t> </w:t>
      </w:r>
      <w:r>
        <w:rPr/>
        <w:t>2020).</w:t>
      </w:r>
      <w:r>
        <w:rPr>
          <w:spacing w:val="-6"/>
        </w:rPr>
        <w:t> </w:t>
      </w:r>
      <w:r>
        <w:rPr/>
        <w:t>Despite</w:t>
      </w:r>
      <w:r>
        <w:rPr>
          <w:spacing w:val="-12"/>
        </w:rPr>
        <w:t> </w:t>
      </w:r>
      <w:r>
        <w:rPr/>
        <w:t>these</w:t>
      </w:r>
      <w:r>
        <w:rPr>
          <w:spacing w:val="-12"/>
        </w:rPr>
        <w:t> </w:t>
      </w:r>
      <w:r>
        <w:rPr/>
        <w:t>advantages,</w:t>
      </w:r>
      <w:r>
        <w:rPr>
          <w:spacing w:val="-11"/>
        </w:rPr>
        <w:t> </w:t>
      </w:r>
      <w:r>
        <w:rPr/>
        <w:t>challenges</w:t>
      </w:r>
      <w:r>
        <w:rPr>
          <w:spacing w:val="-11"/>
        </w:rPr>
        <w:t> </w:t>
      </w:r>
      <w:r>
        <w:rPr/>
        <w:t>remain</w:t>
      </w:r>
      <w:r>
        <w:rPr>
          <w:spacing w:val="-13"/>
        </w:rPr>
        <w:t> </w:t>
      </w:r>
      <w:r>
        <w:rPr/>
        <w:t>in</w:t>
      </w:r>
      <w:r>
        <w:rPr>
          <w:spacing w:val="-12"/>
        </w:rPr>
        <w:t> </w:t>
      </w:r>
      <w:r>
        <w:rPr/>
        <w:t>enhancing</w:t>
      </w:r>
      <w:r>
        <w:rPr>
          <w:spacing w:val="-9"/>
        </w:rPr>
        <w:t> </w:t>
      </w:r>
      <w:r>
        <w:rPr/>
        <w:t>reaction parameters for maximum yield and efficiency. Studies have shown that artificial intelligence integration and advanced computational methods improve optimisation</w:t>
      </w:r>
      <w:r>
        <w:rPr>
          <w:spacing w:val="-2"/>
        </w:rPr>
        <w:t> </w:t>
      </w:r>
      <w:r>
        <w:rPr/>
        <w:t>processes and ensure</w:t>
      </w:r>
      <w:r>
        <w:rPr>
          <w:spacing w:val="-1"/>
        </w:rPr>
        <w:t> </w:t>
      </w:r>
      <w:r>
        <w:rPr/>
        <w:t>accurate predictions for complex chemical systems (He, 2023; Sysoev, 2023).</w:t>
      </w:r>
    </w:p>
    <w:p>
      <w:pPr>
        <w:pStyle w:val="BodyText"/>
        <w:spacing w:line="276" w:lineRule="auto" w:before="122"/>
        <w:ind w:left="198" w:right="50" w:firstLine="340"/>
        <w:jc w:val="both"/>
      </w:pPr>
      <w:r>
        <w:rPr/>
        <w:t>Given</w:t>
      </w:r>
      <w:r>
        <w:rPr>
          <w:spacing w:val="-4"/>
        </w:rPr>
        <w:t> </w:t>
      </w:r>
      <w:r>
        <w:rPr/>
        <w:t>the importance of</w:t>
      </w:r>
      <w:r>
        <w:rPr>
          <w:spacing w:val="-4"/>
        </w:rPr>
        <w:t> </w:t>
      </w:r>
      <w:r>
        <w:rPr/>
        <w:t>process</w:t>
      </w:r>
      <w:r>
        <w:rPr>
          <w:spacing w:val="-1"/>
        </w:rPr>
        <w:t> </w:t>
      </w:r>
      <w:r>
        <w:rPr/>
        <w:t>optimisation</w:t>
      </w:r>
      <w:r>
        <w:rPr>
          <w:spacing w:val="-4"/>
        </w:rPr>
        <w:t> </w:t>
      </w:r>
      <w:r>
        <w:rPr/>
        <w:t>in</w:t>
      </w:r>
      <w:r>
        <w:rPr>
          <w:spacing w:val="-5"/>
        </w:rPr>
        <w:t> </w:t>
      </w:r>
      <w:r>
        <w:rPr/>
        <w:t>chemical</w:t>
      </w:r>
      <w:r>
        <w:rPr>
          <w:spacing w:val="-3"/>
        </w:rPr>
        <w:t> </w:t>
      </w:r>
      <w:r>
        <w:rPr/>
        <w:t>engineering,</w:t>
      </w:r>
      <w:r>
        <w:rPr>
          <w:spacing w:val="-2"/>
        </w:rPr>
        <w:t> </w:t>
      </w:r>
      <w:r>
        <w:rPr/>
        <w:t>enhancing</w:t>
      </w:r>
      <w:r>
        <w:rPr>
          <w:spacing w:val="-4"/>
        </w:rPr>
        <w:t> </w:t>
      </w:r>
      <w:r>
        <w:rPr/>
        <w:t>CSTR performance remains a focus area for researchers. Variations in operational parameters influence reaction kinetics, but their</w:t>
      </w:r>
      <w:r>
        <w:rPr>
          <w:spacing w:val="-5"/>
        </w:rPr>
        <w:t> </w:t>
      </w:r>
      <w:r>
        <w:rPr/>
        <w:t>combined</w:t>
      </w:r>
      <w:r>
        <w:rPr>
          <w:spacing w:val="-5"/>
        </w:rPr>
        <w:t> </w:t>
      </w:r>
      <w:r>
        <w:rPr/>
        <w:t>effects</w:t>
      </w:r>
      <w:r>
        <w:rPr>
          <w:spacing w:val="-6"/>
        </w:rPr>
        <w:t> </w:t>
      </w:r>
      <w:r>
        <w:rPr/>
        <w:t>remain</w:t>
      </w:r>
      <w:r>
        <w:rPr>
          <w:spacing w:val="-5"/>
        </w:rPr>
        <w:t> </w:t>
      </w:r>
      <w:r>
        <w:rPr/>
        <w:t>poorly</w:t>
      </w:r>
      <w:r>
        <w:rPr>
          <w:spacing w:val="-5"/>
        </w:rPr>
        <w:t> </w:t>
      </w:r>
      <w:r>
        <w:rPr/>
        <w:t>understood</w:t>
      </w:r>
      <w:r>
        <w:rPr>
          <w:spacing w:val="-5"/>
        </w:rPr>
        <w:t> </w:t>
      </w:r>
      <w:r>
        <w:rPr/>
        <w:t>(Borovinskaya</w:t>
      </w:r>
      <w:r>
        <w:rPr>
          <w:spacing w:val="-8"/>
        </w:rPr>
        <w:t> </w:t>
      </w:r>
      <w:r>
        <w:rPr/>
        <w:t>et</w:t>
      </w:r>
      <w:r>
        <w:rPr>
          <w:spacing w:val="-8"/>
        </w:rPr>
        <w:t> </w:t>
      </w:r>
      <w:r>
        <w:rPr/>
        <w:t>al.,</w:t>
      </w:r>
      <w:r>
        <w:rPr>
          <w:spacing w:val="-2"/>
        </w:rPr>
        <w:t> </w:t>
      </w:r>
      <w:r>
        <w:rPr/>
        <w:t>2019).</w:t>
      </w:r>
      <w:r>
        <w:rPr>
          <w:spacing w:val="-2"/>
        </w:rPr>
        <w:t> </w:t>
      </w:r>
      <w:r>
        <w:rPr/>
        <w:t>Improving</w:t>
      </w:r>
      <w:r>
        <w:rPr>
          <w:spacing w:val="-9"/>
        </w:rPr>
        <w:t> </w:t>
      </w:r>
      <w:r>
        <w:rPr/>
        <w:t>kinetic</w:t>
      </w:r>
      <w:r>
        <w:rPr>
          <w:spacing w:val="-7"/>
        </w:rPr>
        <w:t> </w:t>
      </w:r>
      <w:r>
        <w:rPr/>
        <w:t>modelling techniques and conducting sensitivity analysis can address these gaps, leading to better designs for sustainable and cost-effective industrial applications. Multi-stage modelling techniques and sensitivity metrics have been used to improve reaction stages and reduce by-product formation (Sultan et al., 2024). This</w:t>
      </w:r>
      <w:r>
        <w:rPr>
          <w:spacing w:val="-11"/>
        </w:rPr>
        <w:t> </w:t>
      </w:r>
      <w:r>
        <w:rPr/>
        <w:t>research</w:t>
      </w:r>
      <w:r>
        <w:rPr>
          <w:spacing w:val="-5"/>
        </w:rPr>
        <w:t> </w:t>
      </w:r>
      <w:r>
        <w:rPr/>
        <w:t>specifically</w:t>
      </w:r>
      <w:r>
        <w:rPr>
          <w:spacing w:val="-9"/>
        </w:rPr>
        <w:t> </w:t>
      </w:r>
      <w:r>
        <w:rPr/>
        <w:t>investigates</w:t>
      </w:r>
      <w:r>
        <w:rPr>
          <w:spacing w:val="-11"/>
        </w:rPr>
        <w:t> </w:t>
      </w:r>
      <w:r>
        <w:rPr/>
        <w:t>the</w:t>
      </w:r>
      <w:r>
        <w:rPr>
          <w:spacing w:val="-3"/>
        </w:rPr>
        <w:t> </w:t>
      </w:r>
      <w:r>
        <w:rPr/>
        <w:t>saponification</w:t>
      </w:r>
      <w:r>
        <w:rPr>
          <w:spacing w:val="-9"/>
        </w:rPr>
        <w:t> </w:t>
      </w:r>
      <w:r>
        <w:rPr/>
        <w:t>of</w:t>
      </w:r>
      <w:r>
        <w:rPr>
          <w:spacing w:val="-9"/>
        </w:rPr>
        <w:t> </w:t>
      </w:r>
      <w:r>
        <w:rPr/>
        <w:t>ethyl</w:t>
      </w:r>
      <w:r>
        <w:rPr>
          <w:spacing w:val="-8"/>
        </w:rPr>
        <w:t> </w:t>
      </w:r>
      <w:r>
        <w:rPr/>
        <w:t>acetate</w:t>
      </w:r>
      <w:r>
        <w:rPr>
          <w:spacing w:val="-3"/>
        </w:rPr>
        <w:t> </w:t>
      </w:r>
      <w:r>
        <w:rPr/>
        <w:t>with</w:t>
      </w:r>
      <w:r>
        <w:rPr>
          <w:spacing w:val="-9"/>
        </w:rPr>
        <w:t> </w:t>
      </w:r>
      <w:r>
        <w:rPr/>
        <w:t>sodium</w:t>
      </w:r>
      <w:r>
        <w:rPr>
          <w:spacing w:val="-8"/>
        </w:rPr>
        <w:t> </w:t>
      </w:r>
      <w:r>
        <w:rPr/>
        <w:t>hydroxide,</w:t>
      </w:r>
      <w:r>
        <w:rPr>
          <w:spacing w:val="-7"/>
        </w:rPr>
        <w:t> </w:t>
      </w:r>
      <w:r>
        <w:rPr/>
        <w:t>exploring the impact of operational parameters on reaction kinetics and reactor performance.</w:t>
      </w:r>
    </w:p>
    <w:p>
      <w:pPr>
        <w:pStyle w:val="BodyText"/>
        <w:spacing w:line="276" w:lineRule="auto" w:before="121"/>
        <w:ind w:left="198" w:right="46" w:firstLine="340"/>
        <w:jc w:val="both"/>
      </w:pPr>
      <w:r>
        <w:rPr/>
        <w:t>Saponification of</w:t>
      </w:r>
      <w:r>
        <w:rPr>
          <w:spacing w:val="-3"/>
        </w:rPr>
        <w:t> </w:t>
      </w:r>
      <w:r>
        <w:rPr/>
        <w:t>ethyl</w:t>
      </w:r>
      <w:r>
        <w:rPr>
          <w:spacing w:val="-2"/>
        </w:rPr>
        <w:t> </w:t>
      </w:r>
      <w:r>
        <w:rPr/>
        <w:t>acetate with sodium hydroxide is</w:t>
      </w:r>
      <w:r>
        <w:rPr>
          <w:spacing w:val="-5"/>
        </w:rPr>
        <w:t> </w:t>
      </w:r>
      <w:r>
        <w:rPr/>
        <w:t>a well-established</w:t>
      </w:r>
      <w:r>
        <w:rPr>
          <w:spacing w:val="-3"/>
        </w:rPr>
        <w:t> </w:t>
      </w:r>
      <w:r>
        <w:rPr/>
        <w:t>model reaction frequently employed in chemical engineering studies because of its simplicity, reproducibility, and clear kinetic behaviour.</w:t>
      </w:r>
      <w:r>
        <w:rPr>
          <w:spacing w:val="-8"/>
        </w:rPr>
        <w:t> </w:t>
      </w:r>
      <w:r>
        <w:rPr/>
        <w:t>It</w:t>
      </w:r>
      <w:r>
        <w:rPr>
          <w:spacing w:val="-7"/>
        </w:rPr>
        <w:t> </w:t>
      </w:r>
      <w:r>
        <w:rPr/>
        <w:t>proceeds</w:t>
      </w:r>
      <w:r>
        <w:rPr>
          <w:spacing w:val="-10"/>
        </w:rPr>
        <w:t> </w:t>
      </w:r>
      <w:r>
        <w:rPr/>
        <w:t>as</w:t>
      </w:r>
      <w:r>
        <w:rPr>
          <w:spacing w:val="-13"/>
        </w:rPr>
        <w:t> </w:t>
      </w:r>
      <w:r>
        <w:rPr/>
        <w:t>a</w:t>
      </w:r>
      <w:r>
        <w:rPr>
          <w:spacing w:val="-6"/>
        </w:rPr>
        <w:t> </w:t>
      </w:r>
      <w:r>
        <w:rPr/>
        <w:t>homogeneous</w:t>
      </w:r>
      <w:r>
        <w:rPr>
          <w:spacing w:val="-10"/>
        </w:rPr>
        <w:t> </w:t>
      </w:r>
      <w:r>
        <w:rPr/>
        <w:t>second-order</w:t>
      </w:r>
      <w:r>
        <w:rPr>
          <w:spacing w:val="-13"/>
        </w:rPr>
        <w:t> </w:t>
      </w:r>
      <w:r>
        <w:rPr/>
        <w:t>liquid-phase</w:t>
      </w:r>
      <w:r>
        <w:rPr>
          <w:spacing w:val="-6"/>
        </w:rPr>
        <w:t> </w:t>
      </w:r>
      <w:r>
        <w:rPr/>
        <w:t>reaction,</w:t>
      </w:r>
      <w:r>
        <w:rPr>
          <w:spacing w:val="-1"/>
        </w:rPr>
        <w:t> </w:t>
      </w:r>
      <w:r>
        <w:rPr/>
        <w:t>where</w:t>
      </w:r>
      <w:r>
        <w:rPr>
          <w:spacing w:val="-7"/>
        </w:rPr>
        <w:t> </w:t>
      </w:r>
      <w:r>
        <w:rPr/>
        <w:t>the</w:t>
      </w:r>
      <w:r>
        <w:rPr>
          <w:spacing w:val="-7"/>
        </w:rPr>
        <w:t> </w:t>
      </w:r>
      <w:r>
        <w:rPr/>
        <w:t>rate</w:t>
      </w:r>
      <w:r>
        <w:rPr>
          <w:spacing w:val="-7"/>
        </w:rPr>
        <w:t> </w:t>
      </w:r>
      <w:r>
        <w:rPr/>
        <w:t>is</w:t>
      </w:r>
      <w:r>
        <w:rPr>
          <w:spacing w:val="-10"/>
        </w:rPr>
        <w:t> </w:t>
      </w:r>
      <w:r>
        <w:rPr/>
        <w:t>proportional to the product of ethyl acetate and sodium hydroxide concentrations. Prior work has characterised this system</w:t>
      </w:r>
      <w:r>
        <w:rPr>
          <w:spacing w:val="22"/>
        </w:rPr>
        <w:t> </w:t>
      </w:r>
      <w:r>
        <w:rPr/>
        <w:t>using</w:t>
      </w:r>
      <w:r>
        <w:rPr>
          <w:spacing w:val="21"/>
        </w:rPr>
        <w:t> </w:t>
      </w:r>
      <w:r>
        <w:rPr/>
        <w:t>batch</w:t>
      </w:r>
      <w:r>
        <w:rPr>
          <w:spacing w:val="21"/>
        </w:rPr>
        <w:t> </w:t>
      </w:r>
      <w:r>
        <w:rPr/>
        <w:t>and</w:t>
      </w:r>
      <w:r>
        <w:rPr>
          <w:spacing w:val="21"/>
        </w:rPr>
        <w:t> </w:t>
      </w:r>
      <w:r>
        <w:rPr/>
        <w:t>continuous</w:t>
      </w:r>
      <w:r>
        <w:rPr>
          <w:spacing w:val="24"/>
        </w:rPr>
        <w:t> </w:t>
      </w:r>
      <w:r>
        <w:rPr/>
        <w:t>reactors,</w:t>
      </w:r>
      <w:r>
        <w:rPr>
          <w:spacing w:val="28"/>
        </w:rPr>
        <w:t> </w:t>
      </w:r>
      <w:r>
        <w:rPr/>
        <w:t>with</w:t>
      </w:r>
      <w:r>
        <w:rPr>
          <w:spacing w:val="25"/>
        </w:rPr>
        <w:t> </w:t>
      </w:r>
      <w:r>
        <w:rPr/>
        <w:t>conductometric</w:t>
      </w:r>
      <w:r>
        <w:rPr>
          <w:spacing w:val="27"/>
        </w:rPr>
        <w:t> </w:t>
      </w:r>
      <w:r>
        <w:rPr/>
        <w:t>and</w:t>
      </w:r>
      <w:r>
        <w:rPr>
          <w:spacing w:val="25"/>
        </w:rPr>
        <w:t> </w:t>
      </w:r>
      <w:r>
        <w:rPr/>
        <w:t>titrimetric</w:t>
      </w:r>
      <w:r>
        <w:rPr>
          <w:spacing w:val="22"/>
        </w:rPr>
        <w:t> </w:t>
      </w:r>
      <w:r>
        <w:rPr/>
        <w:t>techniques</w:t>
      </w:r>
      <w:r>
        <w:rPr>
          <w:spacing w:val="24"/>
        </w:rPr>
        <w:t> </w:t>
      </w:r>
      <w:r>
        <w:rPr/>
        <w:t>commonly</w:t>
      </w:r>
    </w:p>
    <w:p>
      <w:pPr>
        <w:pStyle w:val="BodyText"/>
        <w:spacing w:after="0" w:line="276" w:lineRule="auto"/>
        <w:jc w:val="both"/>
        <w:sectPr>
          <w:headerReference w:type="default" r:id="rId9"/>
          <w:footerReference w:type="default" r:id="rId10"/>
          <w:pgSz w:w="10890" w:h="14860"/>
          <w:pgMar w:header="1010" w:footer="1649" w:top="1320" w:bottom="1840" w:left="992" w:right="1133"/>
          <w:pgNumType w:start="53"/>
        </w:sectPr>
      </w:pPr>
    </w:p>
    <w:p>
      <w:pPr>
        <w:pStyle w:val="BodyText"/>
        <w:spacing w:line="276" w:lineRule="auto" w:before="114"/>
        <w:ind w:left="198" w:right="52"/>
        <w:jc w:val="both"/>
      </w:pPr>
      <w:r>
        <w:rPr/>
        <w:t>applied to monitor conversion (Das et al., 2011; Mukhtar et al., 2017). These studies consistently report Arrhenius-type temperature dependence, with activation energies in the range of 41 to 48 kJ·mol⁻¹, confirming its suitability for kinetic modelling and validation studies (Das et al., 2011; Petek &amp; Krajnc, 2012). As such, it serves</w:t>
      </w:r>
      <w:r>
        <w:rPr>
          <w:spacing w:val="-1"/>
        </w:rPr>
        <w:t> </w:t>
      </w:r>
      <w:r>
        <w:rPr/>
        <w:t>as</w:t>
      </w:r>
      <w:r>
        <w:rPr>
          <w:spacing w:val="-1"/>
        </w:rPr>
        <w:t> </w:t>
      </w:r>
      <w:r>
        <w:rPr/>
        <w:t>an ideal benchmark for sensitivity analysis and reactor-scale investigations</w:t>
      </w:r>
      <w:r>
        <w:rPr>
          <w:spacing w:val="-1"/>
        </w:rPr>
        <w:t> </w:t>
      </w:r>
      <w:r>
        <w:rPr/>
        <w:t>in both laboratory and pilot-plant environments.</w:t>
      </w:r>
    </w:p>
    <w:p>
      <w:pPr>
        <w:pStyle w:val="BodyText"/>
        <w:spacing w:line="276" w:lineRule="auto" w:before="122"/>
        <w:ind w:left="198" w:right="52" w:firstLine="340"/>
        <w:jc w:val="both"/>
      </w:pPr>
      <w:r>
        <w:rPr/>
        <w:t>Other previous studies have analysed specific parameters such as flow rates and temperature in isolation, often neglecting their interactive effects (Ihsanullah et al., 2015; Nauman, 2008). However, studies</w:t>
      </w:r>
      <w:r>
        <w:rPr>
          <w:spacing w:val="-10"/>
        </w:rPr>
        <w:t> </w:t>
      </w:r>
      <w:r>
        <w:rPr/>
        <w:t>focusing</w:t>
      </w:r>
      <w:r>
        <w:rPr>
          <w:spacing w:val="-8"/>
        </w:rPr>
        <w:t> </w:t>
      </w:r>
      <w:r>
        <w:rPr/>
        <w:t>on</w:t>
      </w:r>
      <w:r>
        <w:rPr>
          <w:spacing w:val="-8"/>
        </w:rPr>
        <w:t> </w:t>
      </w:r>
      <w:r>
        <w:rPr/>
        <w:t>sensitivity</w:t>
      </w:r>
      <w:r>
        <w:rPr>
          <w:spacing w:val="-13"/>
        </w:rPr>
        <w:t> </w:t>
      </w:r>
      <w:r>
        <w:rPr/>
        <w:t>analysis</w:t>
      </w:r>
      <w:r>
        <w:rPr>
          <w:spacing w:val="-9"/>
        </w:rPr>
        <w:t> </w:t>
      </w:r>
      <w:r>
        <w:rPr/>
        <w:t>for</w:t>
      </w:r>
      <w:r>
        <w:rPr>
          <w:spacing w:val="-8"/>
        </w:rPr>
        <w:t> </w:t>
      </w:r>
      <w:r>
        <w:rPr/>
        <w:t>integrated</w:t>
      </w:r>
      <w:r>
        <w:rPr>
          <w:spacing w:val="-8"/>
        </w:rPr>
        <w:t> </w:t>
      </w:r>
      <w:r>
        <w:rPr/>
        <w:t>parameter</w:t>
      </w:r>
      <w:r>
        <w:rPr>
          <w:spacing w:val="-8"/>
        </w:rPr>
        <w:t> </w:t>
      </w:r>
      <w:r>
        <w:rPr/>
        <w:t>enhancement</w:t>
      </w:r>
      <w:r>
        <w:rPr>
          <w:spacing w:val="-7"/>
        </w:rPr>
        <w:t> </w:t>
      </w:r>
      <w:r>
        <w:rPr/>
        <w:t>remain</w:t>
      </w:r>
      <w:r>
        <w:rPr>
          <w:spacing w:val="-8"/>
        </w:rPr>
        <w:t> </w:t>
      </w:r>
      <w:r>
        <w:rPr/>
        <w:t>limited.</w:t>
      </w:r>
      <w:r>
        <w:rPr>
          <w:spacing w:val="-6"/>
        </w:rPr>
        <w:t> </w:t>
      </w:r>
      <w:r>
        <w:rPr/>
        <w:t>For</w:t>
      </w:r>
      <w:r>
        <w:rPr>
          <w:spacing w:val="-13"/>
        </w:rPr>
        <w:t> </w:t>
      </w:r>
      <w:r>
        <w:rPr/>
        <w:t>example, Ihsanullah et al. (2015) examined the influence of varying inlet flow rates on CSTR performance and reported significant effects on conversion and residence time. Similarly, Nauman (2008) investigated the role of reactor temperature, demonstrating that higher temperatures accelerate reaction rates. While these studies</w:t>
      </w:r>
      <w:r>
        <w:rPr>
          <w:spacing w:val="-10"/>
        </w:rPr>
        <w:t> </w:t>
      </w:r>
      <w:r>
        <w:rPr/>
        <w:t>highlighted</w:t>
      </w:r>
      <w:r>
        <w:rPr>
          <w:spacing w:val="-8"/>
        </w:rPr>
        <w:t> </w:t>
      </w:r>
      <w:r>
        <w:rPr/>
        <w:t>the</w:t>
      </w:r>
      <w:r>
        <w:rPr>
          <w:spacing w:val="-7"/>
        </w:rPr>
        <w:t> </w:t>
      </w:r>
      <w:r>
        <w:rPr/>
        <w:t>importance</w:t>
      </w:r>
      <w:r>
        <w:rPr>
          <w:spacing w:val="-7"/>
        </w:rPr>
        <w:t> </w:t>
      </w:r>
      <w:r>
        <w:rPr/>
        <w:t>of</w:t>
      </w:r>
      <w:r>
        <w:rPr>
          <w:spacing w:val="-8"/>
        </w:rPr>
        <w:t> </w:t>
      </w:r>
      <w:r>
        <w:rPr/>
        <w:t>individual</w:t>
      </w:r>
      <w:r>
        <w:rPr>
          <w:spacing w:val="-7"/>
        </w:rPr>
        <w:t> </w:t>
      </w:r>
      <w:r>
        <w:rPr/>
        <w:t>parameters,</w:t>
      </w:r>
      <w:r>
        <w:rPr>
          <w:spacing w:val="-6"/>
        </w:rPr>
        <w:t> </w:t>
      </w:r>
      <w:r>
        <w:rPr/>
        <w:t>their</w:t>
      </w:r>
      <w:r>
        <w:rPr>
          <w:spacing w:val="-8"/>
        </w:rPr>
        <w:t> </w:t>
      </w:r>
      <w:r>
        <w:rPr/>
        <w:t>outcomes</w:t>
      </w:r>
      <w:r>
        <w:rPr>
          <w:spacing w:val="-5"/>
        </w:rPr>
        <w:t> </w:t>
      </w:r>
      <w:r>
        <w:rPr/>
        <w:t>were</w:t>
      </w:r>
      <w:r>
        <w:rPr>
          <w:spacing w:val="-7"/>
        </w:rPr>
        <w:t> </w:t>
      </w:r>
      <w:r>
        <w:rPr/>
        <w:t>limited</w:t>
      </w:r>
      <w:r>
        <w:rPr>
          <w:spacing w:val="-4"/>
        </w:rPr>
        <w:t> </w:t>
      </w:r>
      <w:r>
        <w:rPr/>
        <w:t>to</w:t>
      </w:r>
      <w:r>
        <w:rPr>
          <w:spacing w:val="-4"/>
        </w:rPr>
        <w:t> </w:t>
      </w:r>
      <w:r>
        <w:rPr/>
        <w:t>single-variable perspectives without considering combined interactions. MATLAB simulations and kinetic modelling provide robust frameworks for evaluating the effects of multiple variables simultaneously (Levenspiel, 1999). Recent work has demonstrated the effectiveness of dynamic parameter adjustments and AI-driven approaches</w:t>
      </w:r>
      <w:r>
        <w:rPr>
          <w:spacing w:val="-6"/>
        </w:rPr>
        <w:t> </w:t>
      </w:r>
      <w:r>
        <w:rPr/>
        <w:t>in</w:t>
      </w:r>
      <w:r>
        <w:rPr>
          <w:spacing w:val="-5"/>
        </w:rPr>
        <w:t> </w:t>
      </w:r>
      <w:r>
        <w:rPr/>
        <w:t>achieving</w:t>
      </w:r>
      <w:r>
        <w:rPr>
          <w:spacing w:val="-5"/>
        </w:rPr>
        <w:t> </w:t>
      </w:r>
      <w:r>
        <w:rPr/>
        <w:t>higher</w:t>
      </w:r>
      <w:r>
        <w:rPr>
          <w:spacing w:val="-5"/>
        </w:rPr>
        <w:t> </w:t>
      </w:r>
      <w:r>
        <w:rPr/>
        <w:t>process</w:t>
      </w:r>
      <w:r>
        <w:rPr>
          <w:spacing w:val="-6"/>
        </w:rPr>
        <w:t> </w:t>
      </w:r>
      <w:r>
        <w:rPr/>
        <w:t>efficiency</w:t>
      </w:r>
      <w:r>
        <w:rPr>
          <w:spacing w:val="-9"/>
        </w:rPr>
        <w:t> </w:t>
      </w:r>
      <w:r>
        <w:rPr/>
        <w:t>and</w:t>
      </w:r>
      <w:r>
        <w:rPr>
          <w:spacing w:val="-9"/>
        </w:rPr>
        <w:t> </w:t>
      </w:r>
      <w:r>
        <w:rPr/>
        <w:t>scalability</w:t>
      </w:r>
      <w:r>
        <w:rPr>
          <w:spacing w:val="-9"/>
        </w:rPr>
        <w:t> </w:t>
      </w:r>
      <w:r>
        <w:rPr/>
        <w:t>(Sultan</w:t>
      </w:r>
      <w:r>
        <w:rPr>
          <w:spacing w:val="-9"/>
        </w:rPr>
        <w:t> </w:t>
      </w:r>
      <w:r>
        <w:rPr/>
        <w:t>et</w:t>
      </w:r>
      <w:r>
        <w:rPr>
          <w:spacing w:val="-8"/>
        </w:rPr>
        <w:t> </w:t>
      </w:r>
      <w:r>
        <w:rPr/>
        <w:t>al.,</w:t>
      </w:r>
      <w:r>
        <w:rPr>
          <w:spacing w:val="-7"/>
        </w:rPr>
        <w:t> </w:t>
      </w:r>
      <w:r>
        <w:rPr/>
        <w:t>2024).</w:t>
      </w:r>
      <w:r>
        <w:rPr>
          <w:spacing w:val="-2"/>
        </w:rPr>
        <w:t> </w:t>
      </w:r>
      <w:r>
        <w:rPr/>
        <w:t>In</w:t>
      </w:r>
      <w:r>
        <w:rPr>
          <w:spacing w:val="-5"/>
        </w:rPr>
        <w:t> </w:t>
      </w:r>
      <w:r>
        <w:rPr/>
        <w:t>the</w:t>
      </w:r>
      <w:r>
        <w:rPr>
          <w:spacing w:val="-3"/>
        </w:rPr>
        <w:t> </w:t>
      </w:r>
      <w:r>
        <w:rPr/>
        <w:t>present</w:t>
      </w:r>
      <w:r>
        <w:rPr>
          <w:spacing w:val="-3"/>
        </w:rPr>
        <w:t> </w:t>
      </w:r>
      <w:r>
        <w:rPr/>
        <w:t>study, a computational model will be developed and validated with experimental data to assess the impact of temperature, flow rates, and reactant concentration on reaction kinetics. The results aim to establish improved strategies for reactor operation and contribute to sustainable chemical processing methods.</w:t>
      </w:r>
    </w:p>
    <w:p>
      <w:pPr>
        <w:pStyle w:val="BodyText"/>
        <w:spacing w:line="276" w:lineRule="auto" w:before="120"/>
        <w:ind w:left="198" w:right="48" w:firstLine="340"/>
        <w:jc w:val="both"/>
      </w:pPr>
      <w:r>
        <w:rPr/>
        <w:t>While the saponification reaction in CSTRs is a classical subject,</w:t>
      </w:r>
      <w:r>
        <w:rPr>
          <w:spacing w:val="-1"/>
        </w:rPr>
        <w:t> </w:t>
      </w:r>
      <w:r>
        <w:rPr/>
        <w:t>the novelty of</w:t>
      </w:r>
      <w:r>
        <w:rPr>
          <w:spacing w:val="-3"/>
        </w:rPr>
        <w:t> </w:t>
      </w:r>
      <w:r>
        <w:rPr/>
        <w:t>the present study lies in the integration of pilot-scale experimental data with detailed sensitivity analysis and rigorous error quantification.</w:t>
      </w:r>
      <w:r>
        <w:rPr>
          <w:spacing w:val="-6"/>
        </w:rPr>
        <w:t> </w:t>
      </w:r>
      <w:r>
        <w:rPr/>
        <w:t>This</w:t>
      </w:r>
      <w:r>
        <w:rPr>
          <w:spacing w:val="-10"/>
        </w:rPr>
        <w:t> </w:t>
      </w:r>
      <w:r>
        <w:rPr/>
        <w:t>approach</w:t>
      </w:r>
      <w:r>
        <w:rPr>
          <w:spacing w:val="-8"/>
        </w:rPr>
        <w:t> </w:t>
      </w:r>
      <w:r>
        <w:rPr/>
        <w:t>extends</w:t>
      </w:r>
      <w:r>
        <w:rPr>
          <w:spacing w:val="-5"/>
        </w:rPr>
        <w:t> </w:t>
      </w:r>
      <w:r>
        <w:rPr/>
        <w:t>beyond</w:t>
      </w:r>
      <w:r>
        <w:rPr>
          <w:spacing w:val="-8"/>
        </w:rPr>
        <w:t> </w:t>
      </w:r>
      <w:r>
        <w:rPr/>
        <w:t>the</w:t>
      </w:r>
      <w:r>
        <w:rPr>
          <w:spacing w:val="-7"/>
        </w:rPr>
        <w:t> </w:t>
      </w:r>
      <w:r>
        <w:rPr/>
        <w:t>scope</w:t>
      </w:r>
      <w:r>
        <w:rPr>
          <w:spacing w:val="-2"/>
        </w:rPr>
        <w:t> </w:t>
      </w:r>
      <w:r>
        <w:rPr/>
        <w:t>of</w:t>
      </w:r>
      <w:r>
        <w:rPr>
          <w:spacing w:val="-8"/>
        </w:rPr>
        <w:t> </w:t>
      </w:r>
      <w:r>
        <w:rPr/>
        <w:t>earlier</w:t>
      </w:r>
      <w:r>
        <w:rPr>
          <w:spacing w:val="-4"/>
        </w:rPr>
        <w:t> </w:t>
      </w:r>
      <w:r>
        <w:rPr/>
        <w:t>works,</w:t>
      </w:r>
      <w:r>
        <w:rPr>
          <w:spacing w:val="-1"/>
        </w:rPr>
        <w:t> </w:t>
      </w:r>
      <w:r>
        <w:rPr/>
        <w:t>which</w:t>
      </w:r>
      <w:r>
        <w:rPr>
          <w:spacing w:val="-8"/>
        </w:rPr>
        <w:t> </w:t>
      </w:r>
      <w:r>
        <w:rPr/>
        <w:t>often</w:t>
      </w:r>
      <w:r>
        <w:rPr>
          <w:spacing w:val="-8"/>
        </w:rPr>
        <w:t> </w:t>
      </w:r>
      <w:r>
        <w:rPr/>
        <w:t>relied</w:t>
      </w:r>
      <w:r>
        <w:rPr>
          <w:spacing w:val="-8"/>
        </w:rPr>
        <w:t> </w:t>
      </w:r>
      <w:r>
        <w:rPr/>
        <w:t>on</w:t>
      </w:r>
      <w:r>
        <w:rPr>
          <w:spacing w:val="-4"/>
        </w:rPr>
        <w:t> </w:t>
      </w:r>
      <w:r>
        <w:rPr/>
        <w:t>bench-scale studies or purely theoretical modelling, thereby providing both practical engineering insight and methodological innovation</w:t>
      </w:r>
    </w:p>
    <w:p>
      <w:pPr>
        <w:pStyle w:val="BodyText"/>
        <w:spacing w:before="137"/>
      </w:pPr>
    </w:p>
    <w:p>
      <w:pPr>
        <w:pStyle w:val="Heading1"/>
        <w:numPr>
          <w:ilvl w:val="0"/>
          <w:numId w:val="1"/>
        </w:numPr>
        <w:tabs>
          <w:tab w:pos="625" w:val="left" w:leader="none"/>
        </w:tabs>
        <w:spacing w:line="240" w:lineRule="auto" w:before="0" w:after="0"/>
        <w:ind w:left="625" w:right="0" w:hanging="427"/>
        <w:jc w:val="both"/>
      </w:pPr>
      <w:bookmarkStart w:name="2. METHODOLOGY" w:id="2"/>
      <w:bookmarkEnd w:id="2"/>
      <w:r>
        <w:rPr>
          <w:b w:val="0"/>
        </w:rPr>
      </w:r>
      <w:r>
        <w:rPr>
          <w:spacing w:val="-2"/>
        </w:rPr>
        <w:t>METHODOLOGY</w:t>
      </w:r>
    </w:p>
    <w:p>
      <w:pPr>
        <w:pStyle w:val="BodyText"/>
        <w:spacing w:before="15"/>
        <w:rPr>
          <w:b/>
        </w:rPr>
      </w:pPr>
    </w:p>
    <w:p>
      <w:pPr>
        <w:pStyle w:val="Heading2"/>
        <w:numPr>
          <w:ilvl w:val="1"/>
          <w:numId w:val="1"/>
        </w:numPr>
        <w:tabs>
          <w:tab w:pos="624" w:val="left" w:leader="none"/>
        </w:tabs>
        <w:spacing w:line="240" w:lineRule="auto" w:before="0" w:after="0"/>
        <w:ind w:left="624" w:right="0" w:hanging="426"/>
        <w:jc w:val="both"/>
      </w:pPr>
      <w:bookmarkStart w:name="2.1 Overview" w:id="3"/>
      <w:bookmarkEnd w:id="3"/>
      <w:r>
        <w:rPr>
          <w:b w:val="0"/>
        </w:rPr>
      </w:r>
      <w:r>
        <w:rPr>
          <w:spacing w:val="-2"/>
        </w:rPr>
        <w:t>Overview</w:t>
      </w:r>
    </w:p>
    <w:p>
      <w:pPr>
        <w:pStyle w:val="BodyText"/>
        <w:spacing w:line="276" w:lineRule="auto" w:before="121"/>
        <w:ind w:left="197" w:right="50" w:firstLine="340"/>
        <w:jc w:val="both"/>
        <w:rPr>
          <w:b/>
        </w:rPr>
      </w:pPr>
      <w:r>
        <w:rPr/>
        <w:t>This study investigated</w:t>
      </w:r>
      <w:r>
        <w:rPr>
          <w:spacing w:val="-3"/>
        </w:rPr>
        <w:t> </w:t>
      </w:r>
      <w:r>
        <w:rPr/>
        <w:t>the sensitivity of reaction kinetics in</w:t>
      </w:r>
      <w:r>
        <w:rPr>
          <w:spacing w:val="-4"/>
        </w:rPr>
        <w:t> </w:t>
      </w:r>
      <w:r>
        <w:rPr/>
        <w:t>a continuous stirred tank reactor (CSTR) using</w:t>
      </w:r>
      <w:r>
        <w:rPr>
          <w:spacing w:val="-5"/>
        </w:rPr>
        <w:t> </w:t>
      </w:r>
      <w:r>
        <w:rPr/>
        <w:t>MATLAB,</w:t>
      </w:r>
      <w:r>
        <w:rPr>
          <w:spacing w:val="-2"/>
        </w:rPr>
        <w:t> </w:t>
      </w:r>
      <w:r>
        <w:rPr/>
        <w:t>focusing</w:t>
      </w:r>
      <w:r>
        <w:rPr>
          <w:spacing w:val="-5"/>
        </w:rPr>
        <w:t> </w:t>
      </w:r>
      <w:r>
        <w:rPr/>
        <w:t>on</w:t>
      </w:r>
      <w:r>
        <w:rPr>
          <w:spacing w:val="-5"/>
        </w:rPr>
        <w:t> </w:t>
      </w:r>
      <w:r>
        <w:rPr/>
        <w:t>the</w:t>
      </w:r>
      <w:r>
        <w:rPr>
          <w:spacing w:val="-3"/>
        </w:rPr>
        <w:t> </w:t>
      </w:r>
      <w:r>
        <w:rPr/>
        <w:t>saponification</w:t>
      </w:r>
      <w:r>
        <w:rPr>
          <w:spacing w:val="-5"/>
        </w:rPr>
        <w:t> </w:t>
      </w:r>
      <w:r>
        <w:rPr/>
        <w:t>of</w:t>
      </w:r>
      <w:r>
        <w:rPr>
          <w:spacing w:val="-8"/>
        </w:rPr>
        <w:t> </w:t>
      </w:r>
      <w:r>
        <w:rPr/>
        <w:t>ethyl</w:t>
      </w:r>
      <w:r>
        <w:rPr>
          <w:spacing w:val="-7"/>
        </w:rPr>
        <w:t> </w:t>
      </w:r>
      <w:r>
        <w:rPr/>
        <w:t>acetate</w:t>
      </w:r>
      <w:r>
        <w:rPr>
          <w:spacing w:val="-7"/>
        </w:rPr>
        <w:t> </w:t>
      </w:r>
      <w:r>
        <w:rPr/>
        <w:t>with</w:t>
      </w:r>
      <w:r>
        <w:rPr>
          <w:spacing w:val="-8"/>
        </w:rPr>
        <w:t> </w:t>
      </w:r>
      <w:r>
        <w:rPr/>
        <w:t>sodium</w:t>
      </w:r>
      <w:r>
        <w:rPr>
          <w:spacing w:val="-3"/>
        </w:rPr>
        <w:t> </w:t>
      </w:r>
      <w:r>
        <w:rPr/>
        <w:t>hydroxide.</w:t>
      </w:r>
      <w:r>
        <w:rPr>
          <w:spacing w:val="-2"/>
        </w:rPr>
        <w:t> </w:t>
      </w:r>
      <w:r>
        <w:rPr/>
        <w:t>The</w:t>
      </w:r>
      <w:r>
        <w:rPr>
          <w:spacing w:val="-7"/>
        </w:rPr>
        <w:t> </w:t>
      </w:r>
      <w:r>
        <w:rPr/>
        <w:t>methodology involved</w:t>
      </w:r>
      <w:r>
        <w:rPr>
          <w:spacing w:val="-9"/>
        </w:rPr>
        <w:t> </w:t>
      </w:r>
      <w:r>
        <w:rPr/>
        <w:t>process</w:t>
      </w:r>
      <w:r>
        <w:rPr>
          <w:spacing w:val="-11"/>
        </w:rPr>
        <w:t> </w:t>
      </w:r>
      <w:r>
        <w:rPr/>
        <w:t>modelling,</w:t>
      </w:r>
      <w:r>
        <w:rPr>
          <w:spacing w:val="-7"/>
        </w:rPr>
        <w:t> </w:t>
      </w:r>
      <w:r>
        <w:rPr/>
        <w:t>mathematical</w:t>
      </w:r>
      <w:r>
        <w:rPr>
          <w:spacing w:val="-13"/>
        </w:rPr>
        <w:t> </w:t>
      </w:r>
      <w:r>
        <w:rPr/>
        <w:t>model</w:t>
      </w:r>
      <w:r>
        <w:rPr>
          <w:spacing w:val="-7"/>
        </w:rPr>
        <w:t> </w:t>
      </w:r>
      <w:r>
        <w:rPr/>
        <w:t>selection,</w:t>
      </w:r>
      <w:r>
        <w:rPr>
          <w:spacing w:val="-12"/>
        </w:rPr>
        <w:t> </w:t>
      </w:r>
      <w:r>
        <w:rPr/>
        <w:t>model</w:t>
      </w:r>
      <w:r>
        <w:rPr>
          <w:spacing w:val="-8"/>
        </w:rPr>
        <w:t> </w:t>
      </w:r>
      <w:r>
        <w:rPr/>
        <w:t>implementation</w:t>
      </w:r>
      <w:r>
        <w:rPr>
          <w:spacing w:val="-13"/>
        </w:rPr>
        <w:t> </w:t>
      </w:r>
      <w:r>
        <w:rPr/>
        <w:t>using</w:t>
      </w:r>
      <w:r>
        <w:rPr>
          <w:spacing w:val="-8"/>
        </w:rPr>
        <w:t> </w:t>
      </w:r>
      <w:r>
        <w:rPr/>
        <w:t>MATLAB</w:t>
      </w:r>
      <w:r>
        <w:rPr>
          <w:spacing w:val="-9"/>
        </w:rPr>
        <w:t> </w:t>
      </w:r>
      <w:r>
        <w:rPr/>
        <w:t>ode45, simulation CSTR dynamics, sensitivity analysis, and experimental validation with optimisation (Fig.1). Sensitivity analysis evaluated the effects of main parameters of temperature, reactant concentrations, and flowrate on reactor performance</w:t>
      </w:r>
      <w:r>
        <w:rPr>
          <w:b/>
        </w:rPr>
        <w:t>.</w:t>
      </w:r>
    </w:p>
    <w:p>
      <w:pPr>
        <w:pStyle w:val="BodyText"/>
        <w:spacing w:after="0" w:line="276" w:lineRule="auto"/>
        <w:jc w:val="both"/>
        <w:rPr>
          <w:b/>
        </w:rPr>
        <w:sectPr>
          <w:pgSz w:w="10890" w:h="14860"/>
          <w:pgMar w:header="1010" w:footer="1649" w:top="1320" w:bottom="1840" w:left="992" w:right="1133"/>
        </w:sectPr>
      </w:pPr>
    </w:p>
    <w:p>
      <w:pPr>
        <w:pStyle w:val="BodyText"/>
        <w:spacing w:before="9"/>
        <w:rPr>
          <w:b/>
          <w:sz w:val="11"/>
        </w:rPr>
      </w:pPr>
      <w:r>
        <w:rPr>
          <w:b/>
          <w:sz w:val="11"/>
        </w:rPr>
        <mc:AlternateContent>
          <mc:Choice Requires="wps">
            <w:drawing>
              <wp:anchor distT="0" distB="0" distL="0" distR="0" allowOverlap="1" layoutInCell="1" locked="0" behindDoc="0" simplePos="0" relativeHeight="15737344">
                <wp:simplePos x="0" y="0"/>
                <wp:positionH relativeFrom="page">
                  <wp:posOffset>1618291</wp:posOffset>
                </wp:positionH>
                <wp:positionV relativeFrom="page">
                  <wp:posOffset>2163781</wp:posOffset>
                </wp:positionV>
                <wp:extent cx="76200" cy="2095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76200" cy="209550"/>
                          <a:chExt cx="76200" cy="209550"/>
                        </a:xfrm>
                      </wpg:grpSpPr>
                      <wps:wsp>
                        <wps:cNvPr id="20" name="Graphic 20"/>
                        <wps:cNvSpPr/>
                        <wps:spPr>
                          <a:xfrm>
                            <a:off x="38096" y="0"/>
                            <a:ext cx="1270" cy="146050"/>
                          </a:xfrm>
                          <a:custGeom>
                            <a:avLst/>
                            <a:gdLst/>
                            <a:ahLst/>
                            <a:cxnLst/>
                            <a:rect l="l" t="t" r="r" b="b"/>
                            <a:pathLst>
                              <a:path w="0" h="146050">
                                <a:moveTo>
                                  <a:pt x="0" y="0"/>
                                </a:moveTo>
                                <a:lnTo>
                                  <a:pt x="0" y="146050"/>
                                </a:lnTo>
                              </a:path>
                            </a:pathLst>
                          </a:custGeom>
                          <a:ln w="6350">
                            <a:solidFill>
                              <a:srgbClr val="000000"/>
                            </a:solidFill>
                            <a:prstDash val="solid"/>
                          </a:ln>
                        </wps:spPr>
                        <wps:bodyPr wrap="square" lIns="0" tIns="0" rIns="0" bIns="0" rtlCol="0">
                          <a:prstTxWarp prst="textNoShape">
                            <a:avLst/>
                          </a:prstTxWarp>
                          <a:noAutofit/>
                        </wps:bodyPr>
                      </wps:wsp>
                      <wps:wsp>
                        <wps:cNvPr id="21" name="Graphic 21"/>
                        <wps:cNvSpPr/>
                        <wps:spPr>
                          <a:xfrm>
                            <a:off x="0" y="133352"/>
                            <a:ext cx="76200" cy="76200"/>
                          </a:xfrm>
                          <a:custGeom>
                            <a:avLst/>
                            <a:gdLst/>
                            <a:ahLst/>
                            <a:cxnLst/>
                            <a:rect l="l" t="t" r="r" b="b"/>
                            <a:pathLst>
                              <a:path w="76200" h="76200">
                                <a:moveTo>
                                  <a:pt x="76200" y="0"/>
                                </a:moveTo>
                                <a:lnTo>
                                  <a:pt x="0" y="0"/>
                                </a:lnTo>
                                <a:lnTo>
                                  <a:pt x="38100" y="76200"/>
                                </a:lnTo>
                                <a:lnTo>
                                  <a:pt x="762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7.4245pt;margin-top:170.376495pt;width:6pt;height:16.5pt;mso-position-horizontal-relative:page;mso-position-vertical-relative:page;z-index:15737344" id="docshapegroup18" coordorigin="2548,3408" coordsize="120,330">
                <v:line style="position:absolute" from="2608,3408" to="2608,3638" stroked="true" strokeweight=".5pt" strokecolor="#000000">
                  <v:stroke dashstyle="solid"/>
                </v:line>
                <v:shape style="position:absolute;left:2548;top:3617;width:120;height:120" id="docshape19" coordorigin="2548,3618" coordsize="120,120" path="m2668,3618l2548,3618,2608,3738,2668,3618xe" filled="true" fillcolor="#000000" stroked="false">
                  <v:path arrowok="t"/>
                  <v:fill type="solid"/>
                </v:shape>
                <w10:wrap type="none"/>
              </v:group>
            </w:pict>
          </mc:Fallback>
        </mc:AlternateContent>
      </w:r>
      <w:r>
        <w:rPr>
          <w:b/>
          <w:sz w:val="11"/>
        </w:rPr>
        <mc:AlternateContent>
          <mc:Choice Requires="wps">
            <w:drawing>
              <wp:anchor distT="0" distB="0" distL="0" distR="0" allowOverlap="1" layoutInCell="1" locked="0" behindDoc="0" simplePos="0" relativeHeight="15738368">
                <wp:simplePos x="0" y="0"/>
                <wp:positionH relativeFrom="page">
                  <wp:posOffset>858710</wp:posOffset>
                </wp:positionH>
                <wp:positionV relativeFrom="page">
                  <wp:posOffset>1400022</wp:posOffset>
                </wp:positionV>
                <wp:extent cx="1581150" cy="2451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81150" cy="245110"/>
                        </a:xfrm>
                        <a:prstGeom prst="rect">
                          <a:avLst/>
                        </a:prstGeom>
                        <a:ln w="12700">
                          <a:solidFill>
                            <a:srgbClr val="162C51"/>
                          </a:solidFill>
                          <a:prstDash val="solid"/>
                        </a:ln>
                      </wps:spPr>
                      <wps:txbx>
                        <w:txbxContent>
                          <w:p>
                            <w:pPr>
                              <w:spacing w:before="69"/>
                              <w:ind w:left="250" w:right="0" w:firstLine="0"/>
                              <w:jc w:val="left"/>
                              <w:rPr>
                                <w:sz w:val="16"/>
                              </w:rPr>
                            </w:pPr>
                            <w:r>
                              <w:rPr>
                                <w:sz w:val="16"/>
                              </w:rPr>
                              <w:t>Mathematical</w:t>
                            </w:r>
                            <w:r>
                              <w:rPr>
                                <w:spacing w:val="-7"/>
                                <w:sz w:val="16"/>
                              </w:rPr>
                              <w:t> </w:t>
                            </w:r>
                            <w:r>
                              <w:rPr>
                                <w:sz w:val="16"/>
                              </w:rPr>
                              <w:t>Model</w:t>
                            </w:r>
                            <w:r>
                              <w:rPr>
                                <w:spacing w:val="-6"/>
                                <w:sz w:val="16"/>
                              </w:rPr>
                              <w:t> </w:t>
                            </w:r>
                            <w:r>
                              <w:rPr>
                                <w:spacing w:val="-2"/>
                                <w:sz w:val="16"/>
                              </w:rPr>
                              <w:t>Selection</w:t>
                            </w:r>
                          </w:p>
                        </w:txbxContent>
                      </wps:txbx>
                      <wps:bodyPr wrap="square" lIns="0" tIns="0" rIns="0" bIns="0" rtlCol="0">
                        <a:noAutofit/>
                      </wps:bodyPr>
                    </wps:wsp>
                  </a:graphicData>
                </a:graphic>
              </wp:anchor>
            </w:drawing>
          </mc:Choice>
          <mc:Fallback>
            <w:pict>
              <v:shape style="position:absolute;margin-left:67.614998pt;margin-top:110.237991pt;width:124.5pt;height:19.3pt;mso-position-horizontal-relative:page;mso-position-vertical-relative:page;z-index:15738368" type="#_x0000_t202" id="docshape20" filled="false" stroked="true" strokeweight="1pt" strokecolor="#162c51">
                <v:textbox inset="0,0,0,0">
                  <w:txbxContent>
                    <w:p>
                      <w:pPr>
                        <w:spacing w:before="69"/>
                        <w:ind w:left="250" w:right="0" w:firstLine="0"/>
                        <w:jc w:val="left"/>
                        <w:rPr>
                          <w:sz w:val="16"/>
                        </w:rPr>
                      </w:pPr>
                      <w:r>
                        <w:rPr>
                          <w:sz w:val="16"/>
                        </w:rPr>
                        <w:t>Mathematical</w:t>
                      </w:r>
                      <w:r>
                        <w:rPr>
                          <w:spacing w:val="-7"/>
                          <w:sz w:val="16"/>
                        </w:rPr>
                        <w:t> </w:t>
                      </w:r>
                      <w:r>
                        <w:rPr>
                          <w:sz w:val="16"/>
                        </w:rPr>
                        <w:t>Model</w:t>
                      </w:r>
                      <w:r>
                        <w:rPr>
                          <w:spacing w:val="-6"/>
                          <w:sz w:val="16"/>
                        </w:rPr>
                        <w:t> </w:t>
                      </w:r>
                      <w:r>
                        <w:rPr>
                          <w:spacing w:val="-2"/>
                          <w:sz w:val="16"/>
                        </w:rPr>
                        <w:t>Selection</w:t>
                      </w:r>
                    </w:p>
                  </w:txbxContent>
                </v:textbox>
                <v:stroke dashstyle="solid"/>
                <w10:wrap type="none"/>
              </v:shape>
            </w:pict>
          </mc:Fallback>
        </mc:AlternateContent>
      </w:r>
    </w:p>
    <w:p>
      <w:pPr>
        <w:spacing w:line="240" w:lineRule="auto"/>
        <w:ind w:left="650" w:right="0" w:firstLine="0"/>
        <w:rPr>
          <w:sz w:val="20"/>
        </w:rPr>
      </w:pPr>
      <w:r>
        <w:rPr>
          <w:sz w:val="20"/>
        </w:rPr>
        <mc:AlternateContent>
          <mc:Choice Requires="wps">
            <w:drawing>
              <wp:inline distT="0" distB="0" distL="0" distR="0">
                <wp:extent cx="1209675" cy="212725"/>
                <wp:effectExtent l="9525" t="0" r="0" b="6350"/>
                <wp:docPr id="23" name="Textbox 23"/>
                <wp:cNvGraphicFramePr>
                  <a:graphicFrameLocks/>
                </wp:cNvGraphicFramePr>
                <a:graphic>
                  <a:graphicData uri="http://schemas.microsoft.com/office/word/2010/wordprocessingShape">
                    <wps:wsp>
                      <wps:cNvPr id="23" name="Textbox 23"/>
                      <wps:cNvSpPr txBox="1"/>
                      <wps:spPr>
                        <a:xfrm>
                          <a:off x="0" y="0"/>
                          <a:ext cx="1209675" cy="212725"/>
                        </a:xfrm>
                        <a:prstGeom prst="rect">
                          <a:avLst/>
                        </a:prstGeom>
                        <a:ln w="12700">
                          <a:solidFill>
                            <a:srgbClr val="162C51"/>
                          </a:solidFill>
                          <a:prstDash val="solid"/>
                        </a:ln>
                      </wps:spPr>
                      <wps:txbx>
                        <w:txbxContent>
                          <w:p>
                            <w:pPr>
                              <w:spacing w:before="72"/>
                              <w:ind w:left="377" w:right="0" w:firstLine="0"/>
                              <w:jc w:val="left"/>
                              <w:rPr>
                                <w:sz w:val="16"/>
                              </w:rPr>
                            </w:pPr>
                            <w:r>
                              <w:rPr>
                                <w:sz w:val="16"/>
                              </w:rPr>
                              <w:t>Process</w:t>
                            </w:r>
                            <w:r>
                              <w:rPr>
                                <w:spacing w:val="-4"/>
                                <w:sz w:val="16"/>
                              </w:rPr>
                              <w:t> </w:t>
                            </w:r>
                            <w:r>
                              <w:rPr>
                                <w:spacing w:val="-2"/>
                                <w:sz w:val="16"/>
                              </w:rPr>
                              <w:t>Selection</w:t>
                            </w:r>
                          </w:p>
                        </w:txbxContent>
                      </wps:txbx>
                      <wps:bodyPr wrap="square" lIns="0" tIns="0" rIns="0" bIns="0" rtlCol="0">
                        <a:noAutofit/>
                      </wps:bodyPr>
                    </wps:wsp>
                  </a:graphicData>
                </a:graphic>
              </wp:inline>
            </w:drawing>
          </mc:Choice>
          <mc:Fallback>
            <w:pict>
              <v:shape style="width:95.25pt;height:16.75pt;mso-position-horizontal-relative:char;mso-position-vertical-relative:line" type="#_x0000_t202" id="docshape21" filled="false" stroked="true" strokeweight="1pt" strokecolor="#162c51">
                <w10:anchorlock/>
                <v:textbox inset="0,0,0,0">
                  <w:txbxContent>
                    <w:p>
                      <w:pPr>
                        <w:spacing w:before="72"/>
                        <w:ind w:left="377" w:right="0" w:firstLine="0"/>
                        <w:jc w:val="left"/>
                        <w:rPr>
                          <w:sz w:val="16"/>
                        </w:rPr>
                      </w:pPr>
                      <w:r>
                        <w:rPr>
                          <w:sz w:val="16"/>
                        </w:rPr>
                        <w:t>Process</w:t>
                      </w:r>
                      <w:r>
                        <w:rPr>
                          <w:spacing w:val="-4"/>
                          <w:sz w:val="16"/>
                        </w:rPr>
                        <w:t> </w:t>
                      </w:r>
                      <w:r>
                        <w:rPr>
                          <w:spacing w:val="-2"/>
                          <w:sz w:val="16"/>
                        </w:rPr>
                        <w:t>Selection</w:t>
                      </w:r>
                    </w:p>
                  </w:txbxContent>
                </v:textbox>
                <v:stroke dashstyle="solid"/>
              </v:shape>
            </w:pict>
          </mc:Fallback>
        </mc:AlternateContent>
      </w:r>
      <w:r>
        <w:rPr>
          <w:sz w:val="20"/>
        </w:rPr>
      </w:r>
    </w:p>
    <w:p>
      <w:pPr>
        <w:spacing w:line="240" w:lineRule="auto"/>
        <w:ind w:left="1545" w:right="0" w:firstLine="0"/>
        <w:rPr>
          <w:sz w:val="20"/>
        </w:rPr>
      </w:pPr>
      <w:r>
        <w:rPr>
          <w:sz w:val="20"/>
        </w:rPr>
        <mc:AlternateContent>
          <mc:Choice Requires="wps">
            <w:drawing>
              <wp:inline distT="0" distB="0" distL="0" distR="0">
                <wp:extent cx="76200" cy="209550"/>
                <wp:effectExtent l="0" t="0" r="0" b="9525"/>
                <wp:docPr id="24" name="Group 24"/>
                <wp:cNvGraphicFramePr>
                  <a:graphicFrameLocks/>
                </wp:cNvGraphicFramePr>
                <a:graphic>
                  <a:graphicData uri="http://schemas.microsoft.com/office/word/2010/wordprocessingGroup">
                    <wpg:wgp>
                      <wpg:cNvPr id="24" name="Group 24"/>
                      <wpg:cNvGrpSpPr/>
                      <wpg:grpSpPr>
                        <a:xfrm>
                          <a:off x="0" y="0"/>
                          <a:ext cx="76200" cy="209550"/>
                          <a:chExt cx="76200" cy="209550"/>
                        </a:xfrm>
                      </wpg:grpSpPr>
                      <wps:wsp>
                        <wps:cNvPr id="25" name="Graphic 25"/>
                        <wps:cNvSpPr/>
                        <wps:spPr>
                          <a:xfrm>
                            <a:off x="38094" y="0"/>
                            <a:ext cx="1270" cy="146050"/>
                          </a:xfrm>
                          <a:custGeom>
                            <a:avLst/>
                            <a:gdLst/>
                            <a:ahLst/>
                            <a:cxnLst/>
                            <a:rect l="l" t="t" r="r" b="b"/>
                            <a:pathLst>
                              <a:path w="0" h="146050">
                                <a:moveTo>
                                  <a:pt x="0" y="0"/>
                                </a:moveTo>
                                <a:lnTo>
                                  <a:pt x="0" y="146050"/>
                                </a:lnTo>
                              </a:path>
                            </a:pathLst>
                          </a:custGeom>
                          <a:ln w="6350">
                            <a:solidFill>
                              <a:srgbClr val="000000"/>
                            </a:solidFill>
                            <a:prstDash val="solid"/>
                          </a:ln>
                        </wps:spPr>
                        <wps:bodyPr wrap="square" lIns="0" tIns="0" rIns="0" bIns="0" rtlCol="0">
                          <a:prstTxWarp prst="textNoShape">
                            <a:avLst/>
                          </a:prstTxWarp>
                          <a:noAutofit/>
                        </wps:bodyPr>
                      </wps:wsp>
                      <wps:wsp>
                        <wps:cNvPr id="26" name="Graphic 26"/>
                        <wps:cNvSpPr/>
                        <wps:spPr>
                          <a:xfrm>
                            <a:off x="0" y="133352"/>
                            <a:ext cx="76200" cy="76200"/>
                          </a:xfrm>
                          <a:custGeom>
                            <a:avLst/>
                            <a:gdLst/>
                            <a:ahLst/>
                            <a:cxnLst/>
                            <a:rect l="l" t="t" r="r" b="b"/>
                            <a:pathLst>
                              <a:path w="76200" h="76200">
                                <a:moveTo>
                                  <a:pt x="76200" y="0"/>
                                </a:moveTo>
                                <a:lnTo>
                                  <a:pt x="0" y="0"/>
                                </a:lnTo>
                                <a:lnTo>
                                  <a:pt x="38100" y="76200"/>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16.5pt;mso-position-horizontal-relative:char;mso-position-vertical-relative:line" id="docshapegroup22" coordorigin="0,0" coordsize="120,330">
                <v:line style="position:absolute" from="60,0" to="60,230" stroked="true" strokeweight=".5pt" strokecolor="#000000">
                  <v:stroke dashstyle="solid"/>
                </v:line>
                <v:shape style="position:absolute;left:0;top:210;width:120;height:120" id="docshape23" coordorigin="0,210" coordsize="120,120" path="m120,210l0,210,60,330,120,210xe" filled="true" fillcolor="#000000" stroked="false">
                  <v:path arrowok="t"/>
                  <v:fill type="solid"/>
                </v:shape>
              </v:group>
            </w:pict>
          </mc:Fallback>
        </mc:AlternateContent>
      </w:r>
      <w:r>
        <w:rPr>
          <w:sz w:val="20"/>
        </w:rPr>
      </w:r>
    </w:p>
    <w:p>
      <w:pPr>
        <w:pStyle w:val="BodyText"/>
        <w:spacing w:before="144"/>
        <w:rPr>
          <w:b/>
        </w:rPr>
      </w:pPr>
      <w:r>
        <w:rPr>
          <w:b/>
        </w:rPr>
        <mc:AlternateContent>
          <mc:Choice Requires="wps">
            <w:drawing>
              <wp:anchor distT="0" distB="0" distL="0" distR="0" allowOverlap="1" layoutInCell="1" locked="0" behindDoc="1" simplePos="0" relativeHeight="487592448">
                <wp:simplePos x="0" y="0"/>
                <wp:positionH relativeFrom="page">
                  <wp:posOffset>1610037</wp:posOffset>
                </wp:positionH>
                <wp:positionV relativeFrom="paragraph">
                  <wp:posOffset>256066</wp:posOffset>
                </wp:positionV>
                <wp:extent cx="76200" cy="20955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76200" cy="209550"/>
                          <a:chExt cx="76200" cy="209550"/>
                        </a:xfrm>
                      </wpg:grpSpPr>
                      <wps:wsp>
                        <wps:cNvPr id="28" name="Graphic 28"/>
                        <wps:cNvSpPr/>
                        <wps:spPr>
                          <a:xfrm>
                            <a:off x="38096" y="0"/>
                            <a:ext cx="1270" cy="146050"/>
                          </a:xfrm>
                          <a:custGeom>
                            <a:avLst/>
                            <a:gdLst/>
                            <a:ahLst/>
                            <a:cxnLst/>
                            <a:rect l="l" t="t" r="r" b="b"/>
                            <a:pathLst>
                              <a:path w="0" h="146050">
                                <a:moveTo>
                                  <a:pt x="0" y="0"/>
                                </a:moveTo>
                                <a:lnTo>
                                  <a:pt x="0" y="146050"/>
                                </a:lnTo>
                              </a:path>
                            </a:pathLst>
                          </a:custGeom>
                          <a:ln w="6350">
                            <a:solidFill>
                              <a:srgbClr val="000000"/>
                            </a:solidFill>
                            <a:prstDash val="solid"/>
                          </a:ln>
                        </wps:spPr>
                        <wps:bodyPr wrap="square" lIns="0" tIns="0" rIns="0" bIns="0" rtlCol="0">
                          <a:prstTxWarp prst="textNoShape">
                            <a:avLst/>
                          </a:prstTxWarp>
                          <a:noAutofit/>
                        </wps:bodyPr>
                      </wps:wsp>
                      <wps:wsp>
                        <wps:cNvPr id="29" name="Graphic 29"/>
                        <wps:cNvSpPr/>
                        <wps:spPr>
                          <a:xfrm>
                            <a:off x="0" y="133352"/>
                            <a:ext cx="76200" cy="76200"/>
                          </a:xfrm>
                          <a:custGeom>
                            <a:avLst/>
                            <a:gdLst/>
                            <a:ahLst/>
                            <a:cxnLst/>
                            <a:rect l="l" t="t" r="r" b="b"/>
                            <a:pathLst>
                              <a:path w="76200" h="76200">
                                <a:moveTo>
                                  <a:pt x="76200" y="0"/>
                                </a:moveTo>
                                <a:lnTo>
                                  <a:pt x="0" y="0"/>
                                </a:lnTo>
                                <a:lnTo>
                                  <a:pt x="38100" y="76200"/>
                                </a:lnTo>
                                <a:lnTo>
                                  <a:pt x="762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6.774597pt;margin-top:20.162701pt;width:6pt;height:16.5pt;mso-position-horizontal-relative:page;mso-position-vertical-relative:paragraph;z-index:-15724032;mso-wrap-distance-left:0;mso-wrap-distance-right:0" id="docshapegroup24" coordorigin="2535,403" coordsize="120,330">
                <v:line style="position:absolute" from="2595,403" to="2595,633" stroked="true" strokeweight=".5pt" strokecolor="#000000">
                  <v:stroke dashstyle="solid"/>
                </v:line>
                <v:shape style="position:absolute;left:2535;top:613;width:120;height:120" id="docshape25" coordorigin="2535,613" coordsize="120,120" path="m2655,613l2535,613,2595,733,2655,613xe" filled="true" fillcolor="#000000" stroked="false">
                  <v:path arrowok="t"/>
                  <v:fill type="solid"/>
                </v:shape>
                <w10:wrap type="topAndBottom"/>
              </v:group>
            </w:pict>
          </mc:Fallback>
        </mc:AlternateContent>
      </w:r>
    </w:p>
    <w:p>
      <w:pPr>
        <w:pStyle w:val="BodyText"/>
        <w:spacing w:before="5"/>
        <w:rPr>
          <w:b/>
          <w:sz w:val="3"/>
        </w:rPr>
      </w:pPr>
    </w:p>
    <w:p>
      <w:pPr>
        <w:spacing w:line="240" w:lineRule="auto"/>
        <w:ind w:left="230" w:right="0" w:firstLine="0"/>
        <w:rPr>
          <w:sz w:val="20"/>
        </w:rPr>
      </w:pPr>
      <w:r>
        <w:rPr>
          <w:sz w:val="20"/>
        </w:rPr>
        <mc:AlternateContent>
          <mc:Choice Requires="wps">
            <w:drawing>
              <wp:inline distT="0" distB="0" distL="0" distR="0">
                <wp:extent cx="1762125" cy="247650"/>
                <wp:effectExtent l="9525" t="0" r="0" b="9525"/>
                <wp:docPr id="30" name="Textbox 30"/>
                <wp:cNvGraphicFramePr>
                  <a:graphicFrameLocks/>
                </wp:cNvGraphicFramePr>
                <a:graphic>
                  <a:graphicData uri="http://schemas.microsoft.com/office/word/2010/wordprocessingShape">
                    <wps:wsp>
                      <wps:cNvPr id="30" name="Textbox 30"/>
                      <wps:cNvSpPr txBox="1"/>
                      <wps:spPr>
                        <a:xfrm>
                          <a:off x="0" y="0"/>
                          <a:ext cx="1762125" cy="247650"/>
                        </a:xfrm>
                        <a:prstGeom prst="rect">
                          <a:avLst/>
                        </a:prstGeom>
                        <a:ln w="12700">
                          <a:solidFill>
                            <a:srgbClr val="162C51"/>
                          </a:solidFill>
                          <a:prstDash val="solid"/>
                        </a:ln>
                      </wps:spPr>
                      <wps:txbx>
                        <w:txbxContent>
                          <w:p>
                            <w:pPr>
                              <w:spacing w:before="71"/>
                              <w:ind w:left="202" w:right="0" w:firstLine="0"/>
                              <w:jc w:val="left"/>
                              <w:rPr>
                                <w:sz w:val="16"/>
                              </w:rPr>
                            </w:pPr>
                            <w:r>
                              <w:rPr>
                                <w:sz w:val="16"/>
                              </w:rPr>
                              <w:t>Model</w:t>
                            </w:r>
                            <w:r>
                              <w:rPr>
                                <w:spacing w:val="-6"/>
                                <w:sz w:val="16"/>
                              </w:rPr>
                              <w:t> </w:t>
                            </w:r>
                            <w:r>
                              <w:rPr>
                                <w:sz w:val="16"/>
                              </w:rPr>
                              <w:t>Implementation</w:t>
                            </w:r>
                            <w:r>
                              <w:rPr>
                                <w:spacing w:val="-2"/>
                                <w:sz w:val="16"/>
                              </w:rPr>
                              <w:t> </w:t>
                            </w:r>
                            <w:r>
                              <w:rPr>
                                <w:sz w:val="16"/>
                              </w:rPr>
                              <w:t>in</w:t>
                            </w:r>
                            <w:r>
                              <w:rPr>
                                <w:spacing w:val="-2"/>
                                <w:sz w:val="16"/>
                              </w:rPr>
                              <w:t> MATLAB</w:t>
                            </w:r>
                          </w:p>
                        </w:txbxContent>
                      </wps:txbx>
                      <wps:bodyPr wrap="square" lIns="0" tIns="0" rIns="0" bIns="0" rtlCol="0">
                        <a:noAutofit/>
                      </wps:bodyPr>
                    </wps:wsp>
                  </a:graphicData>
                </a:graphic>
              </wp:inline>
            </w:drawing>
          </mc:Choice>
          <mc:Fallback>
            <w:pict>
              <v:shape style="width:138.75pt;height:19.5pt;mso-position-horizontal-relative:char;mso-position-vertical-relative:line" type="#_x0000_t202" id="docshape26" filled="false" stroked="true" strokeweight="1pt" strokecolor="#162c51">
                <w10:anchorlock/>
                <v:textbox inset="0,0,0,0">
                  <w:txbxContent>
                    <w:p>
                      <w:pPr>
                        <w:spacing w:before="71"/>
                        <w:ind w:left="202" w:right="0" w:firstLine="0"/>
                        <w:jc w:val="left"/>
                        <w:rPr>
                          <w:sz w:val="16"/>
                        </w:rPr>
                      </w:pPr>
                      <w:r>
                        <w:rPr>
                          <w:sz w:val="16"/>
                        </w:rPr>
                        <w:t>Model</w:t>
                      </w:r>
                      <w:r>
                        <w:rPr>
                          <w:spacing w:val="-6"/>
                          <w:sz w:val="16"/>
                        </w:rPr>
                        <w:t> </w:t>
                      </w:r>
                      <w:r>
                        <w:rPr>
                          <w:sz w:val="16"/>
                        </w:rPr>
                        <w:t>Implementation</w:t>
                      </w:r>
                      <w:r>
                        <w:rPr>
                          <w:spacing w:val="-2"/>
                          <w:sz w:val="16"/>
                        </w:rPr>
                        <w:t> </w:t>
                      </w:r>
                      <w:r>
                        <w:rPr>
                          <w:sz w:val="16"/>
                        </w:rPr>
                        <w:t>in</w:t>
                      </w:r>
                      <w:r>
                        <w:rPr>
                          <w:spacing w:val="-2"/>
                          <w:sz w:val="16"/>
                        </w:rPr>
                        <w:t> MATLAB</w:t>
                      </w:r>
                    </w:p>
                  </w:txbxContent>
                </v:textbox>
                <v:stroke dashstyle="solid"/>
              </v:shape>
            </w:pict>
          </mc:Fallback>
        </mc:AlternateContent>
      </w:r>
      <w:r>
        <w:rPr>
          <w:sz w:val="20"/>
        </w:rPr>
      </w:r>
    </w:p>
    <w:p>
      <w:pPr>
        <w:pStyle w:val="BodyText"/>
        <w:spacing w:before="95"/>
        <w:rPr>
          <w:b/>
        </w:rPr>
      </w:pPr>
      <w:r>
        <w:rPr>
          <w:b/>
        </w:rPr>
        <mc:AlternateContent>
          <mc:Choice Requires="wps">
            <w:drawing>
              <wp:anchor distT="0" distB="0" distL="0" distR="0" allowOverlap="1" layoutInCell="1" locked="0" behindDoc="1" simplePos="0" relativeHeight="487593472">
                <wp:simplePos x="0" y="0"/>
                <wp:positionH relativeFrom="page">
                  <wp:posOffset>878395</wp:posOffset>
                </wp:positionH>
                <wp:positionV relativeFrom="paragraph">
                  <wp:posOffset>228196</wp:posOffset>
                </wp:positionV>
                <wp:extent cx="1561465" cy="24765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1561465" cy="247650"/>
                        </a:xfrm>
                        <a:prstGeom prst="rect">
                          <a:avLst/>
                        </a:prstGeom>
                        <a:ln w="12700">
                          <a:solidFill>
                            <a:srgbClr val="162C51"/>
                          </a:solidFill>
                          <a:prstDash val="solid"/>
                        </a:ln>
                      </wps:spPr>
                      <wps:txbx>
                        <w:txbxContent>
                          <w:p>
                            <w:pPr>
                              <w:spacing w:before="74"/>
                              <w:ind w:left="214" w:right="0" w:firstLine="0"/>
                              <w:jc w:val="left"/>
                              <w:rPr>
                                <w:sz w:val="16"/>
                              </w:rPr>
                            </w:pPr>
                            <w:r>
                              <w:rPr>
                                <w:sz w:val="16"/>
                              </w:rPr>
                              <w:t>Simulation</w:t>
                            </w:r>
                            <w:r>
                              <w:rPr>
                                <w:spacing w:val="-4"/>
                                <w:sz w:val="16"/>
                              </w:rPr>
                              <w:t> </w:t>
                            </w:r>
                            <w:r>
                              <w:rPr>
                                <w:sz w:val="16"/>
                              </w:rPr>
                              <w:t>of</w:t>
                            </w:r>
                            <w:r>
                              <w:rPr>
                                <w:spacing w:val="-5"/>
                                <w:sz w:val="16"/>
                              </w:rPr>
                              <w:t> </w:t>
                            </w:r>
                            <w:r>
                              <w:rPr>
                                <w:sz w:val="16"/>
                              </w:rPr>
                              <w:t>CSTR</w:t>
                            </w:r>
                            <w:r>
                              <w:rPr>
                                <w:spacing w:val="-5"/>
                                <w:sz w:val="16"/>
                              </w:rPr>
                              <w:t> </w:t>
                            </w:r>
                            <w:r>
                              <w:rPr>
                                <w:spacing w:val="-2"/>
                                <w:sz w:val="16"/>
                              </w:rPr>
                              <w:t>Dynamics</w:t>
                            </w:r>
                          </w:p>
                        </w:txbxContent>
                      </wps:txbx>
                      <wps:bodyPr wrap="square" lIns="0" tIns="0" rIns="0" bIns="0" rtlCol="0">
                        <a:noAutofit/>
                      </wps:bodyPr>
                    </wps:wsp>
                  </a:graphicData>
                </a:graphic>
              </wp:anchor>
            </w:drawing>
          </mc:Choice>
          <mc:Fallback>
            <w:pict>
              <v:shape style="position:absolute;margin-left:69.165001pt;margin-top:17.968246pt;width:122.95pt;height:19.5pt;mso-position-horizontal-relative:page;mso-position-vertical-relative:paragraph;z-index:-15723008;mso-wrap-distance-left:0;mso-wrap-distance-right:0" type="#_x0000_t202" id="docshape27" filled="false" stroked="true" strokeweight="1pt" strokecolor="#162c51">
                <v:textbox inset="0,0,0,0">
                  <w:txbxContent>
                    <w:p>
                      <w:pPr>
                        <w:spacing w:before="74"/>
                        <w:ind w:left="214" w:right="0" w:firstLine="0"/>
                        <w:jc w:val="left"/>
                        <w:rPr>
                          <w:sz w:val="16"/>
                        </w:rPr>
                      </w:pPr>
                      <w:r>
                        <w:rPr>
                          <w:sz w:val="16"/>
                        </w:rPr>
                        <w:t>Simulation</w:t>
                      </w:r>
                      <w:r>
                        <w:rPr>
                          <w:spacing w:val="-4"/>
                          <w:sz w:val="16"/>
                        </w:rPr>
                        <w:t> </w:t>
                      </w:r>
                      <w:r>
                        <w:rPr>
                          <w:sz w:val="16"/>
                        </w:rPr>
                        <w:t>of</w:t>
                      </w:r>
                      <w:r>
                        <w:rPr>
                          <w:spacing w:val="-5"/>
                          <w:sz w:val="16"/>
                        </w:rPr>
                        <w:t> </w:t>
                      </w:r>
                      <w:r>
                        <w:rPr>
                          <w:sz w:val="16"/>
                        </w:rPr>
                        <w:t>CSTR</w:t>
                      </w:r>
                      <w:r>
                        <w:rPr>
                          <w:spacing w:val="-5"/>
                          <w:sz w:val="16"/>
                        </w:rPr>
                        <w:t> </w:t>
                      </w:r>
                      <w:r>
                        <w:rPr>
                          <w:spacing w:val="-2"/>
                          <w:sz w:val="16"/>
                        </w:rPr>
                        <w:t>Dynamics</w:t>
                      </w:r>
                    </w:p>
                  </w:txbxContent>
                </v:textbox>
                <v:stroke dashstyle="solid"/>
                <w10:wrap type="topAndBottom"/>
              </v:shape>
            </w:pict>
          </mc:Fallback>
        </mc:AlternateContent>
      </w:r>
    </w:p>
    <w:p>
      <w:pPr>
        <w:spacing w:line="240" w:lineRule="auto"/>
        <w:ind w:left="1557" w:right="0" w:firstLine="0"/>
        <w:rPr>
          <w:sz w:val="20"/>
        </w:rPr>
      </w:pPr>
      <w:r>
        <w:rPr>
          <w:sz w:val="20"/>
        </w:rPr>
        <mc:AlternateContent>
          <mc:Choice Requires="wps">
            <w:drawing>
              <wp:inline distT="0" distB="0" distL="0" distR="0">
                <wp:extent cx="76200" cy="209550"/>
                <wp:effectExtent l="0" t="0" r="0" b="9525"/>
                <wp:docPr id="32" name="Group 32"/>
                <wp:cNvGraphicFramePr>
                  <a:graphicFrameLocks/>
                </wp:cNvGraphicFramePr>
                <a:graphic>
                  <a:graphicData uri="http://schemas.microsoft.com/office/word/2010/wordprocessingGroup">
                    <wpg:wgp>
                      <wpg:cNvPr id="32" name="Group 32"/>
                      <wpg:cNvGrpSpPr/>
                      <wpg:grpSpPr>
                        <a:xfrm>
                          <a:off x="0" y="0"/>
                          <a:ext cx="76200" cy="209550"/>
                          <a:chExt cx="76200" cy="209550"/>
                        </a:xfrm>
                      </wpg:grpSpPr>
                      <wps:wsp>
                        <wps:cNvPr id="33" name="Graphic 33"/>
                        <wps:cNvSpPr/>
                        <wps:spPr>
                          <a:xfrm>
                            <a:off x="38096" y="0"/>
                            <a:ext cx="1270" cy="146050"/>
                          </a:xfrm>
                          <a:custGeom>
                            <a:avLst/>
                            <a:gdLst/>
                            <a:ahLst/>
                            <a:cxnLst/>
                            <a:rect l="l" t="t" r="r" b="b"/>
                            <a:pathLst>
                              <a:path w="0" h="146050">
                                <a:moveTo>
                                  <a:pt x="0" y="0"/>
                                </a:moveTo>
                                <a:lnTo>
                                  <a:pt x="0" y="146050"/>
                                </a:lnTo>
                              </a:path>
                            </a:pathLst>
                          </a:custGeom>
                          <a:ln w="6350">
                            <a:solidFill>
                              <a:srgbClr val="000000"/>
                            </a:solidFill>
                            <a:prstDash val="solid"/>
                          </a:ln>
                        </wps:spPr>
                        <wps:bodyPr wrap="square" lIns="0" tIns="0" rIns="0" bIns="0" rtlCol="0">
                          <a:prstTxWarp prst="textNoShape">
                            <a:avLst/>
                          </a:prstTxWarp>
                          <a:noAutofit/>
                        </wps:bodyPr>
                      </wps:wsp>
                      <wps:wsp>
                        <wps:cNvPr id="34" name="Graphic 34"/>
                        <wps:cNvSpPr/>
                        <wps:spPr>
                          <a:xfrm>
                            <a:off x="0" y="133351"/>
                            <a:ext cx="76200" cy="76200"/>
                          </a:xfrm>
                          <a:custGeom>
                            <a:avLst/>
                            <a:gdLst/>
                            <a:ahLst/>
                            <a:cxnLst/>
                            <a:rect l="l" t="t" r="r" b="b"/>
                            <a:pathLst>
                              <a:path w="76200" h="76200">
                                <a:moveTo>
                                  <a:pt x="76200" y="0"/>
                                </a:moveTo>
                                <a:lnTo>
                                  <a:pt x="0" y="0"/>
                                </a:lnTo>
                                <a:lnTo>
                                  <a:pt x="38100" y="76200"/>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16.5pt;mso-position-horizontal-relative:char;mso-position-vertical-relative:line" id="docshapegroup28" coordorigin="0,0" coordsize="120,330">
                <v:line style="position:absolute" from="60,0" to="60,230" stroked="true" strokeweight=".5pt" strokecolor="#000000">
                  <v:stroke dashstyle="solid"/>
                </v:line>
                <v:shape style="position:absolute;left:0;top:210;width:120;height:120" id="docshape29" coordorigin="0,210" coordsize="120,120" path="m120,210l0,210,60,330,120,210xe" filled="true" fillcolor="#000000" stroked="false">
                  <v:path arrowok="t"/>
                  <v:fill type="solid"/>
                </v:shape>
              </v:group>
            </w:pict>
          </mc:Fallback>
        </mc:AlternateContent>
      </w:r>
      <w:r>
        <w:rPr>
          <w:sz w:val="20"/>
        </w:rPr>
      </w:r>
    </w:p>
    <w:p>
      <w:pPr>
        <w:spacing w:line="240" w:lineRule="auto"/>
        <w:ind w:left="620" w:right="0" w:firstLine="0"/>
        <w:rPr>
          <w:sz w:val="20"/>
        </w:rPr>
      </w:pPr>
      <w:r>
        <w:rPr>
          <w:sz w:val="20"/>
        </w:rPr>
        <mc:AlternateContent>
          <mc:Choice Requires="wps">
            <w:drawing>
              <wp:inline distT="0" distB="0" distL="0" distR="0">
                <wp:extent cx="1276350" cy="215265"/>
                <wp:effectExtent l="9525" t="0" r="0" b="13335"/>
                <wp:docPr id="35" name="Textbox 35"/>
                <wp:cNvGraphicFramePr>
                  <a:graphicFrameLocks/>
                </wp:cNvGraphicFramePr>
                <a:graphic>
                  <a:graphicData uri="http://schemas.microsoft.com/office/word/2010/wordprocessingShape">
                    <wps:wsp>
                      <wps:cNvPr id="35" name="Textbox 35"/>
                      <wps:cNvSpPr txBox="1"/>
                      <wps:spPr>
                        <a:xfrm>
                          <a:off x="0" y="0"/>
                          <a:ext cx="1276350" cy="215265"/>
                        </a:xfrm>
                        <a:prstGeom prst="rect">
                          <a:avLst/>
                        </a:prstGeom>
                        <a:ln w="12700">
                          <a:solidFill>
                            <a:srgbClr val="162C51"/>
                          </a:solidFill>
                          <a:prstDash val="solid"/>
                        </a:ln>
                      </wps:spPr>
                      <wps:txbx>
                        <w:txbxContent>
                          <w:p>
                            <w:pPr>
                              <w:spacing w:before="78"/>
                              <w:ind w:left="350" w:right="0" w:firstLine="0"/>
                              <w:jc w:val="left"/>
                              <w:rPr>
                                <w:sz w:val="16"/>
                              </w:rPr>
                            </w:pPr>
                            <w:r>
                              <w:rPr>
                                <w:sz w:val="16"/>
                              </w:rPr>
                              <w:t>Sensitivity</w:t>
                            </w:r>
                            <w:r>
                              <w:rPr>
                                <w:spacing w:val="-9"/>
                                <w:sz w:val="16"/>
                              </w:rPr>
                              <w:t> </w:t>
                            </w:r>
                            <w:r>
                              <w:rPr>
                                <w:spacing w:val="-2"/>
                                <w:sz w:val="16"/>
                              </w:rPr>
                              <w:t>Analysis</w:t>
                            </w:r>
                          </w:p>
                        </w:txbxContent>
                      </wps:txbx>
                      <wps:bodyPr wrap="square" lIns="0" tIns="0" rIns="0" bIns="0" rtlCol="0">
                        <a:noAutofit/>
                      </wps:bodyPr>
                    </wps:wsp>
                  </a:graphicData>
                </a:graphic>
              </wp:inline>
            </w:drawing>
          </mc:Choice>
          <mc:Fallback>
            <w:pict>
              <v:shape style="width:100.5pt;height:16.95pt;mso-position-horizontal-relative:char;mso-position-vertical-relative:line" type="#_x0000_t202" id="docshape30" filled="false" stroked="true" strokeweight="1pt" strokecolor="#162c51">
                <w10:anchorlock/>
                <v:textbox inset="0,0,0,0">
                  <w:txbxContent>
                    <w:p>
                      <w:pPr>
                        <w:spacing w:before="78"/>
                        <w:ind w:left="350" w:right="0" w:firstLine="0"/>
                        <w:jc w:val="left"/>
                        <w:rPr>
                          <w:sz w:val="16"/>
                        </w:rPr>
                      </w:pPr>
                      <w:r>
                        <w:rPr>
                          <w:sz w:val="16"/>
                        </w:rPr>
                        <w:t>Sensitivity</w:t>
                      </w:r>
                      <w:r>
                        <w:rPr>
                          <w:spacing w:val="-9"/>
                          <w:sz w:val="16"/>
                        </w:rPr>
                        <w:t> </w:t>
                      </w:r>
                      <w:r>
                        <w:rPr>
                          <w:spacing w:val="-2"/>
                          <w:sz w:val="16"/>
                        </w:rPr>
                        <w:t>Analysis</w:t>
                      </w:r>
                    </w:p>
                  </w:txbxContent>
                </v:textbox>
                <v:stroke dashstyle="solid"/>
              </v:shape>
            </w:pict>
          </mc:Fallback>
        </mc:AlternateContent>
      </w:r>
      <w:r>
        <w:rPr>
          <w:sz w:val="20"/>
        </w:rPr>
      </w:r>
    </w:p>
    <w:p>
      <w:pPr>
        <w:spacing w:line="240" w:lineRule="auto"/>
        <w:ind w:left="1554" w:right="0" w:firstLine="0"/>
        <w:rPr>
          <w:sz w:val="20"/>
        </w:rPr>
      </w:pPr>
      <w:r>
        <w:rPr>
          <w:sz w:val="20"/>
        </w:rPr>
        <mc:AlternateContent>
          <mc:Choice Requires="wps">
            <w:drawing>
              <wp:inline distT="0" distB="0" distL="0" distR="0">
                <wp:extent cx="76200" cy="209550"/>
                <wp:effectExtent l="0" t="0" r="0" b="9525"/>
                <wp:docPr id="36" name="Group 36"/>
                <wp:cNvGraphicFramePr>
                  <a:graphicFrameLocks/>
                </wp:cNvGraphicFramePr>
                <a:graphic>
                  <a:graphicData uri="http://schemas.microsoft.com/office/word/2010/wordprocessingGroup">
                    <wpg:wgp>
                      <wpg:cNvPr id="36" name="Group 36"/>
                      <wpg:cNvGrpSpPr/>
                      <wpg:grpSpPr>
                        <a:xfrm>
                          <a:off x="0" y="0"/>
                          <a:ext cx="76200" cy="209550"/>
                          <a:chExt cx="76200" cy="209550"/>
                        </a:xfrm>
                      </wpg:grpSpPr>
                      <wps:wsp>
                        <wps:cNvPr id="37" name="Graphic 37"/>
                        <wps:cNvSpPr/>
                        <wps:spPr>
                          <a:xfrm>
                            <a:off x="38096" y="0"/>
                            <a:ext cx="1270" cy="146050"/>
                          </a:xfrm>
                          <a:custGeom>
                            <a:avLst/>
                            <a:gdLst/>
                            <a:ahLst/>
                            <a:cxnLst/>
                            <a:rect l="l" t="t" r="r" b="b"/>
                            <a:pathLst>
                              <a:path w="0" h="146050">
                                <a:moveTo>
                                  <a:pt x="0" y="0"/>
                                </a:moveTo>
                                <a:lnTo>
                                  <a:pt x="0" y="146050"/>
                                </a:lnTo>
                              </a:path>
                            </a:pathLst>
                          </a:custGeom>
                          <a:ln w="6350">
                            <a:solidFill>
                              <a:srgbClr val="000000"/>
                            </a:solidFill>
                            <a:prstDash val="solid"/>
                          </a:ln>
                        </wps:spPr>
                        <wps:bodyPr wrap="square" lIns="0" tIns="0" rIns="0" bIns="0" rtlCol="0">
                          <a:prstTxWarp prst="textNoShape">
                            <a:avLst/>
                          </a:prstTxWarp>
                          <a:noAutofit/>
                        </wps:bodyPr>
                      </wps:wsp>
                      <wps:wsp>
                        <wps:cNvPr id="38" name="Graphic 38"/>
                        <wps:cNvSpPr/>
                        <wps:spPr>
                          <a:xfrm>
                            <a:off x="0" y="133351"/>
                            <a:ext cx="76200" cy="76200"/>
                          </a:xfrm>
                          <a:custGeom>
                            <a:avLst/>
                            <a:gdLst/>
                            <a:ahLst/>
                            <a:cxnLst/>
                            <a:rect l="l" t="t" r="r" b="b"/>
                            <a:pathLst>
                              <a:path w="76200" h="76200">
                                <a:moveTo>
                                  <a:pt x="76200" y="0"/>
                                </a:moveTo>
                                <a:lnTo>
                                  <a:pt x="0" y="0"/>
                                </a:lnTo>
                                <a:lnTo>
                                  <a:pt x="38100" y="76200"/>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16.5pt;mso-position-horizontal-relative:char;mso-position-vertical-relative:line" id="docshapegroup31" coordorigin="0,0" coordsize="120,330">
                <v:line style="position:absolute" from="60,0" to="60,230" stroked="true" strokeweight=".5pt" strokecolor="#000000">
                  <v:stroke dashstyle="solid"/>
                </v:line>
                <v:shape style="position:absolute;left:0;top:210;width:120;height:120" id="docshape32" coordorigin="0,210" coordsize="120,120" path="m120,210l0,210,60,330,120,210xe" filled="true" fillcolor="#000000" stroked="false">
                  <v:path arrowok="t"/>
                  <v:fill type="solid"/>
                </v:shape>
              </v:group>
            </w:pict>
          </mc:Fallback>
        </mc:AlternateContent>
      </w:r>
      <w:r>
        <w:rPr>
          <w:sz w:val="20"/>
        </w:rPr>
      </w:r>
    </w:p>
    <w:p>
      <w:pPr>
        <w:spacing w:line="240" w:lineRule="auto"/>
        <w:ind w:left="317" w:right="0" w:firstLine="0"/>
        <w:rPr>
          <w:sz w:val="20"/>
        </w:rPr>
      </w:pPr>
      <w:r>
        <w:rPr>
          <w:sz w:val="20"/>
        </w:rPr>
        <mc:AlternateContent>
          <mc:Choice Requires="wps">
            <w:drawing>
              <wp:inline distT="0" distB="0" distL="0" distR="0">
                <wp:extent cx="1649095" cy="247650"/>
                <wp:effectExtent l="9525" t="0" r="0" b="9525"/>
                <wp:docPr id="39" name="Textbox 39"/>
                <wp:cNvGraphicFramePr>
                  <a:graphicFrameLocks/>
                </wp:cNvGraphicFramePr>
                <a:graphic>
                  <a:graphicData uri="http://schemas.microsoft.com/office/word/2010/wordprocessingShape">
                    <wps:wsp>
                      <wps:cNvPr id="39" name="Textbox 39"/>
                      <wps:cNvSpPr txBox="1"/>
                      <wps:spPr>
                        <a:xfrm>
                          <a:off x="0" y="0"/>
                          <a:ext cx="1649095" cy="247650"/>
                        </a:xfrm>
                        <a:prstGeom prst="rect">
                          <a:avLst/>
                        </a:prstGeom>
                        <a:ln w="12700">
                          <a:solidFill>
                            <a:srgbClr val="162C51"/>
                          </a:solidFill>
                          <a:prstDash val="solid"/>
                        </a:ln>
                      </wps:spPr>
                      <wps:txbx>
                        <w:txbxContent>
                          <w:p>
                            <w:pPr>
                              <w:spacing w:before="76"/>
                              <w:ind w:left="273" w:right="0" w:firstLine="0"/>
                              <w:jc w:val="left"/>
                              <w:rPr>
                                <w:sz w:val="16"/>
                              </w:rPr>
                            </w:pPr>
                            <w:r>
                              <w:rPr>
                                <w:sz w:val="16"/>
                              </w:rPr>
                              <w:t>Visualisation</w:t>
                            </w:r>
                            <w:r>
                              <w:rPr>
                                <w:spacing w:val="-4"/>
                                <w:sz w:val="16"/>
                              </w:rPr>
                              <w:t> </w:t>
                            </w:r>
                            <w:r>
                              <w:rPr>
                                <w:sz w:val="16"/>
                              </w:rPr>
                              <w:t>and</w:t>
                            </w:r>
                            <w:r>
                              <w:rPr>
                                <w:spacing w:val="-3"/>
                                <w:sz w:val="16"/>
                              </w:rPr>
                              <w:t> </w:t>
                            </w:r>
                            <w:r>
                              <w:rPr>
                                <w:spacing w:val="-2"/>
                                <w:sz w:val="16"/>
                              </w:rPr>
                              <w:t>Interpretation</w:t>
                            </w:r>
                          </w:p>
                        </w:txbxContent>
                      </wps:txbx>
                      <wps:bodyPr wrap="square" lIns="0" tIns="0" rIns="0" bIns="0" rtlCol="0">
                        <a:noAutofit/>
                      </wps:bodyPr>
                    </wps:wsp>
                  </a:graphicData>
                </a:graphic>
              </wp:inline>
            </w:drawing>
          </mc:Choice>
          <mc:Fallback>
            <w:pict>
              <v:shape style="width:129.85pt;height:19.5pt;mso-position-horizontal-relative:char;mso-position-vertical-relative:line" type="#_x0000_t202" id="docshape33" filled="false" stroked="true" strokeweight="1pt" strokecolor="#162c51">
                <w10:anchorlock/>
                <v:textbox inset="0,0,0,0">
                  <w:txbxContent>
                    <w:p>
                      <w:pPr>
                        <w:spacing w:before="76"/>
                        <w:ind w:left="273" w:right="0" w:firstLine="0"/>
                        <w:jc w:val="left"/>
                        <w:rPr>
                          <w:sz w:val="16"/>
                        </w:rPr>
                      </w:pPr>
                      <w:r>
                        <w:rPr>
                          <w:sz w:val="16"/>
                        </w:rPr>
                        <w:t>Visualisation</w:t>
                      </w:r>
                      <w:r>
                        <w:rPr>
                          <w:spacing w:val="-4"/>
                          <w:sz w:val="16"/>
                        </w:rPr>
                        <w:t> </w:t>
                      </w:r>
                      <w:r>
                        <w:rPr>
                          <w:sz w:val="16"/>
                        </w:rPr>
                        <w:t>and</w:t>
                      </w:r>
                      <w:r>
                        <w:rPr>
                          <w:spacing w:val="-3"/>
                          <w:sz w:val="16"/>
                        </w:rPr>
                        <w:t> </w:t>
                      </w:r>
                      <w:r>
                        <w:rPr>
                          <w:spacing w:val="-2"/>
                          <w:sz w:val="16"/>
                        </w:rPr>
                        <w:t>Interpretation</w:t>
                      </w:r>
                    </w:p>
                  </w:txbxContent>
                </v:textbox>
                <v:stroke dashstyle="solid"/>
              </v:shape>
            </w:pict>
          </mc:Fallback>
        </mc:AlternateContent>
      </w:r>
      <w:r>
        <w:rPr>
          <w:sz w:val="20"/>
        </w:rPr>
      </w:r>
    </w:p>
    <w:p>
      <w:pPr>
        <w:pStyle w:val="BodyText"/>
        <w:spacing w:before="84"/>
        <w:rPr>
          <w:b/>
        </w:rPr>
      </w:pPr>
      <w:r>
        <w:rPr>
          <w:b/>
        </w:rPr>
        <mc:AlternateContent>
          <mc:Choice Requires="wps">
            <w:drawing>
              <wp:anchor distT="0" distB="0" distL="0" distR="0" allowOverlap="1" layoutInCell="1" locked="0" behindDoc="1" simplePos="0" relativeHeight="487596032">
                <wp:simplePos x="0" y="0"/>
                <wp:positionH relativeFrom="page">
                  <wp:posOffset>954570</wp:posOffset>
                </wp:positionH>
                <wp:positionV relativeFrom="paragraph">
                  <wp:posOffset>221259</wp:posOffset>
                </wp:positionV>
                <wp:extent cx="1418590" cy="23622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1418590" cy="236220"/>
                        </a:xfrm>
                        <a:prstGeom prst="rect">
                          <a:avLst/>
                        </a:prstGeom>
                        <a:ln w="12700">
                          <a:solidFill>
                            <a:srgbClr val="162C51"/>
                          </a:solidFill>
                          <a:prstDash val="solid"/>
                        </a:ln>
                      </wps:spPr>
                      <wps:txbx>
                        <w:txbxContent>
                          <w:p>
                            <w:pPr>
                              <w:spacing w:before="75"/>
                              <w:ind w:left="315" w:right="0" w:firstLine="0"/>
                              <w:jc w:val="left"/>
                              <w:rPr>
                                <w:sz w:val="16"/>
                              </w:rPr>
                            </w:pPr>
                            <w:r>
                              <w:rPr>
                                <w:sz w:val="16"/>
                              </w:rPr>
                              <w:t>Experimental</w:t>
                            </w:r>
                            <w:r>
                              <w:rPr>
                                <w:spacing w:val="-5"/>
                                <w:sz w:val="16"/>
                              </w:rPr>
                              <w:t> </w:t>
                            </w:r>
                            <w:r>
                              <w:rPr>
                                <w:spacing w:val="-2"/>
                                <w:sz w:val="16"/>
                              </w:rPr>
                              <w:t>Validation</w:t>
                            </w:r>
                          </w:p>
                        </w:txbxContent>
                      </wps:txbx>
                      <wps:bodyPr wrap="square" lIns="0" tIns="0" rIns="0" bIns="0" rtlCol="0">
                        <a:noAutofit/>
                      </wps:bodyPr>
                    </wps:wsp>
                  </a:graphicData>
                </a:graphic>
              </wp:anchor>
            </w:drawing>
          </mc:Choice>
          <mc:Fallback>
            <w:pict>
              <v:shape style="position:absolute;margin-left:75.163002pt;margin-top:17.422001pt;width:111.7pt;height:18.6pt;mso-position-horizontal-relative:page;mso-position-vertical-relative:paragraph;z-index:-15720448;mso-wrap-distance-left:0;mso-wrap-distance-right:0" type="#_x0000_t202" id="docshape34" filled="false" stroked="true" strokeweight="1pt" strokecolor="#162c51">
                <v:textbox inset="0,0,0,0">
                  <w:txbxContent>
                    <w:p>
                      <w:pPr>
                        <w:spacing w:before="75"/>
                        <w:ind w:left="315" w:right="0" w:firstLine="0"/>
                        <w:jc w:val="left"/>
                        <w:rPr>
                          <w:sz w:val="16"/>
                        </w:rPr>
                      </w:pPr>
                      <w:r>
                        <w:rPr>
                          <w:sz w:val="16"/>
                        </w:rPr>
                        <w:t>Experimental</w:t>
                      </w:r>
                      <w:r>
                        <w:rPr>
                          <w:spacing w:val="-5"/>
                          <w:sz w:val="16"/>
                        </w:rPr>
                        <w:t> </w:t>
                      </w:r>
                      <w:r>
                        <w:rPr>
                          <w:spacing w:val="-2"/>
                          <w:sz w:val="16"/>
                        </w:rPr>
                        <w:t>Validation</w:t>
                      </w:r>
                    </w:p>
                  </w:txbxContent>
                </v:textbox>
                <v:stroke dashstyle="solid"/>
                <w10:wrap type="topAndBottom"/>
              </v:shape>
            </w:pict>
          </mc:Fallback>
        </mc:AlternateContent>
      </w:r>
    </w:p>
    <w:p>
      <w:pPr>
        <w:pStyle w:val="BodyText"/>
        <w:spacing w:before="44"/>
        <w:rPr>
          <w:b/>
          <w:sz w:val="18"/>
        </w:rPr>
      </w:pPr>
    </w:p>
    <w:p>
      <w:pPr>
        <w:spacing w:line="518" w:lineRule="auto" w:before="0"/>
        <w:ind w:left="198" w:right="5064" w:firstLine="0"/>
        <w:jc w:val="left"/>
        <w:rPr>
          <w:sz w:val="18"/>
        </w:rPr>
      </w:pPr>
      <w:r>
        <w:rPr>
          <w:sz w:val="18"/>
        </w:rPr>
        <mc:AlternateContent>
          <mc:Choice Requires="wps">
            <w:drawing>
              <wp:anchor distT="0" distB="0" distL="0" distR="0" allowOverlap="1" layoutInCell="1" locked="0" behindDoc="0" simplePos="0" relativeHeight="15737856">
                <wp:simplePos x="0" y="0"/>
                <wp:positionH relativeFrom="page">
                  <wp:posOffset>1616386</wp:posOffset>
                </wp:positionH>
                <wp:positionV relativeFrom="paragraph">
                  <wp:posOffset>-636201</wp:posOffset>
                </wp:positionV>
                <wp:extent cx="76200" cy="2095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76200" cy="209550"/>
                          <a:chExt cx="76200" cy="209550"/>
                        </a:xfrm>
                      </wpg:grpSpPr>
                      <wps:wsp>
                        <wps:cNvPr id="42" name="Graphic 42"/>
                        <wps:cNvSpPr/>
                        <wps:spPr>
                          <a:xfrm>
                            <a:off x="38096" y="0"/>
                            <a:ext cx="1270" cy="146050"/>
                          </a:xfrm>
                          <a:custGeom>
                            <a:avLst/>
                            <a:gdLst/>
                            <a:ahLst/>
                            <a:cxnLst/>
                            <a:rect l="l" t="t" r="r" b="b"/>
                            <a:pathLst>
                              <a:path w="0" h="146050">
                                <a:moveTo>
                                  <a:pt x="0" y="0"/>
                                </a:moveTo>
                                <a:lnTo>
                                  <a:pt x="0" y="146050"/>
                                </a:lnTo>
                              </a:path>
                            </a:pathLst>
                          </a:custGeom>
                          <a:ln w="6350">
                            <a:solidFill>
                              <a:srgbClr val="000000"/>
                            </a:solidFill>
                            <a:prstDash val="solid"/>
                          </a:ln>
                        </wps:spPr>
                        <wps:bodyPr wrap="square" lIns="0" tIns="0" rIns="0" bIns="0" rtlCol="0">
                          <a:prstTxWarp prst="textNoShape">
                            <a:avLst/>
                          </a:prstTxWarp>
                          <a:noAutofit/>
                        </wps:bodyPr>
                      </wps:wsp>
                      <wps:wsp>
                        <wps:cNvPr id="43" name="Graphic 43"/>
                        <wps:cNvSpPr/>
                        <wps:spPr>
                          <a:xfrm>
                            <a:off x="0" y="133351"/>
                            <a:ext cx="76200" cy="76200"/>
                          </a:xfrm>
                          <a:custGeom>
                            <a:avLst/>
                            <a:gdLst/>
                            <a:ahLst/>
                            <a:cxnLst/>
                            <a:rect l="l" t="t" r="r" b="b"/>
                            <a:pathLst>
                              <a:path w="76200" h="76200">
                                <a:moveTo>
                                  <a:pt x="76200" y="0"/>
                                </a:moveTo>
                                <a:lnTo>
                                  <a:pt x="0" y="0"/>
                                </a:lnTo>
                                <a:lnTo>
                                  <a:pt x="38100" y="76200"/>
                                </a:lnTo>
                                <a:lnTo>
                                  <a:pt x="762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7.274498pt;margin-top:-50.09462pt;width:6pt;height:16.5pt;mso-position-horizontal-relative:page;mso-position-vertical-relative:paragraph;z-index:15737856" id="docshapegroup35" coordorigin="2545,-1002" coordsize="120,330">
                <v:line style="position:absolute" from="2605,-1002" to="2605,-772" stroked="true" strokeweight=".5pt" strokecolor="#000000">
                  <v:stroke dashstyle="solid"/>
                </v:line>
                <v:shape style="position:absolute;left:2545;top:-792;width:120;height:120" id="docshape36" coordorigin="2545,-792" coordsize="120,120" path="m2665,-792l2545,-792,2605,-672,2665,-792xe" filled="true" fillcolor="#000000" stroked="false">
                  <v:path arrowok="t"/>
                  <v:fill type="solid"/>
                </v:shape>
                <w10:wrap type="none"/>
              </v:group>
            </w:pict>
          </mc:Fallback>
        </mc:AlternateContent>
      </w:r>
      <w:r>
        <w:rPr>
          <w:sz w:val="18"/>
        </w:rPr>
        <w:t>Fig.</w:t>
      </w:r>
      <w:r>
        <w:rPr>
          <w:spacing w:val="-2"/>
          <w:sz w:val="18"/>
        </w:rPr>
        <w:t> </w:t>
      </w:r>
      <w:r>
        <w:rPr>
          <w:sz w:val="18"/>
        </w:rPr>
        <w:t>1.</w:t>
      </w:r>
      <w:r>
        <w:rPr>
          <w:spacing w:val="-6"/>
          <w:sz w:val="18"/>
        </w:rPr>
        <w:t> </w:t>
      </w:r>
      <w:r>
        <w:rPr>
          <w:sz w:val="18"/>
        </w:rPr>
        <w:t>Research</w:t>
      </w:r>
      <w:r>
        <w:rPr>
          <w:spacing w:val="-12"/>
          <w:sz w:val="18"/>
        </w:rPr>
        <w:t> </w:t>
      </w:r>
      <w:r>
        <w:rPr>
          <w:sz w:val="18"/>
        </w:rPr>
        <w:t>methodology</w:t>
      </w:r>
      <w:r>
        <w:rPr>
          <w:spacing w:val="-7"/>
          <w:sz w:val="18"/>
        </w:rPr>
        <w:t> </w:t>
      </w:r>
      <w:r>
        <w:rPr>
          <w:sz w:val="18"/>
        </w:rPr>
        <w:t>framework Source: Authors’ own data</w:t>
      </w:r>
    </w:p>
    <w:p>
      <w:pPr>
        <w:pStyle w:val="Heading2"/>
        <w:numPr>
          <w:ilvl w:val="1"/>
          <w:numId w:val="1"/>
        </w:numPr>
        <w:tabs>
          <w:tab w:pos="624" w:val="left" w:leader="none"/>
        </w:tabs>
        <w:spacing w:line="229" w:lineRule="exact" w:before="0" w:after="0"/>
        <w:ind w:left="624" w:right="0" w:hanging="426"/>
        <w:jc w:val="left"/>
      </w:pPr>
      <w:bookmarkStart w:name="2.2 Process Selection" w:id="4"/>
      <w:bookmarkEnd w:id="4"/>
      <w:r>
        <w:rPr>
          <w:b w:val="0"/>
        </w:rPr>
      </w:r>
      <w:r>
        <w:rPr/>
        <w:t>Process</w:t>
      </w:r>
      <w:r>
        <w:rPr>
          <w:spacing w:val="-4"/>
        </w:rPr>
        <w:t> </w:t>
      </w:r>
      <w:r>
        <w:rPr>
          <w:spacing w:val="-2"/>
        </w:rPr>
        <w:t>Selection</w:t>
      </w:r>
    </w:p>
    <w:p>
      <w:pPr>
        <w:pStyle w:val="BodyText"/>
        <w:spacing w:line="276" w:lineRule="auto" w:before="121"/>
        <w:ind w:left="198" w:firstLine="340"/>
      </w:pPr>
      <w:r>
        <w:rPr/>
        <w:t>The chemical reaction model selected for this study was</w:t>
      </w:r>
      <w:r>
        <w:rPr>
          <w:spacing w:val="-1"/>
        </w:rPr>
        <w:t> </w:t>
      </w:r>
      <w:r>
        <w:rPr/>
        <w:t>saponification, specifically saponification of ethyl acetate with sodium hydroxide, which is represented by</w:t>
      </w:r>
    </w:p>
    <w:p>
      <w:pPr>
        <w:pStyle w:val="BodyText"/>
        <w:spacing w:before="10"/>
      </w:pPr>
    </w:p>
    <w:p>
      <w:pPr>
        <w:tabs>
          <w:tab w:pos="8478" w:val="left" w:leader="none"/>
        </w:tabs>
        <w:spacing w:before="0"/>
        <w:ind w:left="918" w:right="0" w:firstLine="0"/>
        <w:jc w:val="left"/>
        <w:rPr>
          <w:sz w:val="18"/>
        </w:rPr>
      </w:pPr>
      <w:r>
        <w:rPr>
          <w:sz w:val="18"/>
        </w:rPr>
        <w:t>CH</w:t>
      </w:r>
      <w:r>
        <w:rPr>
          <w:sz w:val="18"/>
          <w:vertAlign w:val="subscript"/>
        </w:rPr>
        <w:t>3</w:t>
      </w:r>
      <w:r>
        <w:rPr>
          <w:sz w:val="18"/>
          <w:vertAlign w:val="baseline"/>
        </w:rPr>
        <w:t>COOC</w:t>
      </w:r>
      <w:r>
        <w:rPr>
          <w:sz w:val="18"/>
          <w:vertAlign w:val="subscript"/>
        </w:rPr>
        <w:t>2</w:t>
      </w:r>
      <w:r>
        <w:rPr>
          <w:sz w:val="18"/>
          <w:vertAlign w:val="baseline"/>
        </w:rPr>
        <w:t>H</w:t>
      </w:r>
      <w:r>
        <w:rPr>
          <w:sz w:val="18"/>
          <w:vertAlign w:val="subscript"/>
        </w:rPr>
        <w:t>5</w:t>
      </w:r>
      <w:r>
        <w:rPr>
          <w:spacing w:val="10"/>
          <w:sz w:val="18"/>
          <w:vertAlign w:val="baseline"/>
        </w:rPr>
        <w:t> </w:t>
      </w:r>
      <w:r>
        <w:rPr>
          <w:rFonts w:ascii="Cambria Math" w:hAnsi="Cambria Math"/>
          <w:sz w:val="18"/>
          <w:vertAlign w:val="baseline"/>
        </w:rPr>
        <w:t>(l)</w:t>
      </w:r>
      <w:r>
        <w:rPr>
          <w:rFonts w:ascii="Cambria Math" w:hAnsi="Cambria Math"/>
          <w:spacing w:val="4"/>
          <w:sz w:val="18"/>
          <w:vertAlign w:val="baseline"/>
        </w:rPr>
        <w:t> </w:t>
      </w:r>
      <w:r>
        <w:rPr>
          <w:sz w:val="18"/>
          <w:vertAlign w:val="baseline"/>
        </w:rPr>
        <w:t>+</w:t>
      </w:r>
      <w:r>
        <w:rPr>
          <w:spacing w:val="-5"/>
          <w:sz w:val="18"/>
          <w:vertAlign w:val="baseline"/>
        </w:rPr>
        <w:t> </w:t>
      </w:r>
      <w:r>
        <w:rPr>
          <w:sz w:val="18"/>
          <w:vertAlign w:val="baseline"/>
        </w:rPr>
        <w:t>NaOH</w:t>
      </w:r>
      <w:r>
        <w:rPr>
          <w:spacing w:val="38"/>
          <w:sz w:val="18"/>
          <w:vertAlign w:val="baseline"/>
        </w:rPr>
        <w:t> </w:t>
      </w:r>
      <w:r>
        <w:rPr>
          <w:rFonts w:ascii="Cambria Math" w:hAnsi="Cambria Math"/>
          <w:sz w:val="18"/>
          <w:vertAlign w:val="baseline"/>
        </w:rPr>
        <w:t>(aq.)</w:t>
      </w:r>
      <w:r>
        <w:rPr>
          <w:rFonts w:ascii="Cambria Math" w:hAnsi="Cambria Math"/>
          <w:spacing w:val="4"/>
          <w:sz w:val="18"/>
          <w:vertAlign w:val="baseline"/>
        </w:rPr>
        <w:t> </w:t>
      </w:r>
      <w:r>
        <w:rPr>
          <w:sz w:val="18"/>
          <w:vertAlign w:val="baseline"/>
        </w:rPr>
        <w:t>→</w:t>
      </w:r>
      <w:r>
        <w:rPr>
          <w:spacing w:val="-3"/>
          <w:sz w:val="18"/>
          <w:vertAlign w:val="baseline"/>
        </w:rPr>
        <w:t> </w:t>
      </w:r>
      <w:r>
        <w:rPr>
          <w:sz w:val="18"/>
          <w:vertAlign w:val="baseline"/>
        </w:rPr>
        <w:t>CH</w:t>
      </w:r>
      <w:r>
        <w:rPr>
          <w:sz w:val="18"/>
          <w:vertAlign w:val="subscript"/>
        </w:rPr>
        <w:t>3</w:t>
      </w:r>
      <w:r>
        <w:rPr>
          <w:sz w:val="18"/>
          <w:vertAlign w:val="baseline"/>
        </w:rPr>
        <w:t>COONa</w:t>
      </w:r>
      <w:r>
        <w:rPr>
          <w:spacing w:val="-1"/>
          <w:sz w:val="18"/>
          <w:vertAlign w:val="baseline"/>
        </w:rPr>
        <w:t> </w:t>
      </w:r>
      <w:r>
        <w:rPr>
          <w:rFonts w:ascii="Cambria Math" w:hAnsi="Cambria Math"/>
          <w:sz w:val="18"/>
          <w:vertAlign w:val="baseline"/>
        </w:rPr>
        <w:t>(aq.)</w:t>
      </w:r>
      <w:r>
        <w:rPr>
          <w:rFonts w:ascii="Cambria Math" w:hAnsi="Cambria Math"/>
          <w:spacing w:val="3"/>
          <w:sz w:val="18"/>
          <w:vertAlign w:val="baseline"/>
        </w:rPr>
        <w:t> </w:t>
      </w:r>
      <w:r>
        <w:rPr>
          <w:sz w:val="18"/>
          <w:vertAlign w:val="baseline"/>
        </w:rPr>
        <w:t>+</w:t>
      </w:r>
      <w:r>
        <w:rPr>
          <w:spacing w:val="-4"/>
          <w:sz w:val="18"/>
          <w:vertAlign w:val="baseline"/>
        </w:rPr>
        <w:t> </w:t>
      </w:r>
      <w:r>
        <w:rPr>
          <w:sz w:val="18"/>
          <w:vertAlign w:val="baseline"/>
        </w:rPr>
        <w:t>C</w:t>
      </w:r>
      <w:r>
        <w:rPr>
          <w:sz w:val="18"/>
          <w:vertAlign w:val="subscript"/>
        </w:rPr>
        <w:t>2</w:t>
      </w:r>
      <w:r>
        <w:rPr>
          <w:sz w:val="18"/>
          <w:vertAlign w:val="baseline"/>
        </w:rPr>
        <w:t>H</w:t>
      </w:r>
      <w:r>
        <w:rPr>
          <w:sz w:val="18"/>
          <w:vertAlign w:val="subscript"/>
        </w:rPr>
        <w:t>5</w:t>
      </w:r>
      <w:r>
        <w:rPr>
          <w:sz w:val="18"/>
          <w:vertAlign w:val="baseline"/>
        </w:rPr>
        <w:t>OH</w:t>
      </w:r>
      <w:r>
        <w:rPr>
          <w:spacing w:val="-5"/>
          <w:sz w:val="18"/>
          <w:vertAlign w:val="baseline"/>
        </w:rPr>
        <w:t> </w:t>
      </w:r>
      <w:r>
        <w:rPr>
          <w:rFonts w:ascii="Cambria Math" w:hAnsi="Cambria Math"/>
          <w:spacing w:val="-4"/>
          <w:sz w:val="18"/>
          <w:vertAlign w:val="baseline"/>
        </w:rPr>
        <w:t>(aq.)</w:t>
      </w:r>
      <w:r>
        <w:rPr>
          <w:rFonts w:ascii="Cambria Math" w:hAnsi="Cambria Math"/>
          <w:sz w:val="18"/>
          <w:vertAlign w:val="baseline"/>
        </w:rPr>
        <w:tab/>
      </w:r>
      <w:r>
        <w:rPr>
          <w:spacing w:val="-5"/>
          <w:sz w:val="18"/>
          <w:vertAlign w:val="baseline"/>
        </w:rPr>
        <w:t>(1)</w:t>
      </w:r>
    </w:p>
    <w:p>
      <w:pPr>
        <w:pStyle w:val="BodyText"/>
        <w:spacing w:before="33"/>
        <w:rPr>
          <w:sz w:val="18"/>
        </w:rPr>
      </w:pPr>
    </w:p>
    <w:p>
      <w:pPr>
        <w:pStyle w:val="BodyText"/>
        <w:spacing w:line="283" w:lineRule="auto"/>
        <w:ind w:left="198"/>
      </w:pPr>
      <w:r>
        <w:rPr/>
        <w:t>where</w:t>
      </w:r>
      <w:r>
        <w:rPr>
          <w:spacing w:val="26"/>
        </w:rPr>
        <w:t> </w:t>
      </w:r>
      <w:r>
        <w:rPr/>
        <w:t>reactants:</w:t>
      </w:r>
      <w:r>
        <w:rPr>
          <w:spacing w:val="26"/>
        </w:rPr>
        <w:t> </w:t>
      </w:r>
      <w:r>
        <w:rPr/>
        <w:t>CH</w:t>
      </w:r>
      <w:r>
        <w:rPr>
          <w:vertAlign w:val="subscript"/>
        </w:rPr>
        <w:t>3</w:t>
      </w:r>
      <w:r>
        <w:rPr>
          <w:vertAlign w:val="baseline"/>
        </w:rPr>
        <w:t>COOC</w:t>
      </w:r>
      <w:r>
        <w:rPr>
          <w:vertAlign w:val="subscript"/>
        </w:rPr>
        <w:t>2</w:t>
      </w:r>
      <w:r>
        <w:rPr>
          <w:vertAlign w:val="baseline"/>
        </w:rPr>
        <w:t>H</w:t>
      </w:r>
      <w:r>
        <w:rPr>
          <w:vertAlign w:val="subscript"/>
        </w:rPr>
        <w:t>5</w:t>
      </w:r>
      <w:r>
        <w:rPr>
          <w:spacing w:val="27"/>
          <w:vertAlign w:val="baseline"/>
        </w:rPr>
        <w:t> </w:t>
      </w:r>
      <w:r>
        <w:rPr>
          <w:vertAlign w:val="baseline"/>
        </w:rPr>
        <w:t>(ethyl acetate, C</w:t>
      </w:r>
      <w:r>
        <w:rPr>
          <w:rFonts w:ascii="Cambria Math"/>
          <w:vertAlign w:val="subscript"/>
        </w:rPr>
        <w:t>A</w:t>
      </w:r>
      <w:r>
        <w:rPr>
          <w:vertAlign w:val="baseline"/>
        </w:rPr>
        <w:t>)</w:t>
      </w:r>
      <w:r>
        <w:rPr>
          <w:spacing w:val="29"/>
          <w:vertAlign w:val="baseline"/>
        </w:rPr>
        <w:t> </w:t>
      </w:r>
      <w:r>
        <w:rPr>
          <w:vertAlign w:val="baseline"/>
        </w:rPr>
        <w:t>and NaOH</w:t>
      </w:r>
      <w:r>
        <w:rPr>
          <w:spacing w:val="28"/>
          <w:vertAlign w:val="baseline"/>
        </w:rPr>
        <w:t> </w:t>
      </w:r>
      <w:r>
        <w:rPr>
          <w:vertAlign w:val="baseline"/>
        </w:rPr>
        <w:t>(sodium</w:t>
      </w:r>
      <w:r>
        <w:rPr>
          <w:spacing w:val="26"/>
          <w:vertAlign w:val="baseline"/>
        </w:rPr>
        <w:t> </w:t>
      </w:r>
      <w:r>
        <w:rPr>
          <w:vertAlign w:val="baseline"/>
        </w:rPr>
        <w:t>hydroxide, C</w:t>
      </w:r>
      <w:r>
        <w:rPr>
          <w:rFonts w:ascii="Cambria Math"/>
          <w:vertAlign w:val="subscript"/>
        </w:rPr>
        <w:t>B</w:t>
      </w:r>
      <w:r>
        <w:rPr>
          <w:vertAlign w:val="baseline"/>
        </w:rPr>
        <w:t>)</w:t>
      </w:r>
      <w:r>
        <w:rPr>
          <w:spacing w:val="29"/>
          <w:vertAlign w:val="baseline"/>
        </w:rPr>
        <w:t> </w:t>
      </w:r>
      <w:r>
        <w:rPr>
          <w:vertAlign w:val="baseline"/>
        </w:rPr>
        <w:t>while</w:t>
      </w:r>
      <w:r>
        <w:rPr>
          <w:spacing w:val="26"/>
          <w:vertAlign w:val="baseline"/>
        </w:rPr>
        <w:t> </w:t>
      </w:r>
      <w:r>
        <w:rPr>
          <w:vertAlign w:val="baseline"/>
        </w:rPr>
        <w:t>products: CH</w:t>
      </w:r>
      <w:r>
        <w:rPr>
          <w:vertAlign w:val="subscript"/>
        </w:rPr>
        <w:t>3</w:t>
      </w:r>
      <w:r>
        <w:rPr>
          <w:vertAlign w:val="baseline"/>
        </w:rPr>
        <w:t>COONa(sodium acetate, C</w:t>
      </w:r>
      <w:r>
        <w:rPr>
          <w:vertAlign w:val="subscript"/>
        </w:rPr>
        <w:t>C</w:t>
      </w:r>
      <w:r>
        <w:rPr>
          <w:vertAlign w:val="baseline"/>
        </w:rPr>
        <w:t>) and C</w:t>
      </w:r>
      <w:r>
        <w:rPr>
          <w:vertAlign w:val="subscript"/>
        </w:rPr>
        <w:t>2</w:t>
      </w:r>
      <w:r>
        <w:rPr>
          <w:vertAlign w:val="baseline"/>
        </w:rPr>
        <w:t>H</w:t>
      </w:r>
      <w:r>
        <w:rPr>
          <w:vertAlign w:val="subscript"/>
        </w:rPr>
        <w:t>5</w:t>
      </w:r>
      <w:r>
        <w:rPr>
          <w:vertAlign w:val="baseline"/>
        </w:rPr>
        <w:t>OH (ethanol, C</w:t>
      </w:r>
      <w:r>
        <w:rPr>
          <w:vertAlign w:val="subscript"/>
        </w:rPr>
        <w:t>D</w:t>
      </w:r>
      <w:r>
        <w:rPr>
          <w:vertAlign w:val="baseline"/>
        </w:rPr>
        <w:t>)</w:t>
      </w:r>
    </w:p>
    <w:p>
      <w:pPr>
        <w:pStyle w:val="BodyText"/>
        <w:spacing w:before="113"/>
        <w:ind w:left="198"/>
      </w:pPr>
      <w:r>
        <w:rPr/>
        <w:t>Reactor</w:t>
      </w:r>
      <w:r>
        <w:rPr>
          <w:spacing w:val="-4"/>
        </w:rPr>
        <w:t> </w:t>
      </w:r>
      <w:r>
        <w:rPr>
          <w:spacing w:val="-2"/>
        </w:rPr>
        <w:t>Assumptions:</w:t>
      </w:r>
    </w:p>
    <w:p>
      <w:pPr>
        <w:pStyle w:val="ListParagraph"/>
        <w:numPr>
          <w:ilvl w:val="2"/>
          <w:numId w:val="1"/>
        </w:numPr>
        <w:tabs>
          <w:tab w:pos="1253" w:val="left" w:leader="none"/>
        </w:tabs>
        <w:spacing w:line="240" w:lineRule="auto" w:before="154" w:after="0"/>
        <w:ind w:left="1253" w:right="0" w:hanging="359"/>
        <w:jc w:val="left"/>
        <w:rPr>
          <w:sz w:val="20"/>
        </w:rPr>
      </w:pPr>
      <w:r>
        <w:rPr>
          <w:spacing w:val="-2"/>
          <w:sz w:val="20"/>
        </w:rPr>
        <w:t>Continuous</w:t>
      </w:r>
      <w:r>
        <w:rPr>
          <w:spacing w:val="6"/>
          <w:sz w:val="20"/>
        </w:rPr>
        <w:t> </w:t>
      </w:r>
      <w:r>
        <w:rPr>
          <w:spacing w:val="-2"/>
          <w:sz w:val="20"/>
        </w:rPr>
        <w:t>operation,</w:t>
      </w:r>
      <w:r>
        <w:rPr>
          <w:spacing w:val="18"/>
          <w:sz w:val="20"/>
        </w:rPr>
        <w:t> </w:t>
      </w:r>
      <w:r>
        <w:rPr>
          <w:spacing w:val="-2"/>
          <w:sz w:val="20"/>
        </w:rPr>
        <w:t>well-</w:t>
      </w:r>
      <w:r>
        <w:rPr>
          <w:spacing w:val="-4"/>
          <w:sz w:val="20"/>
        </w:rPr>
        <w:t>mixed</w:t>
      </w:r>
    </w:p>
    <w:p>
      <w:pPr>
        <w:pStyle w:val="ListParagraph"/>
        <w:numPr>
          <w:ilvl w:val="2"/>
          <w:numId w:val="1"/>
        </w:numPr>
        <w:tabs>
          <w:tab w:pos="1252" w:val="left" w:leader="none"/>
        </w:tabs>
        <w:spacing w:line="240" w:lineRule="auto" w:before="154" w:after="0"/>
        <w:ind w:left="1252" w:right="0" w:hanging="358"/>
        <w:jc w:val="left"/>
        <w:rPr>
          <w:sz w:val="20"/>
        </w:rPr>
      </w:pPr>
      <w:r>
        <w:rPr>
          <w:sz w:val="20"/>
        </w:rPr>
        <w:t>Constant</w:t>
      </w:r>
      <w:r>
        <w:rPr>
          <w:spacing w:val="-9"/>
          <w:sz w:val="20"/>
        </w:rPr>
        <w:t> </w:t>
      </w:r>
      <w:r>
        <w:rPr>
          <w:sz w:val="20"/>
        </w:rPr>
        <w:t>temperature</w:t>
      </w:r>
      <w:r>
        <w:rPr>
          <w:spacing w:val="-8"/>
          <w:sz w:val="20"/>
        </w:rPr>
        <w:t> </w:t>
      </w:r>
      <w:r>
        <w:rPr>
          <w:sz w:val="20"/>
        </w:rPr>
        <w:t>and</w:t>
      </w:r>
      <w:r>
        <w:rPr>
          <w:spacing w:val="-10"/>
          <w:sz w:val="20"/>
        </w:rPr>
        <w:t> </w:t>
      </w:r>
      <w:r>
        <w:rPr>
          <w:sz w:val="20"/>
        </w:rPr>
        <w:t>volume</w:t>
      </w:r>
      <w:r>
        <w:rPr>
          <w:spacing w:val="-3"/>
          <w:sz w:val="20"/>
        </w:rPr>
        <w:t> </w:t>
      </w:r>
      <w:r>
        <w:rPr>
          <w:spacing w:val="-5"/>
          <w:sz w:val="20"/>
        </w:rPr>
        <w:t>(V)</w:t>
      </w:r>
    </w:p>
    <w:p>
      <w:pPr>
        <w:pStyle w:val="ListParagraph"/>
        <w:numPr>
          <w:ilvl w:val="2"/>
          <w:numId w:val="1"/>
        </w:numPr>
        <w:tabs>
          <w:tab w:pos="1251" w:val="left" w:leader="none"/>
        </w:tabs>
        <w:spacing w:line="240" w:lineRule="auto" w:before="154" w:after="0"/>
        <w:ind w:left="1251" w:right="0" w:hanging="357"/>
        <w:jc w:val="left"/>
        <w:rPr>
          <w:sz w:val="20"/>
        </w:rPr>
      </w:pPr>
      <w:r>
        <w:rPr>
          <w:sz w:val="20"/>
        </w:rPr>
        <w:t>No</w:t>
      </w:r>
      <w:r>
        <w:rPr>
          <w:spacing w:val="-2"/>
          <w:sz w:val="20"/>
        </w:rPr>
        <w:t> </w:t>
      </w:r>
      <w:r>
        <w:rPr>
          <w:sz w:val="20"/>
        </w:rPr>
        <w:t>side </w:t>
      </w:r>
      <w:r>
        <w:rPr>
          <w:spacing w:val="-2"/>
          <w:sz w:val="20"/>
        </w:rPr>
        <w:t>reactions</w:t>
      </w:r>
    </w:p>
    <w:p>
      <w:pPr>
        <w:pStyle w:val="ListParagraph"/>
        <w:numPr>
          <w:ilvl w:val="2"/>
          <w:numId w:val="1"/>
        </w:numPr>
        <w:tabs>
          <w:tab w:pos="1253" w:val="left" w:leader="none"/>
        </w:tabs>
        <w:spacing w:line="240" w:lineRule="auto" w:before="154" w:after="0"/>
        <w:ind w:left="1253" w:right="0" w:hanging="359"/>
        <w:jc w:val="left"/>
        <w:rPr>
          <w:sz w:val="20"/>
        </w:rPr>
      </w:pPr>
      <w:r>
        <w:rPr>
          <w:sz w:val="20"/>
        </w:rPr>
        <w:t>Reaction</w:t>
      </w:r>
      <w:r>
        <w:rPr>
          <w:spacing w:val="-10"/>
          <w:sz w:val="20"/>
        </w:rPr>
        <w:t> </w:t>
      </w:r>
      <w:r>
        <w:rPr>
          <w:sz w:val="20"/>
        </w:rPr>
        <w:t>followed</w:t>
      </w:r>
      <w:r>
        <w:rPr>
          <w:spacing w:val="-10"/>
          <w:sz w:val="20"/>
        </w:rPr>
        <w:t> </w:t>
      </w:r>
      <w:r>
        <w:rPr>
          <w:sz w:val="20"/>
        </w:rPr>
        <w:t>second-order</w:t>
      </w:r>
      <w:r>
        <w:rPr>
          <w:spacing w:val="-11"/>
          <w:sz w:val="20"/>
        </w:rPr>
        <w:t> </w:t>
      </w:r>
      <w:r>
        <w:rPr>
          <w:sz w:val="20"/>
        </w:rPr>
        <w:t>irreversible</w:t>
      </w:r>
      <w:r>
        <w:rPr>
          <w:spacing w:val="-9"/>
          <w:sz w:val="20"/>
        </w:rPr>
        <w:t> </w:t>
      </w:r>
      <w:r>
        <w:rPr>
          <w:spacing w:val="-2"/>
          <w:sz w:val="20"/>
        </w:rPr>
        <w:t>kinetics:</w:t>
      </w:r>
    </w:p>
    <w:p>
      <w:pPr>
        <w:pStyle w:val="BodyText"/>
        <w:spacing w:before="45"/>
      </w:pPr>
    </w:p>
    <w:p>
      <w:pPr>
        <w:tabs>
          <w:tab w:pos="8477" w:val="left" w:leader="none"/>
        </w:tabs>
        <w:spacing w:before="0"/>
        <w:ind w:left="918" w:right="0" w:firstLine="0"/>
        <w:jc w:val="left"/>
        <w:rPr>
          <w:sz w:val="18"/>
        </w:rPr>
      </w:pPr>
      <w:r>
        <w:rPr>
          <w:sz w:val="18"/>
        </w:rPr>
        <w:t>r</w:t>
      </w:r>
      <w:r>
        <w:rPr>
          <w:spacing w:val="4"/>
          <w:sz w:val="18"/>
        </w:rPr>
        <w:t> </w:t>
      </w:r>
      <w:r>
        <w:rPr>
          <w:sz w:val="18"/>
        </w:rPr>
        <w:t>=</w:t>
      </w:r>
      <w:r>
        <w:rPr>
          <w:spacing w:val="-3"/>
          <w:sz w:val="18"/>
        </w:rPr>
        <w:t> </w:t>
      </w:r>
      <w:r>
        <w:rPr>
          <w:spacing w:val="-2"/>
          <w:sz w:val="18"/>
        </w:rPr>
        <w:t>kC</w:t>
      </w:r>
      <w:r>
        <w:rPr>
          <w:rFonts w:ascii="Cambria Math"/>
          <w:spacing w:val="-2"/>
          <w:sz w:val="18"/>
          <w:vertAlign w:val="subscript"/>
        </w:rPr>
        <w:t>A</w:t>
      </w:r>
      <w:r>
        <w:rPr>
          <w:spacing w:val="-2"/>
          <w:sz w:val="18"/>
          <w:vertAlign w:val="baseline"/>
        </w:rPr>
        <w:t>C</w:t>
      </w:r>
      <w:r>
        <w:rPr>
          <w:spacing w:val="-2"/>
          <w:sz w:val="18"/>
          <w:vertAlign w:val="subscript"/>
        </w:rPr>
        <w:t>B</w:t>
      </w:r>
      <w:r>
        <w:rPr>
          <w:sz w:val="18"/>
          <w:vertAlign w:val="baseline"/>
        </w:rPr>
        <w:tab/>
      </w:r>
      <w:r>
        <w:rPr>
          <w:spacing w:val="-5"/>
          <w:sz w:val="18"/>
          <w:vertAlign w:val="baseline"/>
        </w:rPr>
        <w:t>(2)</w:t>
      </w:r>
    </w:p>
    <w:p>
      <w:pPr>
        <w:pStyle w:val="BodyText"/>
        <w:spacing w:before="33"/>
        <w:rPr>
          <w:sz w:val="18"/>
        </w:rPr>
      </w:pPr>
    </w:p>
    <w:p>
      <w:pPr>
        <w:pStyle w:val="BodyText"/>
        <w:spacing w:line="273" w:lineRule="auto"/>
        <w:ind w:left="198" w:hanging="1"/>
      </w:pPr>
      <w:r>
        <w:rPr/>
        <w:t>where r is the rate of reaction, C</w:t>
      </w:r>
      <w:r>
        <w:rPr>
          <w:rFonts w:ascii="Cambria Math"/>
          <w:vertAlign w:val="subscript"/>
        </w:rPr>
        <w:t>A</w:t>
      </w:r>
      <w:r>
        <w:rPr>
          <w:rFonts w:ascii="Cambria Math"/>
          <w:spacing w:val="27"/>
          <w:vertAlign w:val="baseline"/>
        </w:rPr>
        <w:t> </w:t>
      </w:r>
      <w:r>
        <w:rPr>
          <w:vertAlign w:val="baseline"/>
        </w:rPr>
        <w:t>is the concentration of ethyl acetate, C</w:t>
      </w:r>
      <w:r>
        <w:rPr>
          <w:rFonts w:ascii="Cambria Math"/>
          <w:vertAlign w:val="subscript"/>
        </w:rPr>
        <w:t>B</w:t>
      </w:r>
      <w:r>
        <w:rPr>
          <w:rFonts w:ascii="Cambria Math"/>
          <w:spacing w:val="24"/>
          <w:vertAlign w:val="baseline"/>
        </w:rPr>
        <w:t> </w:t>
      </w:r>
      <w:r>
        <w:rPr>
          <w:vertAlign w:val="baseline"/>
        </w:rPr>
        <w:t>is the concentration of sodium hydroxide, and k is the reaction rate constant.</w:t>
      </w:r>
    </w:p>
    <w:p>
      <w:pPr>
        <w:pStyle w:val="BodyText"/>
        <w:spacing w:after="0" w:line="273" w:lineRule="auto"/>
        <w:sectPr>
          <w:pgSz w:w="10890" w:h="14860"/>
          <w:pgMar w:header="1010" w:footer="1649" w:top="1320" w:bottom="1840" w:left="992" w:right="1133"/>
        </w:sectPr>
      </w:pPr>
    </w:p>
    <w:p>
      <w:pPr>
        <w:pStyle w:val="Heading2"/>
        <w:numPr>
          <w:ilvl w:val="1"/>
          <w:numId w:val="1"/>
        </w:numPr>
        <w:tabs>
          <w:tab w:pos="624" w:val="left" w:leader="none"/>
        </w:tabs>
        <w:spacing w:line="240" w:lineRule="auto" w:before="114" w:after="0"/>
        <w:ind w:left="624" w:right="0" w:hanging="426"/>
        <w:jc w:val="left"/>
      </w:pPr>
      <w:bookmarkStart w:name="2.3 Mathematical model selection" w:id="5"/>
      <w:bookmarkEnd w:id="5"/>
      <w:r>
        <w:rPr>
          <w:b w:val="0"/>
        </w:rPr>
      </w:r>
      <w:r>
        <w:rPr/>
        <w:t>Mathematical</w:t>
      </w:r>
      <w:r>
        <w:rPr>
          <w:spacing w:val="-9"/>
        </w:rPr>
        <w:t> </w:t>
      </w:r>
      <w:r>
        <w:rPr/>
        <w:t>model</w:t>
      </w:r>
      <w:r>
        <w:rPr>
          <w:spacing w:val="-9"/>
        </w:rPr>
        <w:t> </w:t>
      </w:r>
      <w:r>
        <w:rPr>
          <w:spacing w:val="-2"/>
        </w:rPr>
        <w:t>selection</w:t>
      </w:r>
    </w:p>
    <w:p>
      <w:pPr>
        <w:pStyle w:val="BodyText"/>
        <w:spacing w:line="403" w:lineRule="auto" w:before="120"/>
        <w:ind w:left="558" w:right="6019"/>
      </w:pPr>
      <w:r>
        <w:rPr/>
        <w:t>Mass</w:t>
      </w:r>
      <w:r>
        <w:rPr>
          <w:spacing w:val="-13"/>
        </w:rPr>
        <w:t> </w:t>
      </w:r>
      <w:r>
        <w:rPr/>
        <w:t>balance</w:t>
      </w:r>
      <w:r>
        <w:rPr>
          <w:spacing w:val="-12"/>
        </w:rPr>
        <w:t> </w:t>
      </w:r>
      <w:r>
        <w:rPr/>
        <w:t>equations: For reactant </w:t>
      </w:r>
      <w:r>
        <w:rPr>
          <w:rFonts w:ascii="Cambria Math"/>
        </w:rPr>
        <w:t>C</w:t>
      </w:r>
      <w:r>
        <w:rPr>
          <w:rFonts w:ascii="Cambria Math"/>
          <w:position w:val="-3"/>
          <w:sz w:val="14"/>
        </w:rPr>
        <w:t>A</w:t>
      </w:r>
      <w:r>
        <w:rPr>
          <w:rFonts w:ascii="Cambria Math"/>
        </w:rPr>
        <w:t>, C</w:t>
      </w:r>
      <w:r>
        <w:rPr>
          <w:rFonts w:ascii="Cambria Math"/>
          <w:position w:val="-3"/>
          <w:sz w:val="14"/>
        </w:rPr>
        <w:t>B</w:t>
      </w:r>
      <w:r>
        <w:rPr/>
        <w:t>:</w:t>
      </w:r>
    </w:p>
    <w:p>
      <w:pPr>
        <w:pStyle w:val="BodyText"/>
        <w:spacing w:after="0" w:line="403" w:lineRule="auto"/>
        <w:sectPr>
          <w:pgSz w:w="10890" w:h="14860"/>
          <w:pgMar w:header="1010" w:footer="1649" w:top="1320" w:bottom="1840" w:left="992" w:right="1133"/>
        </w:sectPr>
      </w:pPr>
    </w:p>
    <w:p>
      <w:pPr>
        <w:pStyle w:val="BodyText"/>
        <w:spacing w:before="18"/>
        <w:rPr>
          <w:sz w:val="10"/>
        </w:rPr>
      </w:pPr>
    </w:p>
    <w:p>
      <w:pPr>
        <w:spacing w:line="45" w:lineRule="auto" w:before="0"/>
        <w:ind w:left="918" w:right="0" w:firstLine="0"/>
        <w:jc w:val="left"/>
        <w:rPr>
          <w:position w:val="-10"/>
          <w:sz w:val="18"/>
        </w:rPr>
      </w:pPr>
      <w:r>
        <w:rPr>
          <w:sz w:val="13"/>
          <w:u w:val="single"/>
        </w:rPr>
        <w:t>dC</w:t>
      </w:r>
      <w:r>
        <w:rPr>
          <w:position w:val="-2"/>
          <w:sz w:val="10"/>
          <w:u w:val="single"/>
        </w:rPr>
        <w:t>A</w:t>
      </w:r>
      <w:r>
        <w:rPr>
          <w:spacing w:val="6"/>
          <w:position w:val="-2"/>
          <w:sz w:val="10"/>
        </w:rPr>
        <w:t> </w:t>
      </w:r>
      <w:r>
        <w:rPr>
          <w:position w:val="-10"/>
          <w:sz w:val="18"/>
        </w:rPr>
        <w:t>=</w:t>
      </w:r>
      <w:r>
        <w:rPr>
          <w:spacing w:val="-19"/>
          <w:position w:val="-10"/>
          <w:sz w:val="18"/>
        </w:rPr>
        <w:t> </w:t>
      </w:r>
      <w:r>
        <w:rPr>
          <w:sz w:val="13"/>
          <w:u w:val="single"/>
        </w:rPr>
        <w:t>F</w:t>
      </w:r>
      <w:r>
        <w:rPr>
          <w:position w:val="-2"/>
          <w:sz w:val="10"/>
          <w:u w:val="single"/>
        </w:rPr>
        <w:t>in</w:t>
      </w:r>
      <w:r>
        <w:rPr>
          <w:spacing w:val="9"/>
          <w:position w:val="-2"/>
          <w:sz w:val="10"/>
        </w:rPr>
        <w:t> </w:t>
      </w:r>
      <w:r>
        <w:rPr>
          <w:rFonts w:ascii="Cambria Math"/>
          <w:spacing w:val="-5"/>
          <w:position w:val="-10"/>
          <w:sz w:val="18"/>
        </w:rPr>
        <w:t>(</w:t>
      </w:r>
      <w:r>
        <w:rPr>
          <w:spacing w:val="-5"/>
          <w:position w:val="-10"/>
          <w:sz w:val="18"/>
        </w:rPr>
        <w:t>C</w:t>
      </w:r>
    </w:p>
    <w:p>
      <w:pPr>
        <w:spacing w:line="94" w:lineRule="exact" w:before="140"/>
        <w:ind w:left="232" w:right="0" w:firstLine="0"/>
        <w:jc w:val="left"/>
        <w:rPr>
          <w:sz w:val="18"/>
        </w:rPr>
      </w:pPr>
      <w:r>
        <w:rPr/>
        <w:br w:type="column"/>
      </w:r>
      <w:r>
        <w:rPr>
          <w:rFonts w:ascii="Cambria Math" w:hAnsi="Cambria Math"/>
          <w:sz w:val="18"/>
        </w:rPr>
        <w:t>−</w:t>
      </w:r>
      <w:r>
        <w:rPr>
          <w:rFonts w:ascii="Cambria Math" w:hAnsi="Cambria Math"/>
          <w:spacing w:val="2"/>
          <w:sz w:val="18"/>
        </w:rPr>
        <w:t> </w:t>
      </w:r>
      <w:r>
        <w:rPr>
          <w:sz w:val="18"/>
        </w:rPr>
        <w:t>C</w:t>
      </w:r>
      <w:r>
        <w:rPr>
          <w:spacing w:val="58"/>
          <w:sz w:val="18"/>
        </w:rPr>
        <w:t> </w:t>
      </w:r>
      <w:r>
        <w:rPr>
          <w:rFonts w:ascii="Cambria Math" w:hAnsi="Cambria Math"/>
          <w:sz w:val="18"/>
        </w:rPr>
        <w:t>) −</w:t>
      </w:r>
      <w:r>
        <w:rPr>
          <w:rFonts w:ascii="Cambria Math" w:hAnsi="Cambria Math"/>
          <w:spacing w:val="-3"/>
          <w:sz w:val="18"/>
        </w:rPr>
        <w:t> </w:t>
      </w:r>
      <w:r>
        <w:rPr>
          <w:sz w:val="18"/>
        </w:rPr>
        <w:t>kC</w:t>
      </w:r>
      <w:r>
        <w:rPr>
          <w:spacing w:val="58"/>
          <w:sz w:val="18"/>
        </w:rPr>
        <w:t> </w:t>
      </w:r>
      <w:r>
        <w:rPr>
          <w:spacing w:val="-10"/>
          <w:sz w:val="18"/>
        </w:rPr>
        <w:t>C</w:t>
      </w:r>
    </w:p>
    <w:p>
      <w:pPr>
        <w:spacing w:line="91" w:lineRule="exact" w:before="143"/>
        <w:ind w:left="0" w:right="66" w:firstLine="0"/>
        <w:jc w:val="right"/>
        <w:rPr>
          <w:sz w:val="18"/>
        </w:rPr>
      </w:pPr>
      <w:r>
        <w:rPr/>
        <w:br w:type="column"/>
      </w:r>
      <w:r>
        <w:rPr>
          <w:spacing w:val="-5"/>
          <w:sz w:val="18"/>
        </w:rPr>
        <w:t>(3)</w:t>
      </w:r>
    </w:p>
    <w:p>
      <w:pPr>
        <w:spacing w:after="0" w:line="91" w:lineRule="exact"/>
        <w:jc w:val="right"/>
        <w:rPr>
          <w:sz w:val="18"/>
        </w:rPr>
        <w:sectPr>
          <w:type w:val="continuous"/>
          <w:pgSz w:w="10890" w:h="14860"/>
          <w:pgMar w:header="1010" w:footer="1649" w:top="1320" w:bottom="1840" w:left="992" w:right="1133"/>
          <w:cols w:num="3" w:equalWidth="0">
            <w:col w:w="1698" w:space="40"/>
            <w:col w:w="1397" w:space="4424"/>
            <w:col w:w="1206"/>
          </w:cols>
        </w:sectPr>
      </w:pPr>
    </w:p>
    <w:p>
      <w:pPr>
        <w:tabs>
          <w:tab w:pos="355" w:val="left" w:leader="none"/>
        </w:tabs>
        <w:spacing w:before="47"/>
        <w:ind w:left="0" w:right="0" w:firstLine="0"/>
        <w:jc w:val="right"/>
        <w:rPr>
          <w:sz w:val="13"/>
        </w:rPr>
      </w:pPr>
      <w:r>
        <w:rPr>
          <w:spacing w:val="-5"/>
          <w:sz w:val="13"/>
        </w:rPr>
        <w:t>dt</w:t>
      </w:r>
      <w:r>
        <w:rPr>
          <w:sz w:val="13"/>
        </w:rPr>
        <w:tab/>
      </w:r>
      <w:r>
        <w:rPr>
          <w:spacing w:val="-10"/>
          <w:sz w:val="13"/>
        </w:rPr>
        <w:t>V</w:t>
      </w:r>
    </w:p>
    <w:p>
      <w:pPr>
        <w:tabs>
          <w:tab w:pos="797" w:val="left" w:leader="none"/>
          <w:tab w:pos="1402" w:val="left" w:leader="none"/>
        </w:tabs>
        <w:spacing w:line="144" w:lineRule="exact" w:before="0"/>
        <w:ind w:left="226" w:right="0" w:firstLine="0"/>
        <w:jc w:val="left"/>
        <w:rPr>
          <w:sz w:val="13"/>
        </w:rPr>
      </w:pPr>
      <w:r>
        <w:rPr/>
        <w:br w:type="column"/>
      </w:r>
      <w:r>
        <w:rPr>
          <w:spacing w:val="-4"/>
          <w:sz w:val="13"/>
        </w:rPr>
        <w:t>A,in</w:t>
      </w:r>
      <w:r>
        <w:rPr>
          <w:sz w:val="13"/>
        </w:rPr>
        <w:tab/>
      </w:r>
      <w:r>
        <w:rPr>
          <w:spacing w:val="-10"/>
          <w:sz w:val="13"/>
        </w:rPr>
        <w:t>A</w:t>
      </w:r>
      <w:r>
        <w:rPr>
          <w:sz w:val="13"/>
        </w:rPr>
        <w:tab/>
        <w:t>A</w:t>
      </w:r>
      <w:r>
        <w:rPr>
          <w:spacing w:val="76"/>
          <w:w w:val="150"/>
          <w:sz w:val="13"/>
        </w:rPr>
        <w:t> </w:t>
      </w:r>
      <w:r>
        <w:rPr>
          <w:spacing w:val="-10"/>
          <w:sz w:val="13"/>
        </w:rPr>
        <w:t>B</w:t>
      </w:r>
    </w:p>
    <w:p>
      <w:pPr>
        <w:spacing w:after="0" w:line="144" w:lineRule="exact"/>
        <w:jc w:val="left"/>
        <w:rPr>
          <w:sz w:val="13"/>
        </w:rPr>
        <w:sectPr>
          <w:type w:val="continuous"/>
          <w:pgSz w:w="10890" w:h="14860"/>
          <w:pgMar w:header="1010" w:footer="1649" w:top="1320" w:bottom="1840" w:left="992" w:right="1133"/>
          <w:cols w:num="2" w:equalWidth="0">
            <w:col w:w="1430" w:space="40"/>
            <w:col w:w="7295"/>
          </w:cols>
        </w:sectPr>
      </w:pPr>
    </w:p>
    <w:p>
      <w:pPr>
        <w:pStyle w:val="BodyText"/>
        <w:spacing w:before="1"/>
        <w:rPr>
          <w:sz w:val="10"/>
        </w:rPr>
      </w:pPr>
    </w:p>
    <w:p>
      <w:pPr>
        <w:pStyle w:val="BodyText"/>
        <w:spacing w:after="0"/>
        <w:rPr>
          <w:sz w:val="10"/>
        </w:rPr>
        <w:sectPr>
          <w:type w:val="continuous"/>
          <w:pgSz w:w="10890" w:h="14860"/>
          <w:pgMar w:header="1010" w:footer="1649" w:top="1320" w:bottom="1840" w:left="992" w:right="1133"/>
        </w:sectPr>
      </w:pPr>
    </w:p>
    <w:p>
      <w:pPr>
        <w:pStyle w:val="BodyText"/>
        <w:spacing w:before="28"/>
        <w:rPr>
          <w:sz w:val="10"/>
        </w:rPr>
      </w:pPr>
    </w:p>
    <w:p>
      <w:pPr>
        <w:spacing w:line="45" w:lineRule="auto" w:before="1"/>
        <w:ind w:left="918" w:right="0" w:firstLine="0"/>
        <w:jc w:val="left"/>
        <w:rPr>
          <w:position w:val="-10"/>
          <w:sz w:val="18"/>
        </w:rPr>
      </w:pPr>
      <w:r>
        <w:rPr>
          <w:sz w:val="13"/>
          <w:u w:val="single"/>
        </w:rPr>
        <w:t>dC</w:t>
      </w:r>
      <w:r>
        <w:rPr>
          <w:position w:val="-2"/>
          <w:sz w:val="10"/>
          <w:u w:val="single"/>
        </w:rPr>
        <w:t>B</w:t>
      </w:r>
      <w:r>
        <w:rPr>
          <w:spacing w:val="7"/>
          <w:position w:val="-2"/>
          <w:sz w:val="10"/>
        </w:rPr>
        <w:t> </w:t>
      </w:r>
      <w:r>
        <w:rPr>
          <w:position w:val="-10"/>
          <w:sz w:val="18"/>
        </w:rPr>
        <w:t>=</w:t>
      </w:r>
      <w:r>
        <w:rPr>
          <w:spacing w:val="-19"/>
          <w:position w:val="-10"/>
          <w:sz w:val="18"/>
        </w:rPr>
        <w:t> </w:t>
      </w:r>
      <w:r>
        <w:rPr>
          <w:sz w:val="13"/>
          <w:u w:val="single"/>
        </w:rPr>
        <w:t>F</w:t>
      </w:r>
      <w:r>
        <w:rPr>
          <w:position w:val="-2"/>
          <w:sz w:val="10"/>
          <w:u w:val="single"/>
        </w:rPr>
        <w:t>in</w:t>
      </w:r>
      <w:r>
        <w:rPr>
          <w:spacing w:val="9"/>
          <w:position w:val="-2"/>
          <w:sz w:val="10"/>
        </w:rPr>
        <w:t> </w:t>
      </w:r>
      <w:r>
        <w:rPr>
          <w:rFonts w:ascii="Cambria Math"/>
          <w:spacing w:val="-5"/>
          <w:position w:val="-10"/>
          <w:sz w:val="18"/>
        </w:rPr>
        <w:t>(</w:t>
      </w:r>
      <w:r>
        <w:rPr>
          <w:spacing w:val="-5"/>
          <w:position w:val="-10"/>
          <w:sz w:val="18"/>
        </w:rPr>
        <w:t>C</w:t>
      </w:r>
    </w:p>
    <w:p>
      <w:pPr>
        <w:spacing w:line="94" w:lineRule="exact" w:before="150"/>
        <w:ind w:left="227" w:right="0" w:firstLine="0"/>
        <w:jc w:val="left"/>
        <w:rPr>
          <w:sz w:val="18"/>
        </w:rPr>
      </w:pPr>
      <w:r>
        <w:rPr/>
        <w:br w:type="column"/>
      </w:r>
      <w:r>
        <w:rPr>
          <w:rFonts w:ascii="Cambria Math" w:hAnsi="Cambria Math"/>
          <w:sz w:val="18"/>
        </w:rPr>
        <w:t>−</w:t>
      </w:r>
      <w:r>
        <w:rPr>
          <w:rFonts w:ascii="Cambria Math" w:hAnsi="Cambria Math"/>
          <w:spacing w:val="-3"/>
          <w:sz w:val="18"/>
        </w:rPr>
        <w:t> </w:t>
      </w:r>
      <w:r>
        <w:rPr>
          <w:sz w:val="18"/>
        </w:rPr>
        <w:t>C</w:t>
      </w:r>
      <w:r>
        <w:rPr>
          <w:spacing w:val="53"/>
          <w:sz w:val="18"/>
        </w:rPr>
        <w:t> </w:t>
      </w:r>
      <w:r>
        <w:rPr>
          <w:rFonts w:ascii="Cambria Math" w:hAnsi="Cambria Math"/>
          <w:sz w:val="18"/>
        </w:rPr>
        <w:t>) −</w:t>
      </w:r>
      <w:r>
        <w:rPr>
          <w:rFonts w:ascii="Cambria Math" w:hAnsi="Cambria Math"/>
          <w:spacing w:val="-3"/>
          <w:sz w:val="18"/>
        </w:rPr>
        <w:t> </w:t>
      </w:r>
      <w:r>
        <w:rPr>
          <w:sz w:val="18"/>
        </w:rPr>
        <w:t>kC</w:t>
      </w:r>
      <w:r>
        <w:rPr>
          <w:spacing w:val="58"/>
          <w:sz w:val="18"/>
        </w:rPr>
        <w:t> </w:t>
      </w:r>
      <w:r>
        <w:rPr>
          <w:spacing w:val="-10"/>
          <w:sz w:val="18"/>
        </w:rPr>
        <w:t>C</w:t>
      </w:r>
    </w:p>
    <w:p>
      <w:pPr>
        <w:spacing w:line="91" w:lineRule="exact" w:before="153"/>
        <w:ind w:left="0" w:right="66" w:firstLine="0"/>
        <w:jc w:val="right"/>
        <w:rPr>
          <w:sz w:val="18"/>
        </w:rPr>
      </w:pPr>
      <w:r>
        <w:rPr/>
        <w:br w:type="column"/>
      </w:r>
      <w:r>
        <w:rPr>
          <w:spacing w:val="-5"/>
          <w:sz w:val="18"/>
        </w:rPr>
        <w:t>(4)</w:t>
      </w:r>
    </w:p>
    <w:p>
      <w:pPr>
        <w:spacing w:after="0" w:line="91" w:lineRule="exact"/>
        <w:jc w:val="right"/>
        <w:rPr>
          <w:sz w:val="18"/>
        </w:rPr>
        <w:sectPr>
          <w:type w:val="continuous"/>
          <w:pgSz w:w="10890" w:h="14860"/>
          <w:pgMar w:header="1010" w:footer="1649" w:top="1320" w:bottom="1840" w:left="992" w:right="1133"/>
          <w:cols w:num="3" w:equalWidth="0">
            <w:col w:w="1693" w:space="40"/>
            <w:col w:w="1383" w:space="4444"/>
            <w:col w:w="1205"/>
          </w:cols>
        </w:sectPr>
      </w:pPr>
    </w:p>
    <w:p>
      <w:pPr>
        <w:tabs>
          <w:tab w:pos="350" w:val="left" w:leader="none"/>
        </w:tabs>
        <w:spacing w:before="47"/>
        <w:ind w:left="0" w:right="0" w:firstLine="0"/>
        <w:jc w:val="right"/>
        <w:rPr>
          <w:sz w:val="13"/>
        </w:rPr>
      </w:pPr>
      <w:r>
        <w:rPr>
          <w:spacing w:val="-5"/>
          <w:sz w:val="13"/>
        </w:rPr>
        <w:t>dt</w:t>
      </w:r>
      <w:r>
        <w:rPr>
          <w:sz w:val="13"/>
        </w:rPr>
        <w:tab/>
      </w:r>
      <w:r>
        <w:rPr>
          <w:spacing w:val="-10"/>
          <w:sz w:val="13"/>
        </w:rPr>
        <w:t>V</w:t>
      </w:r>
    </w:p>
    <w:p>
      <w:pPr>
        <w:tabs>
          <w:tab w:pos="787" w:val="left" w:leader="none"/>
          <w:tab w:pos="1387" w:val="left" w:leader="none"/>
        </w:tabs>
        <w:spacing w:line="144" w:lineRule="exact" w:before="0"/>
        <w:ind w:left="226" w:right="0" w:firstLine="0"/>
        <w:jc w:val="left"/>
        <w:rPr>
          <w:sz w:val="13"/>
        </w:rPr>
      </w:pPr>
      <w:r>
        <w:rPr/>
        <w:br w:type="column"/>
      </w:r>
      <w:r>
        <w:rPr>
          <w:spacing w:val="-4"/>
          <w:sz w:val="13"/>
        </w:rPr>
        <w:t>B,in</w:t>
      </w:r>
      <w:r>
        <w:rPr>
          <w:sz w:val="13"/>
        </w:rPr>
        <w:tab/>
      </w:r>
      <w:r>
        <w:rPr>
          <w:spacing w:val="-12"/>
          <w:sz w:val="13"/>
        </w:rPr>
        <w:t>B</w:t>
      </w:r>
      <w:r>
        <w:rPr>
          <w:sz w:val="13"/>
        </w:rPr>
        <w:tab/>
        <w:t>A</w:t>
      </w:r>
      <w:r>
        <w:rPr>
          <w:spacing w:val="76"/>
          <w:w w:val="150"/>
          <w:sz w:val="13"/>
        </w:rPr>
        <w:t> </w:t>
      </w:r>
      <w:r>
        <w:rPr>
          <w:spacing w:val="-10"/>
          <w:sz w:val="13"/>
        </w:rPr>
        <w:t>B</w:t>
      </w:r>
    </w:p>
    <w:p>
      <w:pPr>
        <w:spacing w:after="0" w:line="144" w:lineRule="exact"/>
        <w:jc w:val="left"/>
        <w:rPr>
          <w:sz w:val="13"/>
        </w:rPr>
        <w:sectPr>
          <w:type w:val="continuous"/>
          <w:pgSz w:w="10890" w:h="14860"/>
          <w:pgMar w:header="1010" w:footer="1649" w:top="1320" w:bottom="1840" w:left="992" w:right="1133"/>
          <w:cols w:num="2" w:equalWidth="0">
            <w:col w:w="1425" w:space="40"/>
            <w:col w:w="7300"/>
          </w:cols>
        </w:sectPr>
      </w:pPr>
    </w:p>
    <w:p>
      <w:pPr>
        <w:pStyle w:val="BodyText"/>
        <w:spacing w:before="9"/>
        <w:rPr>
          <w:sz w:val="10"/>
        </w:rPr>
      </w:pPr>
    </w:p>
    <w:p>
      <w:pPr>
        <w:pStyle w:val="BodyText"/>
        <w:spacing w:after="0"/>
        <w:rPr>
          <w:sz w:val="10"/>
        </w:rPr>
        <w:sectPr>
          <w:type w:val="continuous"/>
          <w:pgSz w:w="10890" w:h="14860"/>
          <w:pgMar w:header="1010" w:footer="1649" w:top="1320" w:bottom="1840" w:left="992" w:right="1133"/>
        </w:sectPr>
      </w:pPr>
    </w:p>
    <w:p>
      <w:pPr>
        <w:pStyle w:val="BodyText"/>
        <w:spacing w:before="89"/>
        <w:ind w:left="625"/>
      </w:pPr>
      <w:r>
        <w:rPr/>
        <w:t>For</w:t>
      </w:r>
      <w:r>
        <w:rPr>
          <w:spacing w:val="7"/>
        </w:rPr>
        <w:t> </w:t>
      </w:r>
      <w:r>
        <w:rPr/>
        <w:t>products</w:t>
      </w:r>
      <w:r>
        <w:rPr>
          <w:spacing w:val="-5"/>
        </w:rPr>
        <w:t> </w:t>
      </w:r>
      <w:r>
        <w:rPr>
          <w:rFonts w:ascii="Cambria Math"/>
        </w:rPr>
        <w:t>C</w:t>
      </w:r>
      <w:r>
        <w:rPr>
          <w:rFonts w:ascii="Cambria Math"/>
          <w:position w:val="-3"/>
          <w:sz w:val="14"/>
        </w:rPr>
        <w:t>C</w:t>
      </w:r>
      <w:r>
        <w:rPr>
          <w:rFonts w:ascii="Cambria Math"/>
        </w:rPr>
        <w:t>,</w:t>
      </w:r>
      <w:r>
        <w:rPr>
          <w:rFonts w:ascii="Cambria Math"/>
          <w:spacing w:val="-11"/>
        </w:rPr>
        <w:t> </w:t>
      </w:r>
      <w:r>
        <w:rPr>
          <w:rFonts w:ascii="Cambria Math"/>
          <w:spacing w:val="-5"/>
        </w:rPr>
        <w:t>C</w:t>
      </w:r>
      <w:r>
        <w:rPr>
          <w:rFonts w:ascii="Cambria Math"/>
          <w:spacing w:val="-5"/>
          <w:position w:val="-3"/>
          <w:sz w:val="14"/>
        </w:rPr>
        <w:t>D</w:t>
      </w:r>
      <w:r>
        <w:rPr>
          <w:spacing w:val="-5"/>
        </w:rPr>
        <w:t>:</w:t>
      </w:r>
    </w:p>
    <w:p>
      <w:pPr>
        <w:pStyle w:val="BodyText"/>
        <w:spacing w:before="10"/>
      </w:pPr>
    </w:p>
    <w:p>
      <w:pPr>
        <w:spacing w:line="154" w:lineRule="exact" w:before="0"/>
        <w:ind w:left="908" w:right="0" w:firstLine="0"/>
        <w:jc w:val="left"/>
        <w:rPr>
          <w:sz w:val="18"/>
        </w:rPr>
      </w:pPr>
      <w:r>
        <w:rPr>
          <w:position w:val="11"/>
          <w:sz w:val="13"/>
          <w:u w:val="single"/>
        </w:rPr>
        <w:t>dC</w:t>
      </w:r>
      <w:r>
        <w:rPr>
          <w:position w:val="8"/>
          <w:sz w:val="10"/>
          <w:u w:val="single"/>
        </w:rPr>
        <w:t>c</w:t>
      </w:r>
      <w:r>
        <w:rPr>
          <w:spacing w:val="5"/>
          <w:position w:val="8"/>
          <w:sz w:val="10"/>
        </w:rPr>
        <w:t> </w:t>
      </w:r>
      <w:r>
        <w:rPr>
          <w:sz w:val="18"/>
        </w:rPr>
        <w:t>=</w:t>
      </w:r>
      <w:r>
        <w:rPr>
          <w:spacing w:val="-19"/>
          <w:sz w:val="18"/>
        </w:rPr>
        <w:t> </w:t>
      </w:r>
      <w:r>
        <w:rPr>
          <w:sz w:val="18"/>
          <w:u w:val="single"/>
          <w:vertAlign w:val="superscript"/>
        </w:rPr>
        <w:t>Fin</w:t>
      </w:r>
      <w:r>
        <w:rPr>
          <w:spacing w:val="-10"/>
          <w:sz w:val="18"/>
          <w:vertAlign w:val="baseline"/>
        </w:rPr>
        <w:t> </w:t>
      </w:r>
      <w:r>
        <w:rPr>
          <w:rFonts w:ascii="Cambria Math" w:hAnsi="Cambria Math"/>
          <w:sz w:val="18"/>
          <w:vertAlign w:val="baseline"/>
        </w:rPr>
        <w:t>(−</w:t>
      </w:r>
      <w:r>
        <w:rPr>
          <w:sz w:val="18"/>
          <w:vertAlign w:val="baseline"/>
        </w:rPr>
        <w:t>C</w:t>
      </w:r>
      <w:r>
        <w:rPr>
          <w:spacing w:val="47"/>
          <w:sz w:val="18"/>
          <w:vertAlign w:val="baseline"/>
        </w:rPr>
        <w:t> </w:t>
      </w:r>
      <w:r>
        <w:rPr>
          <w:rFonts w:ascii="Cambria Math" w:hAnsi="Cambria Math"/>
          <w:sz w:val="18"/>
          <w:vertAlign w:val="baseline"/>
        </w:rPr>
        <w:t>)</w:t>
      </w:r>
      <w:r>
        <w:rPr>
          <w:sz w:val="18"/>
          <w:vertAlign w:val="baseline"/>
        </w:rPr>
        <w:t>+kC</w:t>
      </w:r>
      <w:r>
        <w:rPr>
          <w:spacing w:val="52"/>
          <w:sz w:val="18"/>
          <w:vertAlign w:val="baseline"/>
        </w:rPr>
        <w:t> </w:t>
      </w:r>
      <w:r>
        <w:rPr>
          <w:spacing w:val="-10"/>
          <w:sz w:val="18"/>
          <w:vertAlign w:val="baseline"/>
        </w:rPr>
        <w:t>C</w:t>
      </w:r>
    </w:p>
    <w:p>
      <w:pPr>
        <w:pStyle w:val="BodyText"/>
        <w:rPr>
          <w:sz w:val="18"/>
        </w:rPr>
      </w:pPr>
      <w:r>
        <w:rPr/>
        <w:br w:type="column"/>
      </w:r>
      <w:r>
        <w:rPr>
          <w:sz w:val="18"/>
        </w:rPr>
      </w:r>
    </w:p>
    <w:p>
      <w:pPr>
        <w:pStyle w:val="BodyText"/>
        <w:rPr>
          <w:sz w:val="18"/>
        </w:rPr>
      </w:pPr>
    </w:p>
    <w:p>
      <w:pPr>
        <w:pStyle w:val="BodyText"/>
        <w:spacing w:before="33"/>
        <w:rPr>
          <w:sz w:val="18"/>
        </w:rPr>
      </w:pPr>
    </w:p>
    <w:p>
      <w:pPr>
        <w:spacing w:line="91" w:lineRule="exact" w:before="0"/>
        <w:ind w:left="0" w:right="66" w:firstLine="0"/>
        <w:jc w:val="right"/>
        <w:rPr>
          <w:sz w:val="18"/>
        </w:rPr>
      </w:pPr>
      <w:r>
        <w:rPr>
          <w:spacing w:val="-5"/>
          <w:sz w:val="18"/>
        </w:rPr>
        <w:t>(5)</w:t>
      </w:r>
    </w:p>
    <w:p>
      <w:pPr>
        <w:spacing w:after="0" w:line="91" w:lineRule="exact"/>
        <w:jc w:val="right"/>
        <w:rPr>
          <w:sz w:val="18"/>
        </w:rPr>
        <w:sectPr>
          <w:type w:val="continuous"/>
          <w:pgSz w:w="10890" w:h="14860"/>
          <w:pgMar w:header="1010" w:footer="1649" w:top="1320" w:bottom="1840" w:left="992" w:right="1133"/>
          <w:cols w:num="2" w:equalWidth="0">
            <w:col w:w="2535" w:space="5318"/>
            <w:col w:w="912"/>
          </w:cols>
        </w:sectPr>
      </w:pPr>
    </w:p>
    <w:p>
      <w:pPr>
        <w:tabs>
          <w:tab w:pos="1297" w:val="left" w:leader="none"/>
          <w:tab w:pos="1787" w:val="left" w:leader="none"/>
          <w:tab w:pos="2271" w:val="left" w:leader="none"/>
        </w:tabs>
        <w:spacing w:line="228" w:lineRule="auto" w:before="0"/>
        <w:ind w:left="956" w:right="0" w:firstLine="0"/>
        <w:jc w:val="left"/>
        <w:rPr>
          <w:sz w:val="13"/>
        </w:rPr>
      </w:pPr>
      <w:r>
        <w:rPr>
          <w:spacing w:val="-5"/>
          <w:position w:val="-4"/>
          <w:sz w:val="13"/>
        </w:rPr>
        <w:t>dt</w:t>
      </w:r>
      <w:r>
        <w:rPr>
          <w:position w:val="-4"/>
          <w:sz w:val="13"/>
        </w:rPr>
        <w:tab/>
      </w:r>
      <w:r>
        <w:rPr>
          <w:spacing w:val="-10"/>
          <w:position w:val="-4"/>
          <w:sz w:val="13"/>
        </w:rPr>
        <w:t>V</w:t>
      </w:r>
      <w:r>
        <w:rPr>
          <w:position w:val="-4"/>
          <w:sz w:val="13"/>
        </w:rPr>
        <w:tab/>
      </w:r>
      <w:r>
        <w:rPr>
          <w:spacing w:val="-10"/>
          <w:sz w:val="13"/>
        </w:rPr>
        <w:t>C</w:t>
      </w:r>
      <w:r>
        <w:rPr>
          <w:sz w:val="13"/>
        </w:rPr>
        <w:tab/>
        <w:t>A</w:t>
      </w:r>
      <w:r>
        <w:rPr>
          <w:spacing w:val="76"/>
          <w:w w:val="150"/>
          <w:sz w:val="13"/>
        </w:rPr>
        <w:t> </w:t>
      </w:r>
      <w:r>
        <w:rPr>
          <w:spacing w:val="-10"/>
          <w:sz w:val="13"/>
        </w:rPr>
        <w:t>B</w:t>
      </w:r>
    </w:p>
    <w:p>
      <w:pPr>
        <w:pStyle w:val="BodyText"/>
        <w:spacing w:before="1"/>
        <w:rPr>
          <w:sz w:val="10"/>
        </w:rPr>
      </w:pPr>
    </w:p>
    <w:p>
      <w:pPr>
        <w:pStyle w:val="BodyText"/>
        <w:spacing w:after="0"/>
        <w:rPr>
          <w:sz w:val="10"/>
        </w:rPr>
        <w:sectPr>
          <w:type w:val="continuous"/>
          <w:pgSz w:w="10890" w:h="14860"/>
          <w:pgMar w:header="1010" w:footer="1649" w:top="1320" w:bottom="1840" w:left="992" w:right="1133"/>
        </w:sectPr>
      </w:pPr>
    </w:p>
    <w:p>
      <w:pPr>
        <w:spacing w:line="154" w:lineRule="exact" w:before="90"/>
        <w:ind w:left="918" w:right="0" w:firstLine="0"/>
        <w:jc w:val="left"/>
        <w:rPr>
          <w:sz w:val="18"/>
        </w:rPr>
      </w:pPr>
      <w:r>
        <w:rPr>
          <w:position w:val="11"/>
          <w:sz w:val="13"/>
          <w:u w:val="single"/>
        </w:rPr>
        <w:t>dC</w:t>
      </w:r>
      <w:r>
        <w:rPr>
          <w:rFonts w:ascii="Cambria Math" w:hAnsi="Cambria Math"/>
          <w:position w:val="8"/>
          <w:sz w:val="10"/>
          <w:u w:val="single"/>
        </w:rPr>
        <w:t>D</w:t>
      </w:r>
      <w:r>
        <w:rPr>
          <w:rFonts w:ascii="Cambria Math" w:hAnsi="Cambria Math"/>
          <w:spacing w:val="9"/>
          <w:position w:val="8"/>
          <w:sz w:val="10"/>
        </w:rPr>
        <w:t> </w:t>
      </w:r>
      <w:r>
        <w:rPr>
          <w:sz w:val="18"/>
        </w:rPr>
        <w:t>=</w:t>
      </w:r>
      <w:r>
        <w:rPr>
          <w:spacing w:val="-19"/>
          <w:sz w:val="18"/>
        </w:rPr>
        <w:t> </w:t>
      </w:r>
      <w:r>
        <w:rPr>
          <w:sz w:val="18"/>
          <w:u w:val="single"/>
          <w:vertAlign w:val="superscript"/>
        </w:rPr>
        <w:t>Fin</w:t>
      </w:r>
      <w:r>
        <w:rPr>
          <w:spacing w:val="-11"/>
          <w:sz w:val="18"/>
          <w:vertAlign w:val="baseline"/>
        </w:rPr>
        <w:t> </w:t>
      </w:r>
      <w:r>
        <w:rPr>
          <w:rFonts w:ascii="Cambria Math" w:hAnsi="Cambria Math"/>
          <w:sz w:val="18"/>
          <w:vertAlign w:val="baseline"/>
        </w:rPr>
        <w:t>(−</w:t>
      </w:r>
      <w:r>
        <w:rPr>
          <w:sz w:val="18"/>
          <w:vertAlign w:val="baseline"/>
        </w:rPr>
        <w:t>C</w:t>
      </w:r>
      <w:r>
        <w:rPr>
          <w:spacing w:val="41"/>
          <w:sz w:val="18"/>
          <w:vertAlign w:val="baseline"/>
        </w:rPr>
        <w:t> </w:t>
      </w:r>
      <w:r>
        <w:rPr>
          <w:rFonts w:ascii="Cambria Math" w:hAnsi="Cambria Math"/>
          <w:sz w:val="18"/>
          <w:vertAlign w:val="baseline"/>
        </w:rPr>
        <w:t>)</w:t>
      </w:r>
      <w:r>
        <w:rPr>
          <w:sz w:val="18"/>
          <w:vertAlign w:val="baseline"/>
        </w:rPr>
        <w:t>+kC</w:t>
      </w:r>
      <w:r>
        <w:rPr>
          <w:spacing w:val="50"/>
          <w:sz w:val="18"/>
          <w:vertAlign w:val="baseline"/>
        </w:rPr>
        <w:t> </w:t>
      </w:r>
      <w:r>
        <w:rPr>
          <w:spacing w:val="-10"/>
          <w:sz w:val="18"/>
          <w:vertAlign w:val="baseline"/>
        </w:rPr>
        <w:t>C</w:t>
      </w:r>
    </w:p>
    <w:p>
      <w:pPr>
        <w:spacing w:line="91" w:lineRule="exact" w:before="153"/>
        <w:ind w:left="0" w:right="66" w:firstLine="0"/>
        <w:jc w:val="right"/>
        <w:rPr>
          <w:sz w:val="18"/>
        </w:rPr>
      </w:pPr>
      <w:r>
        <w:rPr/>
        <w:br w:type="column"/>
      </w:r>
      <w:r>
        <w:rPr>
          <w:spacing w:val="-5"/>
          <w:sz w:val="18"/>
        </w:rPr>
        <w:t>(6)</w:t>
      </w:r>
    </w:p>
    <w:p>
      <w:pPr>
        <w:spacing w:after="0" w:line="91" w:lineRule="exact"/>
        <w:jc w:val="right"/>
        <w:rPr>
          <w:sz w:val="18"/>
        </w:rPr>
        <w:sectPr>
          <w:type w:val="continuous"/>
          <w:pgSz w:w="10890" w:h="14860"/>
          <w:pgMar w:header="1010" w:footer="1649" w:top="1320" w:bottom="1840" w:left="992" w:right="1133"/>
          <w:cols w:num="2" w:equalWidth="0">
            <w:col w:w="2559" w:space="5001"/>
            <w:col w:w="1205"/>
          </w:cols>
        </w:sectPr>
      </w:pPr>
    </w:p>
    <w:p>
      <w:pPr>
        <w:tabs>
          <w:tab w:pos="350" w:val="left" w:leader="none"/>
        </w:tabs>
        <w:spacing w:before="47"/>
        <w:ind w:left="0" w:right="0" w:firstLine="0"/>
        <w:jc w:val="right"/>
        <w:rPr>
          <w:sz w:val="13"/>
        </w:rPr>
      </w:pPr>
      <w:r>
        <w:rPr>
          <w:spacing w:val="-5"/>
          <w:sz w:val="13"/>
        </w:rPr>
        <w:t>dt</w:t>
      </w:r>
      <w:r>
        <w:rPr>
          <w:sz w:val="13"/>
        </w:rPr>
        <w:tab/>
      </w:r>
      <w:r>
        <w:rPr>
          <w:spacing w:val="-10"/>
          <w:sz w:val="13"/>
        </w:rPr>
        <w:t>V</w:t>
      </w:r>
    </w:p>
    <w:p>
      <w:pPr>
        <w:tabs>
          <w:tab w:pos="831" w:val="left" w:leader="none"/>
        </w:tabs>
        <w:spacing w:line="144" w:lineRule="exact" w:before="0"/>
        <w:ind w:left="356" w:right="0" w:firstLine="0"/>
        <w:jc w:val="left"/>
        <w:rPr>
          <w:sz w:val="13"/>
        </w:rPr>
      </w:pPr>
      <w:r>
        <w:rPr/>
        <w:br w:type="column"/>
      </w:r>
      <w:r>
        <w:rPr>
          <w:rFonts w:ascii="Cambria Math"/>
          <w:spacing w:val="-10"/>
          <w:sz w:val="13"/>
        </w:rPr>
        <w:t>B</w:t>
      </w:r>
      <w:r>
        <w:rPr>
          <w:rFonts w:ascii="Cambria Math"/>
          <w:sz w:val="13"/>
        </w:rPr>
        <w:tab/>
      </w:r>
      <w:r>
        <w:rPr>
          <w:sz w:val="13"/>
        </w:rPr>
        <w:t>A</w:t>
      </w:r>
      <w:r>
        <w:rPr>
          <w:spacing w:val="76"/>
          <w:w w:val="150"/>
          <w:sz w:val="13"/>
        </w:rPr>
        <w:t> </w:t>
      </w:r>
      <w:r>
        <w:rPr>
          <w:spacing w:val="-10"/>
          <w:sz w:val="13"/>
        </w:rPr>
        <w:t>B</w:t>
      </w:r>
    </w:p>
    <w:p>
      <w:pPr>
        <w:spacing w:after="0" w:line="144" w:lineRule="exact"/>
        <w:jc w:val="left"/>
        <w:rPr>
          <w:sz w:val="13"/>
        </w:rPr>
        <w:sectPr>
          <w:type w:val="continuous"/>
          <w:pgSz w:w="10890" w:h="14860"/>
          <w:pgMar w:header="1010" w:footer="1649" w:top="1320" w:bottom="1840" w:left="992" w:right="1133"/>
          <w:cols w:num="2" w:equalWidth="0">
            <w:col w:w="1425" w:space="40"/>
            <w:col w:w="7300"/>
          </w:cols>
        </w:sectPr>
      </w:pPr>
    </w:p>
    <w:p>
      <w:pPr>
        <w:pStyle w:val="BodyText"/>
        <w:spacing w:line="266" w:lineRule="auto" w:before="213"/>
        <w:ind w:left="198" w:right="52"/>
        <w:jc w:val="both"/>
      </w:pPr>
      <w:r>
        <w:rPr/>
        <w:t>where C</w:t>
      </w:r>
      <w:r>
        <w:rPr>
          <w:vertAlign w:val="subscript"/>
        </w:rPr>
        <w:t>A</w:t>
      </w:r>
      <w:r>
        <w:rPr>
          <w:rFonts w:ascii="Cambria Math"/>
          <w:vertAlign w:val="baseline"/>
        </w:rPr>
        <w:t>,</w:t>
      </w:r>
      <w:r>
        <w:rPr>
          <w:rFonts w:ascii="Cambria Math"/>
          <w:spacing w:val="-12"/>
          <w:vertAlign w:val="baseline"/>
        </w:rPr>
        <w:t> </w:t>
      </w:r>
      <w:r>
        <w:rPr>
          <w:vertAlign w:val="baseline"/>
        </w:rPr>
        <w:t>C</w:t>
      </w:r>
      <w:r>
        <w:rPr>
          <w:vertAlign w:val="subscript"/>
        </w:rPr>
        <w:t>B</w:t>
      </w:r>
      <w:r>
        <w:rPr>
          <w:vertAlign w:val="baseline"/>
        </w:rPr>
        <w:t>: concentrations of ethyl acetate and sodium hydroxide, C</w:t>
      </w:r>
      <w:r>
        <w:rPr>
          <w:vertAlign w:val="subscript"/>
        </w:rPr>
        <w:t>C</w:t>
      </w:r>
      <w:r>
        <w:rPr>
          <w:rFonts w:ascii="Cambria Math"/>
          <w:vertAlign w:val="baseline"/>
        </w:rPr>
        <w:t>,</w:t>
      </w:r>
      <w:r>
        <w:rPr>
          <w:rFonts w:ascii="Cambria Math"/>
          <w:spacing w:val="-12"/>
          <w:vertAlign w:val="baseline"/>
        </w:rPr>
        <w:t> </w:t>
      </w:r>
      <w:r>
        <w:rPr>
          <w:vertAlign w:val="baseline"/>
        </w:rPr>
        <w:t>C</w:t>
      </w:r>
      <w:r>
        <w:rPr>
          <w:vertAlign w:val="subscript"/>
        </w:rPr>
        <w:t>D</w:t>
      </w:r>
      <w:r>
        <w:rPr>
          <w:vertAlign w:val="baseline"/>
        </w:rPr>
        <w:t>: concentrations of sodium acetate and ethanol, C</w:t>
      </w:r>
      <w:r>
        <w:rPr>
          <w:vertAlign w:val="subscript"/>
        </w:rPr>
        <w:t>A</w:t>
      </w:r>
      <w:r>
        <w:rPr>
          <w:rFonts w:ascii="Cambria Math"/>
          <w:vertAlign w:val="subscript"/>
        </w:rPr>
        <w:t>,in</w:t>
      </w:r>
      <w:r>
        <w:rPr>
          <w:rFonts w:ascii="Cambria Math"/>
          <w:vertAlign w:val="baseline"/>
        </w:rPr>
        <w:t>, </w:t>
      </w:r>
      <w:r>
        <w:rPr>
          <w:vertAlign w:val="baseline"/>
        </w:rPr>
        <w:t>C</w:t>
      </w:r>
      <w:r>
        <w:rPr>
          <w:position w:val="-5"/>
          <w:sz w:val="14"/>
          <w:vertAlign w:val="baseline"/>
        </w:rPr>
        <w:t>B</w:t>
      </w:r>
      <w:r>
        <w:rPr>
          <w:rFonts w:ascii="Cambria Math"/>
          <w:position w:val="-5"/>
          <w:sz w:val="14"/>
          <w:vertAlign w:val="baseline"/>
        </w:rPr>
        <w:t>,in</w:t>
      </w:r>
      <w:r>
        <w:rPr>
          <w:vertAlign w:val="baseline"/>
        </w:rPr>
        <w:t>: inlet concentration of reactants, </w:t>
      </w:r>
      <w:r>
        <w:rPr>
          <w:rFonts w:ascii="Cambria Math"/>
          <w:vertAlign w:val="baseline"/>
        </w:rPr>
        <w:t>F</w:t>
      </w:r>
      <w:r>
        <w:rPr>
          <w:rFonts w:ascii="Cambria Math"/>
          <w:position w:val="-3"/>
          <w:sz w:val="14"/>
          <w:vertAlign w:val="baseline"/>
        </w:rPr>
        <w:t>in</w:t>
      </w:r>
      <w:r>
        <w:rPr>
          <w:vertAlign w:val="baseline"/>
        </w:rPr>
        <w:t>: volumetric flow rate of the reactants, V: reactor volume, and k: reaction rate constant</w:t>
      </w:r>
    </w:p>
    <w:p>
      <w:pPr>
        <w:pStyle w:val="BodyText"/>
        <w:spacing w:line="276" w:lineRule="auto" w:before="131"/>
        <w:ind w:left="198" w:right="52" w:firstLine="340"/>
        <w:jc w:val="both"/>
      </w:pPr>
      <w:r>
        <w:rPr/>
        <w:t>Equations (1) to (7) collectively define the kinetic framework, where (1) represents the overall saponification reaction, (2) specifies the second-order rate law, (3)</w:t>
      </w:r>
      <w:r>
        <w:rPr>
          <w:rFonts w:ascii="Symbol" w:hAnsi="Symbol"/>
        </w:rPr>
        <w:t></w:t>
      </w:r>
      <w:r>
        <w:rPr/>
        <w:t>(6) establish the component mass balances, and (7) introduces the Arrhenius temperature dependence of the rate constant. Together, these equations formed the basis for simulating the reactor dynamics.</w:t>
      </w:r>
    </w:p>
    <w:p>
      <w:pPr>
        <w:pStyle w:val="BodyText"/>
        <w:spacing w:before="120"/>
        <w:ind w:left="625"/>
        <w:jc w:val="both"/>
      </w:pPr>
      <w:r>
        <w:rPr/>
        <w:t>Temperature</w:t>
      </w:r>
      <w:r>
        <w:rPr>
          <w:spacing w:val="-13"/>
        </w:rPr>
        <w:t> </w:t>
      </w:r>
      <w:r>
        <w:rPr/>
        <w:t>Dependency</w:t>
      </w:r>
      <w:r>
        <w:rPr>
          <w:spacing w:val="-12"/>
        </w:rPr>
        <w:t> </w:t>
      </w:r>
      <w:r>
        <w:rPr/>
        <w:t>(Arrhenius</w:t>
      </w:r>
      <w:r>
        <w:rPr>
          <w:spacing w:val="-12"/>
        </w:rPr>
        <w:t> </w:t>
      </w:r>
      <w:r>
        <w:rPr>
          <w:spacing w:val="-2"/>
        </w:rPr>
        <w:t>Equation):</w:t>
      </w:r>
    </w:p>
    <w:p>
      <w:pPr>
        <w:pStyle w:val="BodyText"/>
        <w:rPr>
          <w:sz w:val="10"/>
        </w:rPr>
      </w:pPr>
    </w:p>
    <w:p>
      <w:pPr>
        <w:pStyle w:val="BodyText"/>
        <w:spacing w:before="44"/>
        <w:rPr>
          <w:sz w:val="10"/>
        </w:rPr>
      </w:pPr>
    </w:p>
    <w:p>
      <w:pPr>
        <w:spacing w:line="113" w:lineRule="exact" w:before="0"/>
        <w:ind w:left="1503" w:right="0" w:firstLine="0"/>
        <w:jc w:val="left"/>
        <w:rPr>
          <w:rFonts w:ascii="Cambria Math"/>
          <w:sz w:val="10"/>
        </w:rPr>
      </w:pPr>
      <w:r>
        <w:rPr>
          <w:rFonts w:ascii="Cambria Math"/>
          <w:sz w:val="10"/>
        </w:rPr>
        <mc:AlternateContent>
          <mc:Choice Requires="wps">
            <w:drawing>
              <wp:anchor distT="0" distB="0" distL="0" distR="0" allowOverlap="1" layoutInCell="1" locked="0" behindDoc="1" simplePos="0" relativeHeight="487086592">
                <wp:simplePos x="0" y="0"/>
                <wp:positionH relativeFrom="page">
                  <wp:posOffset>1520952</wp:posOffset>
                </wp:positionH>
                <wp:positionV relativeFrom="paragraph">
                  <wp:posOffset>45737</wp:posOffset>
                </wp:positionV>
                <wp:extent cx="60325" cy="825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60325" cy="82550"/>
                        </a:xfrm>
                        <a:prstGeom prst="rect">
                          <a:avLst/>
                        </a:prstGeom>
                      </wps:spPr>
                      <wps:txbx>
                        <w:txbxContent>
                          <w:p>
                            <w:pPr>
                              <w:spacing w:line="130" w:lineRule="exact" w:before="0"/>
                              <w:ind w:left="0" w:right="0" w:firstLine="0"/>
                              <w:jc w:val="left"/>
                              <w:rPr>
                                <w:rFonts w:ascii="Cambria Math" w:hAnsi="Cambria Math"/>
                                <w:sz w:val="13"/>
                              </w:rPr>
                            </w:pPr>
                            <w:r>
                              <w:rPr>
                                <w:rFonts w:ascii="Cambria Math" w:hAnsi="Cambria Math"/>
                                <w:spacing w:val="-14"/>
                                <w:sz w:val="13"/>
                              </w:rPr>
                              <w:t>−</w:t>
                            </w:r>
                          </w:p>
                        </w:txbxContent>
                      </wps:txbx>
                      <wps:bodyPr wrap="square" lIns="0" tIns="0" rIns="0" bIns="0" rtlCol="0">
                        <a:noAutofit/>
                      </wps:bodyPr>
                    </wps:wsp>
                  </a:graphicData>
                </a:graphic>
              </wp:anchor>
            </w:drawing>
          </mc:Choice>
          <mc:Fallback>
            <w:pict>
              <v:shape style="position:absolute;margin-left:119.760002pt;margin-top:3.6014pt;width:4.75pt;height:6.5pt;mso-position-horizontal-relative:page;mso-position-vertical-relative:paragraph;z-index:-16229888" type="#_x0000_t202" id="docshape37" filled="false" stroked="false">
                <v:textbox inset="0,0,0,0">
                  <w:txbxContent>
                    <w:p>
                      <w:pPr>
                        <w:spacing w:line="130" w:lineRule="exact" w:before="0"/>
                        <w:ind w:left="0" w:right="0" w:firstLine="0"/>
                        <w:jc w:val="left"/>
                        <w:rPr>
                          <w:rFonts w:ascii="Cambria Math" w:hAnsi="Cambria Math"/>
                          <w:sz w:val="13"/>
                        </w:rPr>
                      </w:pPr>
                      <w:r>
                        <w:rPr>
                          <w:rFonts w:ascii="Cambria Math" w:hAnsi="Cambria Math"/>
                          <w:spacing w:val="-14"/>
                          <w:sz w:val="13"/>
                        </w:rPr>
                        <w:t>−</w:t>
                      </w:r>
                    </w:p>
                  </w:txbxContent>
                </v:textbox>
                <w10:wrap type="none"/>
              </v:shape>
            </w:pict>
          </mc:Fallback>
        </mc:AlternateContent>
      </w:r>
      <w:r>
        <w:rPr>
          <w:rFonts w:ascii="Cambria Math"/>
          <w:spacing w:val="-5"/>
          <w:w w:val="120"/>
          <w:position w:val="2"/>
          <w:sz w:val="10"/>
          <w:u w:val="single"/>
        </w:rPr>
        <w:t>E</w:t>
      </w:r>
      <w:r>
        <w:rPr>
          <w:rFonts w:ascii="Cambria Math"/>
          <w:spacing w:val="-5"/>
          <w:w w:val="120"/>
          <w:sz w:val="10"/>
          <w:u w:val="single"/>
        </w:rPr>
        <w:t>a</w:t>
      </w:r>
    </w:p>
    <w:p>
      <w:pPr>
        <w:tabs>
          <w:tab w:pos="8477" w:val="left" w:leader="none"/>
        </w:tabs>
        <w:spacing w:line="187" w:lineRule="exact" w:before="0"/>
        <w:ind w:left="918" w:right="0" w:firstLine="0"/>
        <w:jc w:val="left"/>
        <w:rPr>
          <w:sz w:val="18"/>
        </w:rPr>
      </w:pPr>
      <w:r>
        <w:rPr>
          <w:sz w:val="18"/>
        </w:rPr>
        <w:t>k</w:t>
      </w:r>
      <w:r>
        <w:rPr>
          <w:spacing w:val="3"/>
          <w:sz w:val="18"/>
        </w:rPr>
        <w:t> </w:t>
      </w:r>
      <w:r>
        <w:rPr>
          <w:sz w:val="18"/>
        </w:rPr>
        <w:t>=</w:t>
      </w:r>
      <w:r>
        <w:rPr>
          <w:spacing w:val="-3"/>
          <w:sz w:val="18"/>
        </w:rPr>
        <w:t> </w:t>
      </w:r>
      <w:r>
        <w:rPr>
          <w:rFonts w:ascii="Cambria Math"/>
          <w:sz w:val="18"/>
        </w:rPr>
        <w:t>Ae</w:t>
      </w:r>
      <w:r>
        <w:rPr>
          <w:rFonts w:ascii="Cambria Math"/>
          <w:spacing w:val="55"/>
          <w:sz w:val="18"/>
        </w:rPr>
        <w:t> </w:t>
      </w:r>
      <w:r>
        <w:rPr>
          <w:rFonts w:ascii="Cambria Math"/>
          <w:spacing w:val="-5"/>
          <w:position w:val="2"/>
          <w:sz w:val="10"/>
        </w:rPr>
        <w:t>RT</w:t>
      </w:r>
      <w:r>
        <w:rPr>
          <w:rFonts w:ascii="Cambria Math"/>
          <w:position w:val="2"/>
          <w:sz w:val="10"/>
        </w:rPr>
        <w:tab/>
      </w:r>
      <w:r>
        <w:rPr>
          <w:spacing w:val="-5"/>
          <w:sz w:val="18"/>
        </w:rPr>
        <w:t>(7)</w:t>
      </w:r>
    </w:p>
    <w:p>
      <w:pPr>
        <w:pStyle w:val="BodyText"/>
        <w:spacing w:before="33"/>
        <w:rPr>
          <w:sz w:val="18"/>
        </w:rPr>
      </w:pPr>
    </w:p>
    <w:p>
      <w:pPr>
        <w:pStyle w:val="BodyText"/>
        <w:ind w:left="539"/>
        <w:jc w:val="both"/>
      </w:pPr>
      <w:r>
        <w:rPr/>
        <w:t>where:</w:t>
      </w:r>
      <w:r>
        <w:rPr>
          <w:spacing w:val="-2"/>
        </w:rPr>
        <w:t> </w:t>
      </w:r>
      <w:r>
        <w:rPr/>
        <w:t>A:</w:t>
      </w:r>
      <w:r>
        <w:rPr>
          <w:spacing w:val="-1"/>
        </w:rPr>
        <w:t> </w:t>
      </w:r>
      <w:r>
        <w:rPr/>
        <w:t>pre-exponential</w:t>
      </w:r>
      <w:r>
        <w:rPr>
          <w:spacing w:val="-1"/>
        </w:rPr>
        <w:t> </w:t>
      </w:r>
      <w:r>
        <w:rPr/>
        <w:t>factor,</w:t>
      </w:r>
      <w:r>
        <w:rPr>
          <w:spacing w:val="-4"/>
        </w:rPr>
        <w:t> </w:t>
      </w:r>
      <w:r>
        <w:rPr>
          <w:rFonts w:ascii="Cambria Math"/>
        </w:rPr>
        <w:t>E</w:t>
      </w:r>
      <w:r>
        <w:rPr>
          <w:rFonts w:ascii="Cambria Math"/>
          <w:position w:val="-3"/>
          <w:sz w:val="14"/>
        </w:rPr>
        <w:t>a</w:t>
      </w:r>
      <w:r>
        <w:rPr/>
        <w:t>:</w:t>
      </w:r>
      <w:r>
        <w:rPr>
          <w:spacing w:val="-6"/>
        </w:rPr>
        <w:t> </w:t>
      </w:r>
      <w:r>
        <w:rPr/>
        <w:t>activation</w:t>
      </w:r>
      <w:r>
        <w:rPr>
          <w:spacing w:val="-6"/>
        </w:rPr>
        <w:t> </w:t>
      </w:r>
      <w:r>
        <w:rPr/>
        <w:t>energy,</w:t>
      </w:r>
      <w:r>
        <w:rPr>
          <w:spacing w:val="-5"/>
        </w:rPr>
        <w:t> </w:t>
      </w:r>
      <w:r>
        <w:rPr/>
        <w:t>R:</w:t>
      </w:r>
      <w:r>
        <w:rPr>
          <w:spacing w:val="-6"/>
        </w:rPr>
        <w:t> </w:t>
      </w:r>
      <w:r>
        <w:rPr/>
        <w:t>gas</w:t>
      </w:r>
      <w:r>
        <w:rPr>
          <w:spacing w:val="-12"/>
        </w:rPr>
        <w:t> </w:t>
      </w:r>
      <w:r>
        <w:rPr/>
        <w:t>constant,</w:t>
      </w:r>
      <w:r>
        <w:rPr>
          <w:spacing w:val="-5"/>
        </w:rPr>
        <w:t> </w:t>
      </w:r>
      <w:r>
        <w:rPr/>
        <w:t>T:</w:t>
      </w:r>
      <w:r>
        <w:rPr>
          <w:spacing w:val="-5"/>
        </w:rPr>
        <w:t> </w:t>
      </w:r>
      <w:r>
        <w:rPr>
          <w:spacing w:val="-2"/>
        </w:rPr>
        <w:t>temperature</w:t>
      </w:r>
    </w:p>
    <w:p>
      <w:pPr>
        <w:pStyle w:val="BodyText"/>
        <w:spacing w:line="271" w:lineRule="auto" w:before="126"/>
        <w:ind w:left="198" w:right="52" w:firstLine="340"/>
        <w:jc w:val="both"/>
      </w:pPr>
      <w:r>
        <w:rPr/>
        <w:t>The system of mass balance equations (3)</w:t>
      </w:r>
      <w:r>
        <w:rPr>
          <w:rFonts w:ascii="Symbol" w:hAnsi="Symbol"/>
        </w:rPr>
        <w:t></w:t>
      </w:r>
      <w:r>
        <w:rPr/>
        <w:t>(6) was implemented in MATLAB and solved using the ODE45</w:t>
      </w:r>
      <w:r>
        <w:rPr>
          <w:spacing w:val="-13"/>
        </w:rPr>
        <w:t> </w:t>
      </w:r>
      <w:r>
        <w:rPr/>
        <w:t>routine.</w:t>
      </w:r>
      <w:r>
        <w:rPr>
          <w:spacing w:val="-12"/>
        </w:rPr>
        <w:t> </w:t>
      </w:r>
      <w:r>
        <w:rPr/>
        <w:t>The</w:t>
      </w:r>
      <w:r>
        <w:rPr>
          <w:spacing w:val="-13"/>
        </w:rPr>
        <w:t> </w:t>
      </w:r>
      <w:r>
        <w:rPr/>
        <w:t>reaction</w:t>
      </w:r>
      <w:r>
        <w:rPr>
          <w:spacing w:val="-12"/>
        </w:rPr>
        <w:t> </w:t>
      </w:r>
      <w:r>
        <w:rPr/>
        <w:t>rate</w:t>
      </w:r>
      <w:r>
        <w:rPr>
          <w:spacing w:val="-13"/>
        </w:rPr>
        <w:t> </w:t>
      </w:r>
      <w:r>
        <w:rPr/>
        <w:t>constant</w:t>
      </w:r>
      <w:r>
        <w:rPr>
          <w:spacing w:val="-12"/>
        </w:rPr>
        <w:t> </w:t>
      </w:r>
      <w:r>
        <w:rPr/>
        <w:t>at</w:t>
      </w:r>
      <w:r>
        <w:rPr>
          <w:spacing w:val="-13"/>
        </w:rPr>
        <w:t> </w:t>
      </w:r>
      <w:r>
        <w:rPr/>
        <w:t>each</w:t>
      </w:r>
      <w:r>
        <w:rPr>
          <w:spacing w:val="-12"/>
        </w:rPr>
        <w:t> </w:t>
      </w:r>
      <w:r>
        <w:rPr/>
        <w:t>temperature</w:t>
      </w:r>
      <w:r>
        <w:rPr>
          <w:spacing w:val="-13"/>
        </w:rPr>
        <w:t> </w:t>
      </w:r>
      <w:r>
        <w:rPr/>
        <w:t>was</w:t>
      </w:r>
      <w:r>
        <w:rPr>
          <w:spacing w:val="-12"/>
        </w:rPr>
        <w:t> </w:t>
      </w:r>
      <w:r>
        <w:rPr/>
        <w:t>evaluated</w:t>
      </w:r>
      <w:r>
        <w:rPr>
          <w:spacing w:val="-13"/>
        </w:rPr>
        <w:t> </w:t>
      </w:r>
      <w:r>
        <w:rPr/>
        <w:t>through</w:t>
      </w:r>
      <w:r>
        <w:rPr>
          <w:spacing w:val="-12"/>
        </w:rPr>
        <w:t> </w:t>
      </w:r>
      <w:r>
        <w:rPr/>
        <w:t>the</w:t>
      </w:r>
      <w:r>
        <w:rPr>
          <w:spacing w:val="-13"/>
        </w:rPr>
        <w:t> </w:t>
      </w:r>
      <w:r>
        <w:rPr/>
        <w:t>Arrhenius</w:t>
      </w:r>
      <w:r>
        <w:rPr>
          <w:spacing w:val="-12"/>
        </w:rPr>
        <w:t> </w:t>
      </w:r>
      <w:r>
        <w:rPr/>
        <w:t>relation in</w:t>
      </w:r>
      <w:r>
        <w:rPr>
          <w:spacing w:val="-5"/>
        </w:rPr>
        <w:t> </w:t>
      </w:r>
      <w:r>
        <w:rPr/>
        <w:t>Equation</w:t>
      </w:r>
      <w:r>
        <w:rPr>
          <w:spacing w:val="-9"/>
        </w:rPr>
        <w:t> </w:t>
      </w:r>
      <w:r>
        <w:rPr/>
        <w:t>(7),</w:t>
      </w:r>
      <w:r>
        <w:rPr>
          <w:spacing w:val="-7"/>
        </w:rPr>
        <w:t> </w:t>
      </w:r>
      <w:r>
        <w:rPr/>
        <w:t>ensuring</w:t>
      </w:r>
      <w:r>
        <w:rPr>
          <w:spacing w:val="-9"/>
        </w:rPr>
        <w:t> </w:t>
      </w:r>
      <w:r>
        <w:rPr/>
        <w:t>that</w:t>
      </w:r>
      <w:r>
        <w:rPr>
          <w:spacing w:val="-3"/>
        </w:rPr>
        <w:t> </w:t>
      </w:r>
      <w:r>
        <w:rPr/>
        <w:t>temperature</w:t>
      </w:r>
      <w:r>
        <w:rPr>
          <w:spacing w:val="-3"/>
        </w:rPr>
        <w:t> </w:t>
      </w:r>
      <w:r>
        <w:rPr/>
        <w:t>dependence</w:t>
      </w:r>
      <w:r>
        <w:rPr>
          <w:spacing w:val="-3"/>
        </w:rPr>
        <w:t> </w:t>
      </w:r>
      <w:r>
        <w:rPr/>
        <w:t>was</w:t>
      </w:r>
      <w:r>
        <w:rPr>
          <w:spacing w:val="-6"/>
        </w:rPr>
        <w:t> </w:t>
      </w:r>
      <w:r>
        <w:rPr/>
        <w:t>fully</w:t>
      </w:r>
      <w:r>
        <w:rPr>
          <w:spacing w:val="-9"/>
        </w:rPr>
        <w:t> </w:t>
      </w:r>
      <w:r>
        <w:rPr/>
        <w:t>incorporated</w:t>
      </w:r>
      <w:r>
        <w:rPr>
          <w:spacing w:val="-5"/>
        </w:rPr>
        <w:t> </w:t>
      </w:r>
      <w:r>
        <w:rPr/>
        <w:t>into</w:t>
      </w:r>
      <w:r>
        <w:rPr>
          <w:spacing w:val="-5"/>
        </w:rPr>
        <w:t> </w:t>
      </w:r>
      <w:r>
        <w:rPr/>
        <w:t>the</w:t>
      </w:r>
      <w:r>
        <w:rPr>
          <w:spacing w:val="-3"/>
        </w:rPr>
        <w:t> </w:t>
      </w:r>
      <w:r>
        <w:rPr/>
        <w:t>dynamic</w:t>
      </w:r>
      <w:r>
        <w:rPr>
          <w:spacing w:val="-3"/>
        </w:rPr>
        <w:t> </w:t>
      </w:r>
      <w:r>
        <w:rPr/>
        <w:t>simulation. Building</w:t>
      </w:r>
      <w:r>
        <w:rPr>
          <w:spacing w:val="-4"/>
        </w:rPr>
        <w:t> </w:t>
      </w:r>
      <w:r>
        <w:rPr/>
        <w:t>on</w:t>
      </w:r>
      <w:r>
        <w:rPr>
          <w:spacing w:val="-4"/>
        </w:rPr>
        <w:t> </w:t>
      </w:r>
      <w:r>
        <w:rPr/>
        <w:t>this</w:t>
      </w:r>
      <w:r>
        <w:rPr>
          <w:spacing w:val="-6"/>
        </w:rPr>
        <w:t> </w:t>
      </w:r>
      <w:r>
        <w:rPr/>
        <w:t>framework,</w:t>
      </w:r>
      <w:r>
        <w:rPr>
          <w:spacing w:val="-7"/>
        </w:rPr>
        <w:t> </w:t>
      </w:r>
      <w:r>
        <w:rPr/>
        <w:t>the</w:t>
      </w:r>
      <w:r>
        <w:rPr>
          <w:spacing w:val="-8"/>
        </w:rPr>
        <w:t> </w:t>
      </w:r>
      <w:r>
        <w:rPr/>
        <w:t>kinetic</w:t>
      </w:r>
      <w:r>
        <w:rPr>
          <w:spacing w:val="-3"/>
        </w:rPr>
        <w:t> </w:t>
      </w:r>
      <w:r>
        <w:rPr/>
        <w:t>parameters</w:t>
      </w:r>
      <w:r>
        <w:rPr>
          <w:spacing w:val="-6"/>
        </w:rPr>
        <w:t> </w:t>
      </w:r>
      <w:r>
        <w:rPr/>
        <w:t>which</w:t>
      </w:r>
      <w:r>
        <w:rPr>
          <w:spacing w:val="-4"/>
        </w:rPr>
        <w:t> </w:t>
      </w:r>
      <w:r>
        <w:rPr/>
        <w:t>are</w:t>
      </w:r>
      <w:r>
        <w:rPr>
          <w:spacing w:val="-3"/>
        </w:rPr>
        <w:t> </w:t>
      </w:r>
      <w:r>
        <w:rPr/>
        <w:t>the</w:t>
      </w:r>
      <w:r>
        <w:rPr>
          <w:spacing w:val="-3"/>
        </w:rPr>
        <w:t> </w:t>
      </w:r>
      <w:r>
        <w:rPr/>
        <w:t>pre-exponential</w:t>
      </w:r>
      <w:r>
        <w:rPr>
          <w:spacing w:val="-3"/>
        </w:rPr>
        <w:t> </w:t>
      </w:r>
      <w:r>
        <w:rPr/>
        <w:t>factor</w:t>
      </w:r>
      <w:r>
        <w:rPr>
          <w:spacing w:val="-4"/>
        </w:rPr>
        <w:t> </w:t>
      </w:r>
      <w:r>
        <w:rPr/>
        <w:t>(A)</w:t>
      </w:r>
      <w:r>
        <w:rPr>
          <w:spacing w:val="-9"/>
        </w:rPr>
        <w:t> </w:t>
      </w:r>
      <w:r>
        <w:rPr/>
        <w:t>and</w:t>
      </w:r>
      <w:r>
        <w:rPr>
          <w:spacing w:val="-4"/>
        </w:rPr>
        <w:t> </w:t>
      </w:r>
      <w:r>
        <w:rPr/>
        <w:t>activation energy (</w:t>
      </w:r>
      <w:r>
        <w:rPr>
          <w:rFonts w:ascii="Cambria Math" w:hAnsi="Cambria Math"/>
        </w:rPr>
        <w:t>E</w:t>
      </w:r>
      <w:r>
        <w:rPr>
          <w:rFonts w:ascii="Cambria Math" w:hAnsi="Cambria Math"/>
          <w:position w:val="-3"/>
          <w:sz w:val="14"/>
        </w:rPr>
        <w:t>a</w:t>
      </w:r>
      <w:r>
        <w:rPr/>
        <w:t>) were estimated directly from experimental data through nonlinear regression against the Arrhenius</w:t>
      </w:r>
      <w:r>
        <w:rPr>
          <w:spacing w:val="80"/>
        </w:rPr>
        <w:t> </w:t>
      </w:r>
      <w:r>
        <w:rPr/>
        <w:t>model.</w:t>
      </w:r>
      <w:r>
        <w:rPr>
          <w:spacing w:val="80"/>
        </w:rPr>
        <w:t> </w:t>
      </w:r>
      <w:r>
        <w:rPr/>
        <w:t>Experimental</w:t>
      </w:r>
      <w:r>
        <w:rPr>
          <w:spacing w:val="80"/>
        </w:rPr>
        <w:t> </w:t>
      </w:r>
      <w:r>
        <w:rPr/>
        <w:t>conversion</w:t>
      </w:r>
      <w:r>
        <w:rPr>
          <w:spacing w:val="80"/>
        </w:rPr>
        <w:t> </w:t>
      </w:r>
      <w:r>
        <w:rPr/>
        <w:t>data</w:t>
      </w:r>
      <w:r>
        <w:rPr>
          <w:spacing w:val="80"/>
        </w:rPr>
        <w:t> </w:t>
      </w:r>
      <w:r>
        <w:rPr/>
        <w:t>across</w:t>
      </w:r>
      <w:r>
        <w:rPr>
          <w:spacing w:val="80"/>
        </w:rPr>
        <w:t> </w:t>
      </w:r>
      <w:r>
        <w:rPr/>
        <w:t>multiple</w:t>
      </w:r>
      <w:r>
        <w:rPr>
          <w:spacing w:val="80"/>
        </w:rPr>
        <w:t> </w:t>
      </w:r>
      <w:r>
        <w:rPr/>
        <w:t>temperatures</w:t>
      </w:r>
      <w:r>
        <w:rPr>
          <w:spacing w:val="80"/>
        </w:rPr>
        <w:t> </w:t>
      </w:r>
      <w:r>
        <w:rPr/>
        <w:t>(30–60</w:t>
      </w:r>
      <w:r>
        <w:rPr>
          <w:spacing w:val="80"/>
        </w:rPr>
        <w:t> </w:t>
      </w:r>
      <w:r>
        <w:rPr/>
        <w:t>°C)</w:t>
      </w:r>
      <w:r>
        <w:rPr>
          <w:spacing w:val="80"/>
        </w:rPr>
        <w:t> </w:t>
      </w:r>
      <w:r>
        <w:rPr/>
        <w:t>were</w:t>
      </w:r>
    </w:p>
    <w:p>
      <w:pPr>
        <w:pStyle w:val="BodyText"/>
        <w:spacing w:line="278" w:lineRule="auto"/>
        <w:ind w:left="198" w:right="53"/>
        <w:jc w:val="both"/>
      </w:pPr>
      <w:r>
        <w:rPr/>
        <w:t>simultaneously fitted to the saponification kinetic model, and a nonlinear least-squares optimisation was carried out to minimise the deviation between simulated and experimental conversions. From this regression, both A (L·mol⁻¹·min⁻¹) and E</w:t>
      </w:r>
      <w:r>
        <w:rPr>
          <w:vertAlign w:val="subscript"/>
        </w:rPr>
        <w:t>a</w:t>
      </w:r>
      <w:r>
        <w:rPr>
          <w:vertAlign w:val="baseline"/>
        </w:rPr>
        <w:t> (J·mol⁻¹) were numerically determined with their respective units, providing</w:t>
      </w:r>
      <w:r>
        <w:rPr>
          <w:spacing w:val="-4"/>
          <w:vertAlign w:val="baseline"/>
        </w:rPr>
        <w:t> </w:t>
      </w:r>
      <w:r>
        <w:rPr>
          <w:vertAlign w:val="baseline"/>
        </w:rPr>
        <w:t>reproducible</w:t>
      </w:r>
      <w:r>
        <w:rPr>
          <w:spacing w:val="-3"/>
          <w:vertAlign w:val="baseline"/>
        </w:rPr>
        <w:t> </w:t>
      </w:r>
      <w:r>
        <w:rPr>
          <w:vertAlign w:val="baseline"/>
        </w:rPr>
        <w:t>and</w:t>
      </w:r>
      <w:r>
        <w:rPr>
          <w:spacing w:val="-4"/>
          <w:vertAlign w:val="baseline"/>
        </w:rPr>
        <w:t> </w:t>
      </w:r>
      <w:r>
        <w:rPr>
          <w:vertAlign w:val="baseline"/>
        </w:rPr>
        <w:t>transparent</w:t>
      </w:r>
      <w:r>
        <w:rPr>
          <w:spacing w:val="-3"/>
          <w:vertAlign w:val="baseline"/>
        </w:rPr>
        <w:t> </w:t>
      </w:r>
      <w:r>
        <w:rPr>
          <w:vertAlign w:val="baseline"/>
        </w:rPr>
        <w:t>values</w:t>
      </w:r>
      <w:r>
        <w:rPr>
          <w:spacing w:val="-6"/>
          <w:vertAlign w:val="baseline"/>
        </w:rPr>
        <w:t> </w:t>
      </w:r>
      <w:r>
        <w:rPr>
          <w:vertAlign w:val="baseline"/>
        </w:rPr>
        <w:t>derived</w:t>
      </w:r>
      <w:r>
        <w:rPr>
          <w:spacing w:val="-9"/>
          <w:vertAlign w:val="baseline"/>
        </w:rPr>
        <w:t> </w:t>
      </w:r>
      <w:r>
        <w:rPr>
          <w:vertAlign w:val="baseline"/>
        </w:rPr>
        <w:t>directly</w:t>
      </w:r>
      <w:r>
        <w:rPr>
          <w:spacing w:val="-4"/>
          <w:vertAlign w:val="baseline"/>
        </w:rPr>
        <w:t> </w:t>
      </w:r>
      <w:r>
        <w:rPr>
          <w:vertAlign w:val="baseline"/>
        </w:rPr>
        <w:t>from</w:t>
      </w:r>
      <w:r>
        <w:rPr>
          <w:spacing w:val="-3"/>
          <w:vertAlign w:val="baseline"/>
        </w:rPr>
        <w:t> </w:t>
      </w:r>
      <w:r>
        <w:rPr>
          <w:vertAlign w:val="baseline"/>
        </w:rPr>
        <w:t>experiment</w:t>
      </w:r>
      <w:r>
        <w:rPr>
          <w:spacing w:val="-3"/>
          <w:vertAlign w:val="baseline"/>
        </w:rPr>
        <w:t> </w:t>
      </w:r>
      <w:r>
        <w:rPr>
          <w:vertAlign w:val="baseline"/>
        </w:rPr>
        <w:t>rather</w:t>
      </w:r>
      <w:r>
        <w:rPr>
          <w:spacing w:val="-4"/>
          <w:vertAlign w:val="baseline"/>
        </w:rPr>
        <w:t> </w:t>
      </w:r>
      <w:r>
        <w:rPr>
          <w:vertAlign w:val="baseline"/>
        </w:rPr>
        <w:t>than</w:t>
      </w:r>
      <w:r>
        <w:rPr>
          <w:spacing w:val="-4"/>
          <w:vertAlign w:val="baseline"/>
        </w:rPr>
        <w:t> </w:t>
      </w:r>
      <w:r>
        <w:rPr>
          <w:vertAlign w:val="baseline"/>
        </w:rPr>
        <w:t>assumed </w:t>
      </w:r>
      <w:r>
        <w:rPr>
          <w:spacing w:val="-2"/>
          <w:vertAlign w:val="baseline"/>
        </w:rPr>
        <w:t>constants.</w:t>
      </w:r>
    </w:p>
    <w:p>
      <w:pPr>
        <w:pStyle w:val="BodyText"/>
        <w:spacing w:after="0" w:line="278" w:lineRule="auto"/>
        <w:jc w:val="both"/>
        <w:sectPr>
          <w:type w:val="continuous"/>
          <w:pgSz w:w="10890" w:h="14860"/>
          <w:pgMar w:header="1010" w:footer="1649" w:top="1320" w:bottom="1840" w:left="992" w:right="1133"/>
        </w:sectPr>
      </w:pPr>
    </w:p>
    <w:p>
      <w:pPr>
        <w:pStyle w:val="BodyText"/>
        <w:spacing w:line="276" w:lineRule="auto" w:before="114"/>
        <w:ind w:left="198" w:right="49" w:firstLine="340"/>
        <w:jc w:val="both"/>
      </w:pPr>
      <w:r>
        <w:rPr/>
        <w:t>To evaluate model accuracy, two statistical measures were applied. The coefficient of determination (R²)</w:t>
      </w:r>
      <w:r>
        <w:rPr>
          <w:spacing w:val="-4"/>
        </w:rPr>
        <w:t> </w:t>
      </w:r>
      <w:r>
        <w:rPr/>
        <w:t>quantified</w:t>
      </w:r>
      <w:r>
        <w:rPr>
          <w:spacing w:val="-8"/>
        </w:rPr>
        <w:t> </w:t>
      </w:r>
      <w:r>
        <w:rPr/>
        <w:t>the</w:t>
      </w:r>
      <w:r>
        <w:rPr>
          <w:spacing w:val="-8"/>
        </w:rPr>
        <w:t> </w:t>
      </w:r>
      <w:r>
        <w:rPr/>
        <w:t>fit</w:t>
      </w:r>
      <w:r>
        <w:rPr>
          <w:spacing w:val="-8"/>
        </w:rPr>
        <w:t> </w:t>
      </w:r>
      <w:r>
        <w:rPr/>
        <w:t>between</w:t>
      </w:r>
      <w:r>
        <w:rPr>
          <w:spacing w:val="-4"/>
        </w:rPr>
        <w:t> </w:t>
      </w:r>
      <w:r>
        <w:rPr/>
        <w:t>simulated</w:t>
      </w:r>
      <w:r>
        <w:rPr>
          <w:spacing w:val="-4"/>
        </w:rPr>
        <w:t> </w:t>
      </w:r>
      <w:r>
        <w:rPr/>
        <w:t>and</w:t>
      </w:r>
      <w:r>
        <w:rPr>
          <w:spacing w:val="-4"/>
        </w:rPr>
        <w:t> </w:t>
      </w:r>
      <w:r>
        <w:rPr/>
        <w:t>experimental</w:t>
      </w:r>
      <w:r>
        <w:rPr>
          <w:spacing w:val="-8"/>
        </w:rPr>
        <w:t> </w:t>
      </w:r>
      <w:r>
        <w:rPr/>
        <w:t>data,</w:t>
      </w:r>
      <w:r>
        <w:rPr>
          <w:spacing w:val="-2"/>
        </w:rPr>
        <w:t> </w:t>
      </w:r>
      <w:r>
        <w:rPr/>
        <w:t>while</w:t>
      </w:r>
      <w:r>
        <w:rPr>
          <w:spacing w:val="-8"/>
        </w:rPr>
        <w:t> </w:t>
      </w:r>
      <w:r>
        <w:rPr/>
        <w:t>the</w:t>
      </w:r>
      <w:r>
        <w:rPr>
          <w:spacing w:val="-3"/>
        </w:rPr>
        <w:t> </w:t>
      </w:r>
      <w:r>
        <w:rPr/>
        <w:t>root-mean-square</w:t>
      </w:r>
      <w:r>
        <w:rPr>
          <w:spacing w:val="-3"/>
        </w:rPr>
        <w:t> </w:t>
      </w:r>
      <w:r>
        <w:rPr/>
        <w:t>error</w:t>
      </w:r>
      <w:r>
        <w:rPr>
          <w:spacing w:val="-4"/>
        </w:rPr>
        <w:t> </w:t>
      </w:r>
      <w:r>
        <w:rPr/>
        <w:t>(RMSE) measured the average magnitude of deviation between predictions and observations. Together, these metrics provided a credible and reliable basis for assessing model performance and comparing it with established kinetic studies.</w:t>
      </w:r>
    </w:p>
    <w:p>
      <w:pPr>
        <w:pStyle w:val="BodyText"/>
        <w:spacing w:before="12"/>
      </w:pPr>
    </w:p>
    <w:p>
      <w:pPr>
        <w:pStyle w:val="Heading2"/>
        <w:numPr>
          <w:ilvl w:val="1"/>
          <w:numId w:val="1"/>
        </w:numPr>
        <w:tabs>
          <w:tab w:pos="624" w:val="left" w:leader="none"/>
        </w:tabs>
        <w:spacing w:line="240" w:lineRule="auto" w:before="0" w:after="0"/>
        <w:ind w:left="624" w:right="0" w:hanging="426"/>
        <w:jc w:val="both"/>
      </w:pPr>
      <w:bookmarkStart w:name="2.4 Sensitivity analysis" w:id="6"/>
      <w:bookmarkEnd w:id="6"/>
      <w:r>
        <w:rPr>
          <w:b w:val="0"/>
        </w:rPr>
      </w:r>
      <w:r>
        <w:rPr/>
        <w:t>Sensitivity</w:t>
      </w:r>
      <w:r>
        <w:rPr>
          <w:spacing w:val="-10"/>
        </w:rPr>
        <w:t> </w:t>
      </w:r>
      <w:r>
        <w:rPr>
          <w:spacing w:val="-2"/>
        </w:rPr>
        <w:t>analysis</w:t>
      </w:r>
    </w:p>
    <w:p>
      <w:pPr>
        <w:pStyle w:val="BodyText"/>
        <w:spacing w:line="276" w:lineRule="auto" w:before="121"/>
        <w:ind w:left="198" w:right="51" w:firstLine="340"/>
        <w:jc w:val="both"/>
      </w:pPr>
      <w:r>
        <w:rPr/>
        <w:t>Mass</w:t>
      </w:r>
      <w:r>
        <w:rPr>
          <w:spacing w:val="40"/>
        </w:rPr>
        <w:t> </w:t>
      </w:r>
      <w:r>
        <w:rPr/>
        <w:t>balance</w:t>
      </w:r>
      <w:r>
        <w:rPr>
          <w:spacing w:val="40"/>
        </w:rPr>
        <w:t> </w:t>
      </w:r>
      <w:r>
        <w:rPr/>
        <w:t>simulations</w:t>
      </w:r>
      <w:r>
        <w:rPr>
          <w:spacing w:val="40"/>
        </w:rPr>
        <w:t> </w:t>
      </w:r>
      <w:r>
        <w:rPr/>
        <w:t>were</w:t>
      </w:r>
      <w:r>
        <w:rPr>
          <w:spacing w:val="40"/>
        </w:rPr>
        <w:t> </w:t>
      </w:r>
      <w:r>
        <w:rPr/>
        <w:t>conducted</w:t>
      </w:r>
      <w:r>
        <w:rPr>
          <w:spacing w:val="40"/>
        </w:rPr>
        <w:t> </w:t>
      </w:r>
      <w:r>
        <w:rPr/>
        <w:t>by</w:t>
      </w:r>
      <w:r>
        <w:rPr>
          <w:spacing w:val="40"/>
        </w:rPr>
        <w:t> </w:t>
      </w:r>
      <w:r>
        <w:rPr/>
        <w:t>varying</w:t>
      </w:r>
      <w:r>
        <w:rPr>
          <w:spacing w:val="40"/>
        </w:rPr>
        <w:t> </w:t>
      </w:r>
      <w:r>
        <w:rPr/>
        <w:t>reactor</w:t>
      </w:r>
      <w:r>
        <w:rPr>
          <w:spacing w:val="40"/>
        </w:rPr>
        <w:t> </w:t>
      </w:r>
      <w:r>
        <w:rPr/>
        <w:t>temperature</w:t>
      </w:r>
      <w:r>
        <w:rPr>
          <w:spacing w:val="40"/>
        </w:rPr>
        <w:t> </w:t>
      </w:r>
      <w:r>
        <w:rPr/>
        <w:t>from</w:t>
      </w:r>
      <w:r>
        <w:rPr>
          <w:spacing w:val="40"/>
        </w:rPr>
        <w:t> </w:t>
      </w:r>
      <w:r>
        <w:rPr/>
        <w:t>30</w:t>
      </w:r>
      <w:r>
        <w:rPr>
          <w:spacing w:val="40"/>
        </w:rPr>
        <w:t> </w:t>
      </w:r>
      <w:r>
        <w:rPr/>
        <w:t>to</w:t>
      </w:r>
      <w:r>
        <w:rPr>
          <w:spacing w:val="40"/>
        </w:rPr>
        <w:t> </w:t>
      </w:r>
      <w:r>
        <w:rPr/>
        <w:t>60</w:t>
      </w:r>
      <w:r>
        <w:rPr>
          <w:spacing w:val="40"/>
        </w:rPr>
        <w:t> </w:t>
      </w:r>
      <w:r>
        <w:rPr/>
        <w:t>°C</w:t>
      </w:r>
      <w:r>
        <w:rPr>
          <w:spacing w:val="40"/>
        </w:rPr>
        <w:t> </w:t>
      </w:r>
      <w:r>
        <w:rPr/>
        <w:t>in 10 °C increments. At each set point, the validated kinetic model computed the 15-minute conversion; thermal sensitivity was then determined from the conversion differences between temperature steps, and model accuracy was assessed against experimental data.</w:t>
      </w:r>
    </w:p>
    <w:p>
      <w:pPr>
        <w:pStyle w:val="BodyText"/>
        <w:spacing w:before="8"/>
      </w:pPr>
    </w:p>
    <w:p>
      <w:pPr>
        <w:pStyle w:val="Heading2"/>
        <w:numPr>
          <w:ilvl w:val="1"/>
          <w:numId w:val="1"/>
        </w:numPr>
        <w:tabs>
          <w:tab w:pos="624" w:val="left" w:leader="none"/>
        </w:tabs>
        <w:spacing w:line="240" w:lineRule="auto" w:before="0" w:after="0"/>
        <w:ind w:left="624" w:right="0" w:hanging="426"/>
        <w:jc w:val="both"/>
      </w:pPr>
      <w:bookmarkStart w:name="2.5 Validation and optimisation" w:id="7"/>
      <w:bookmarkEnd w:id="7"/>
      <w:r>
        <w:rPr>
          <w:b w:val="0"/>
        </w:rPr>
      </w:r>
      <w:r>
        <w:rPr/>
        <w:t>Validation</w:t>
      </w:r>
      <w:r>
        <w:rPr>
          <w:spacing w:val="-4"/>
        </w:rPr>
        <w:t> </w:t>
      </w:r>
      <w:r>
        <w:rPr/>
        <w:t>and</w:t>
      </w:r>
      <w:r>
        <w:rPr>
          <w:spacing w:val="-9"/>
        </w:rPr>
        <w:t> </w:t>
      </w:r>
      <w:r>
        <w:rPr>
          <w:spacing w:val="-2"/>
        </w:rPr>
        <w:t>optimisation</w:t>
      </w:r>
    </w:p>
    <w:p>
      <w:pPr>
        <w:pStyle w:val="BodyText"/>
        <w:spacing w:line="276" w:lineRule="auto" w:before="121"/>
        <w:ind w:left="198" w:right="56" w:firstLine="340"/>
        <w:jc w:val="both"/>
      </w:pPr>
      <w:r>
        <w:rPr/>
        <w:t>The results from simulation were validated by comparing MATLAB outputs with experimental conversion data. MATLAB</w:t>
      </w:r>
      <w:r>
        <w:rPr>
          <w:spacing w:val="-5"/>
        </w:rPr>
        <w:t> </w:t>
      </w:r>
      <w:r>
        <w:rPr/>
        <w:t>tools were</w:t>
      </w:r>
      <w:r>
        <w:rPr>
          <w:spacing w:val="-3"/>
        </w:rPr>
        <w:t> </w:t>
      </w:r>
      <w:r>
        <w:rPr/>
        <w:t>used to optimise conditions</w:t>
      </w:r>
      <w:r>
        <w:rPr>
          <w:spacing w:val="-1"/>
        </w:rPr>
        <w:t> </w:t>
      </w:r>
      <w:r>
        <w:rPr/>
        <w:t>to</w:t>
      </w:r>
      <w:r>
        <w:rPr>
          <w:spacing w:val="-4"/>
        </w:rPr>
        <w:t> </w:t>
      </w:r>
      <w:r>
        <w:rPr/>
        <w:t>maximise reactant</w:t>
      </w:r>
      <w:r>
        <w:rPr>
          <w:spacing w:val="-3"/>
        </w:rPr>
        <w:t> </w:t>
      </w:r>
      <w:r>
        <w:rPr/>
        <w:t>conversion while minimizing energy use and cost. Results under optimised conditions were verified through additional simulations to confirm practical feasibility.</w:t>
      </w:r>
    </w:p>
    <w:p>
      <w:pPr>
        <w:pStyle w:val="BodyText"/>
        <w:spacing w:before="8"/>
      </w:pPr>
    </w:p>
    <w:p>
      <w:pPr>
        <w:pStyle w:val="Heading2"/>
        <w:numPr>
          <w:ilvl w:val="1"/>
          <w:numId w:val="1"/>
        </w:numPr>
        <w:tabs>
          <w:tab w:pos="624" w:val="left" w:leader="none"/>
        </w:tabs>
        <w:spacing w:line="240" w:lineRule="auto" w:before="0" w:after="0"/>
        <w:ind w:left="624" w:right="0" w:hanging="426"/>
        <w:jc w:val="both"/>
      </w:pPr>
      <w:bookmarkStart w:name="2.6 Visualisation and interpretation" w:id="8"/>
      <w:bookmarkEnd w:id="8"/>
      <w:r>
        <w:rPr>
          <w:b w:val="0"/>
        </w:rPr>
      </w:r>
      <w:r>
        <w:rPr/>
        <w:t>Visualisation</w:t>
      </w:r>
      <w:r>
        <w:rPr>
          <w:spacing w:val="-6"/>
        </w:rPr>
        <w:t> </w:t>
      </w:r>
      <w:r>
        <w:rPr/>
        <w:t>and</w:t>
      </w:r>
      <w:r>
        <w:rPr>
          <w:spacing w:val="-10"/>
        </w:rPr>
        <w:t> </w:t>
      </w:r>
      <w:r>
        <w:rPr>
          <w:spacing w:val="-2"/>
        </w:rPr>
        <w:t>interpretation</w:t>
      </w:r>
    </w:p>
    <w:p>
      <w:pPr>
        <w:pStyle w:val="BodyText"/>
        <w:spacing w:line="278" w:lineRule="auto" w:before="120"/>
        <w:ind w:left="199" w:right="50" w:firstLine="340"/>
        <w:jc w:val="both"/>
      </w:pPr>
      <w:r>
        <w:rPr/>
        <w:t>The</w:t>
      </w:r>
      <w:r>
        <w:rPr>
          <w:spacing w:val="-8"/>
        </w:rPr>
        <w:t> </w:t>
      </w:r>
      <w:r>
        <w:rPr/>
        <w:t>simulation</w:t>
      </w:r>
      <w:r>
        <w:rPr>
          <w:spacing w:val="-5"/>
        </w:rPr>
        <w:t> </w:t>
      </w:r>
      <w:r>
        <w:rPr/>
        <w:t>outputs,</w:t>
      </w:r>
      <w:r>
        <w:rPr>
          <w:spacing w:val="-7"/>
        </w:rPr>
        <w:t> </w:t>
      </w:r>
      <w:r>
        <w:rPr/>
        <w:t>including</w:t>
      </w:r>
      <w:r>
        <w:rPr>
          <w:spacing w:val="-9"/>
        </w:rPr>
        <w:t> </w:t>
      </w:r>
      <w:r>
        <w:rPr/>
        <w:t>transient</w:t>
      </w:r>
      <w:r>
        <w:rPr>
          <w:spacing w:val="-8"/>
        </w:rPr>
        <w:t> </w:t>
      </w:r>
      <w:r>
        <w:rPr/>
        <w:t>and</w:t>
      </w:r>
      <w:r>
        <w:rPr>
          <w:spacing w:val="-5"/>
        </w:rPr>
        <w:t> </w:t>
      </w:r>
      <w:r>
        <w:rPr/>
        <w:t>steady-state</w:t>
      </w:r>
      <w:r>
        <w:rPr>
          <w:spacing w:val="-8"/>
        </w:rPr>
        <w:t> </w:t>
      </w:r>
      <w:r>
        <w:rPr/>
        <w:t>conversion</w:t>
      </w:r>
      <w:r>
        <w:rPr>
          <w:spacing w:val="-5"/>
        </w:rPr>
        <w:t> </w:t>
      </w:r>
      <w:r>
        <w:rPr/>
        <w:t>profiles,</w:t>
      </w:r>
      <w:r>
        <w:rPr>
          <w:spacing w:val="-7"/>
        </w:rPr>
        <w:t> </w:t>
      </w:r>
      <w:r>
        <w:rPr/>
        <w:t>sensitivity</w:t>
      </w:r>
      <w:r>
        <w:rPr>
          <w:spacing w:val="-9"/>
        </w:rPr>
        <w:t> </w:t>
      </w:r>
      <w:r>
        <w:rPr/>
        <w:t>trends,</w:t>
      </w:r>
      <w:r>
        <w:rPr>
          <w:spacing w:val="-7"/>
        </w:rPr>
        <w:t> </w:t>
      </w:r>
      <w:r>
        <w:rPr/>
        <w:t>and parameter effects, were visualised through MATLAB plots. Graphs highlighted critical factors for performance improvement, aiding decision-making, and optimisation.</w:t>
      </w:r>
    </w:p>
    <w:p>
      <w:pPr>
        <w:pStyle w:val="BodyText"/>
        <w:spacing w:before="132"/>
      </w:pPr>
    </w:p>
    <w:p>
      <w:pPr>
        <w:pStyle w:val="Heading1"/>
        <w:numPr>
          <w:ilvl w:val="0"/>
          <w:numId w:val="1"/>
        </w:numPr>
        <w:tabs>
          <w:tab w:pos="626" w:val="left" w:leader="none"/>
        </w:tabs>
        <w:spacing w:line="240" w:lineRule="auto" w:before="0" w:after="0"/>
        <w:ind w:left="626" w:right="0" w:hanging="427"/>
        <w:jc w:val="both"/>
      </w:pPr>
      <w:bookmarkStart w:name="3. RESULTS AND DISCUSSION" w:id="9"/>
      <w:bookmarkEnd w:id="9"/>
      <w:r>
        <w:rPr>
          <w:b w:val="0"/>
        </w:rPr>
      </w:r>
      <w:r>
        <w:rPr/>
        <w:t>RESULTS</w:t>
      </w:r>
      <w:r>
        <w:rPr>
          <w:spacing w:val="-6"/>
        </w:rPr>
        <w:t> </w:t>
      </w:r>
      <w:r>
        <w:rPr/>
        <w:t>AND</w:t>
      </w:r>
      <w:r>
        <w:rPr>
          <w:spacing w:val="-5"/>
        </w:rPr>
        <w:t> </w:t>
      </w:r>
      <w:r>
        <w:rPr>
          <w:spacing w:val="-2"/>
        </w:rPr>
        <w:t>DISCUSSION</w:t>
      </w:r>
    </w:p>
    <w:p>
      <w:pPr>
        <w:pStyle w:val="BodyText"/>
        <w:spacing w:before="15"/>
        <w:rPr>
          <w:b/>
        </w:rPr>
      </w:pPr>
    </w:p>
    <w:p>
      <w:pPr>
        <w:pStyle w:val="Heading2"/>
        <w:numPr>
          <w:ilvl w:val="1"/>
          <w:numId w:val="1"/>
        </w:numPr>
        <w:tabs>
          <w:tab w:pos="625" w:val="left" w:leader="none"/>
        </w:tabs>
        <w:spacing w:line="240" w:lineRule="auto" w:before="0" w:after="0"/>
        <w:ind w:left="625" w:right="0" w:hanging="426"/>
        <w:jc w:val="both"/>
      </w:pPr>
      <w:bookmarkStart w:name="3.1 Model validation" w:id="10"/>
      <w:bookmarkEnd w:id="10"/>
      <w:r>
        <w:rPr>
          <w:b w:val="0"/>
        </w:rPr>
      </w:r>
      <w:r>
        <w:rPr/>
        <w:t>Model</w:t>
      </w:r>
      <w:r>
        <w:rPr>
          <w:spacing w:val="-4"/>
        </w:rPr>
        <w:t> </w:t>
      </w:r>
      <w:r>
        <w:rPr>
          <w:spacing w:val="-2"/>
        </w:rPr>
        <w:t>validation</w:t>
      </w:r>
    </w:p>
    <w:p>
      <w:pPr>
        <w:pStyle w:val="BodyText"/>
        <w:spacing w:line="276" w:lineRule="auto" w:before="120"/>
        <w:ind w:left="199" w:right="49" w:firstLine="340"/>
        <w:jc w:val="both"/>
      </w:pPr>
      <w:r>
        <w:rPr/>
        <w:t>The proposed kinetic model was assessed against experimental conversion data at four operating temperatures (30, 40, 50, and 60 °C). These experimental data were generated in a BP1000 pilot-plant CSTR with 2.5 L working volume using equimolar feeds of</w:t>
      </w:r>
      <w:r>
        <w:rPr>
          <w:spacing w:val="-3"/>
        </w:rPr>
        <w:t> </w:t>
      </w:r>
      <w:r>
        <w:rPr/>
        <w:t>0.1 M ethyl acetate and 0.1 M NaOH, stirred at 180 rpm. Samples were withdrawn at 1, 3, 6, 9, 12, and 15 min, quenched with HCl, and analysed by conductivity via a calibration curve and back-titration to determine conversion. As summarised in the Appendix, the root-mean-square error (RMSE) remained very low, ranging from 0.0007 to 0.0013, while the coefficient of determination (R²) exceeded 0.9996 under all conditions, indicating near-perfect agreement between simulation and experiment.</w:t>
      </w:r>
    </w:p>
    <w:p>
      <w:pPr>
        <w:pStyle w:val="BodyText"/>
        <w:spacing w:line="276" w:lineRule="auto" w:before="117"/>
        <w:ind w:left="199" w:right="54" w:firstLine="340"/>
        <w:jc w:val="both"/>
      </w:pPr>
      <w:r>
        <w:rPr/>
        <w:t>Moreover,</w:t>
      </w:r>
      <w:r>
        <w:rPr>
          <w:spacing w:val="-7"/>
        </w:rPr>
        <w:t> </w:t>
      </w:r>
      <w:r>
        <w:rPr/>
        <w:t>a</w:t>
      </w:r>
      <w:r>
        <w:rPr>
          <w:spacing w:val="-8"/>
        </w:rPr>
        <w:t> </w:t>
      </w:r>
      <w:r>
        <w:rPr/>
        <w:t>full</w:t>
      </w:r>
      <w:r>
        <w:rPr>
          <w:spacing w:val="-3"/>
        </w:rPr>
        <w:t> </w:t>
      </w:r>
      <w:r>
        <w:rPr/>
        <w:t>set</w:t>
      </w:r>
      <w:r>
        <w:rPr>
          <w:spacing w:val="-8"/>
        </w:rPr>
        <w:t> </w:t>
      </w:r>
      <w:r>
        <w:rPr/>
        <w:t>of</w:t>
      </w:r>
      <w:r>
        <w:rPr>
          <w:spacing w:val="-5"/>
        </w:rPr>
        <w:t> </w:t>
      </w:r>
      <w:r>
        <w:rPr/>
        <w:t>point-by-point</w:t>
      </w:r>
      <w:r>
        <w:rPr>
          <w:spacing w:val="-3"/>
        </w:rPr>
        <w:t> </w:t>
      </w:r>
      <w:r>
        <w:rPr/>
        <w:t>results</w:t>
      </w:r>
      <w:r>
        <w:rPr>
          <w:spacing w:val="-11"/>
        </w:rPr>
        <w:t> </w:t>
      </w:r>
      <w:r>
        <w:rPr/>
        <w:t>in</w:t>
      </w:r>
      <w:r>
        <w:rPr>
          <w:spacing w:val="-9"/>
        </w:rPr>
        <w:t> </w:t>
      </w:r>
      <w:r>
        <w:rPr/>
        <w:t>the</w:t>
      </w:r>
      <w:r>
        <w:rPr>
          <w:spacing w:val="-8"/>
        </w:rPr>
        <w:t> </w:t>
      </w:r>
      <w:r>
        <w:rPr/>
        <w:t>table</w:t>
      </w:r>
      <w:r>
        <w:rPr>
          <w:spacing w:val="-8"/>
        </w:rPr>
        <w:t> </w:t>
      </w:r>
      <w:r>
        <w:rPr/>
        <w:t>(Appendix)</w:t>
      </w:r>
      <w:r>
        <w:rPr>
          <w:spacing w:val="-5"/>
        </w:rPr>
        <w:t> </w:t>
      </w:r>
      <w:r>
        <w:rPr/>
        <w:t>further</w:t>
      </w:r>
      <w:r>
        <w:rPr>
          <w:spacing w:val="-9"/>
        </w:rPr>
        <w:t> </w:t>
      </w:r>
      <w:r>
        <w:rPr/>
        <w:t>confirms</w:t>
      </w:r>
      <w:r>
        <w:rPr>
          <w:spacing w:val="-11"/>
        </w:rPr>
        <w:t> </w:t>
      </w:r>
      <w:r>
        <w:rPr/>
        <w:t>this</w:t>
      </w:r>
      <w:r>
        <w:rPr>
          <w:spacing w:val="-6"/>
        </w:rPr>
        <w:t> </w:t>
      </w:r>
      <w:r>
        <w:rPr/>
        <w:t>excellent</w:t>
      </w:r>
      <w:r>
        <w:rPr>
          <w:spacing w:val="-3"/>
        </w:rPr>
        <w:t> </w:t>
      </w:r>
      <w:r>
        <w:rPr/>
        <w:t>fit, where at each temperature the simulated conversion profiles track the experimental data almost exactly, with only minor deviations at early and mid-reaction times. These detailed comparisons verify that the second-order</w:t>
      </w:r>
      <w:r>
        <w:rPr>
          <w:spacing w:val="-10"/>
        </w:rPr>
        <w:t> </w:t>
      </w:r>
      <w:r>
        <w:rPr/>
        <w:t>kinetic</w:t>
      </w:r>
      <w:r>
        <w:rPr>
          <w:spacing w:val="-12"/>
        </w:rPr>
        <w:t> </w:t>
      </w:r>
      <w:r>
        <w:rPr/>
        <w:t>expression</w:t>
      </w:r>
      <w:r>
        <w:rPr>
          <w:spacing w:val="-9"/>
        </w:rPr>
        <w:t> </w:t>
      </w:r>
      <w:r>
        <w:rPr/>
        <w:t>reliably</w:t>
      </w:r>
      <w:r>
        <w:rPr>
          <w:spacing w:val="-9"/>
        </w:rPr>
        <w:t> </w:t>
      </w:r>
      <w:r>
        <w:rPr/>
        <w:t>describes</w:t>
      </w:r>
      <w:r>
        <w:rPr>
          <w:spacing w:val="-11"/>
        </w:rPr>
        <w:t> </w:t>
      </w:r>
      <w:r>
        <w:rPr/>
        <w:t>both</w:t>
      </w:r>
      <w:r>
        <w:rPr>
          <w:spacing w:val="-9"/>
        </w:rPr>
        <w:t> </w:t>
      </w:r>
      <w:r>
        <w:rPr/>
        <w:t>the</w:t>
      </w:r>
      <w:r>
        <w:rPr>
          <w:spacing w:val="-8"/>
        </w:rPr>
        <w:t> </w:t>
      </w:r>
      <w:r>
        <w:rPr/>
        <w:t>temporal</w:t>
      </w:r>
      <w:r>
        <w:rPr>
          <w:spacing w:val="-8"/>
        </w:rPr>
        <w:t> </w:t>
      </w:r>
      <w:r>
        <w:rPr/>
        <w:t>evolution</w:t>
      </w:r>
      <w:r>
        <w:rPr>
          <w:spacing w:val="-9"/>
        </w:rPr>
        <w:t> </w:t>
      </w:r>
      <w:r>
        <w:rPr/>
        <w:t>and</w:t>
      </w:r>
      <w:r>
        <w:rPr>
          <w:spacing w:val="-13"/>
        </w:rPr>
        <w:t> </w:t>
      </w:r>
      <w:r>
        <w:rPr/>
        <w:t>plateau</w:t>
      </w:r>
      <w:r>
        <w:rPr>
          <w:spacing w:val="-9"/>
        </w:rPr>
        <w:t> </w:t>
      </w:r>
      <w:r>
        <w:rPr/>
        <w:t>behaviour</w:t>
      </w:r>
      <w:r>
        <w:rPr>
          <w:spacing w:val="-9"/>
        </w:rPr>
        <w:t> </w:t>
      </w:r>
      <w:r>
        <w:rPr/>
        <w:t>of</w:t>
      </w:r>
      <w:r>
        <w:rPr>
          <w:spacing w:val="-9"/>
        </w:rPr>
        <w:t> </w:t>
      </w:r>
      <w:r>
        <w:rPr/>
        <w:t>the saponification</w:t>
      </w:r>
      <w:r>
        <w:rPr>
          <w:spacing w:val="-3"/>
        </w:rPr>
        <w:t> </w:t>
      </w:r>
      <w:r>
        <w:rPr/>
        <w:t>reaction</w:t>
      </w:r>
      <w:r>
        <w:rPr>
          <w:spacing w:val="-3"/>
        </w:rPr>
        <w:t> </w:t>
      </w:r>
      <w:r>
        <w:rPr/>
        <w:t>across</w:t>
      </w:r>
      <w:r>
        <w:rPr>
          <w:spacing w:val="-5"/>
        </w:rPr>
        <w:t> </w:t>
      </w:r>
      <w:r>
        <w:rPr/>
        <w:t>the</w:t>
      </w:r>
      <w:r>
        <w:rPr>
          <w:spacing w:val="-7"/>
        </w:rPr>
        <w:t> </w:t>
      </w:r>
      <w:r>
        <w:rPr/>
        <w:t>entire</w:t>
      </w:r>
      <w:r>
        <w:rPr>
          <w:spacing w:val="-2"/>
        </w:rPr>
        <w:t> </w:t>
      </w:r>
      <w:r>
        <w:rPr/>
        <w:t>temperature</w:t>
      </w:r>
      <w:r>
        <w:rPr>
          <w:spacing w:val="-2"/>
        </w:rPr>
        <w:t> </w:t>
      </w:r>
      <w:r>
        <w:rPr/>
        <w:t>range.</w:t>
      </w:r>
      <w:r>
        <w:rPr>
          <w:spacing w:val="-6"/>
        </w:rPr>
        <w:t> </w:t>
      </w:r>
      <w:r>
        <w:rPr/>
        <w:t>These</w:t>
      </w:r>
      <w:r>
        <w:rPr>
          <w:spacing w:val="-2"/>
        </w:rPr>
        <w:t> </w:t>
      </w:r>
      <w:r>
        <w:rPr/>
        <w:t>four</w:t>
      </w:r>
      <w:r>
        <w:rPr>
          <w:spacing w:val="-8"/>
        </w:rPr>
        <w:t> </w:t>
      </w:r>
      <w:r>
        <w:rPr/>
        <w:t>data</w:t>
      </w:r>
      <w:r>
        <w:rPr>
          <w:spacing w:val="-2"/>
        </w:rPr>
        <w:t> </w:t>
      </w:r>
      <w:r>
        <w:rPr/>
        <w:t>sets</w:t>
      </w:r>
      <w:r>
        <w:rPr>
          <w:spacing w:val="-5"/>
        </w:rPr>
        <w:t> </w:t>
      </w:r>
      <w:r>
        <w:rPr/>
        <w:t>emphasise</w:t>
      </w:r>
      <w:r>
        <w:rPr>
          <w:spacing w:val="-2"/>
        </w:rPr>
        <w:t> </w:t>
      </w:r>
      <w:r>
        <w:rPr/>
        <w:t>the</w:t>
      </w:r>
      <w:r>
        <w:rPr>
          <w:spacing w:val="-2"/>
        </w:rPr>
        <w:t> </w:t>
      </w:r>
      <w:r>
        <w:rPr/>
        <w:t>accuracy</w:t>
      </w:r>
      <w:r>
        <w:rPr>
          <w:spacing w:val="-4"/>
        </w:rPr>
        <w:t> </w:t>
      </w:r>
      <w:r>
        <w:rPr/>
        <w:t>of the kinetic parameters and support confident application of this model for reactor design, scale-up calculations, and even real-time digital-twin control of the saponification process.</w:t>
      </w:r>
    </w:p>
    <w:p>
      <w:pPr>
        <w:pStyle w:val="BodyText"/>
        <w:spacing w:after="0" w:line="276" w:lineRule="auto"/>
        <w:jc w:val="both"/>
        <w:sectPr>
          <w:pgSz w:w="10890" w:h="14860"/>
          <w:pgMar w:header="1010" w:footer="1649" w:top="1320" w:bottom="1840" w:left="992" w:right="1133"/>
        </w:sectPr>
      </w:pPr>
    </w:p>
    <w:p>
      <w:pPr>
        <w:pStyle w:val="Heading2"/>
        <w:numPr>
          <w:ilvl w:val="1"/>
          <w:numId w:val="1"/>
        </w:numPr>
        <w:tabs>
          <w:tab w:pos="624" w:val="left" w:leader="none"/>
        </w:tabs>
        <w:spacing w:line="240" w:lineRule="auto" w:before="114" w:after="0"/>
        <w:ind w:left="624" w:right="0" w:hanging="359"/>
        <w:jc w:val="both"/>
      </w:pPr>
      <w:bookmarkStart w:name="3.2 Conversion – times profile" w:id="11"/>
      <w:bookmarkEnd w:id="11"/>
      <w:r>
        <w:rPr>
          <w:b w:val="0"/>
        </w:rPr>
      </w:r>
      <w:r>
        <w:rPr/>
        <w:t>Conversion</w:t>
      </w:r>
      <w:r>
        <w:rPr>
          <w:spacing w:val="-6"/>
        </w:rPr>
        <w:t> </w:t>
      </w:r>
      <w:r>
        <w:rPr/>
        <w:t>–</w:t>
      </w:r>
      <w:r>
        <w:rPr>
          <w:spacing w:val="-5"/>
        </w:rPr>
        <w:t> </w:t>
      </w:r>
      <w:r>
        <w:rPr/>
        <w:t>times</w:t>
      </w:r>
      <w:r>
        <w:rPr>
          <w:spacing w:val="-1"/>
        </w:rPr>
        <w:t> </w:t>
      </w:r>
      <w:r>
        <w:rPr>
          <w:spacing w:val="-2"/>
        </w:rPr>
        <w:t>profile</w:t>
      </w:r>
    </w:p>
    <w:p>
      <w:pPr>
        <w:pStyle w:val="BodyText"/>
        <w:spacing w:line="276" w:lineRule="auto" w:before="120"/>
        <w:ind w:left="198" w:right="53" w:firstLine="340"/>
        <w:jc w:val="both"/>
      </w:pPr>
      <w:r>
        <w:rPr/>
        <w:t>Fig.</w:t>
      </w:r>
      <w:r>
        <w:rPr>
          <w:spacing w:val="-6"/>
        </w:rPr>
        <w:t> </w:t>
      </w:r>
      <w:r>
        <w:rPr/>
        <w:t>2</w:t>
      </w:r>
      <w:r>
        <w:rPr>
          <w:spacing w:val="-4"/>
        </w:rPr>
        <w:t> </w:t>
      </w:r>
      <w:r>
        <w:rPr/>
        <w:t>presents</w:t>
      </w:r>
      <w:r>
        <w:rPr>
          <w:spacing w:val="-5"/>
        </w:rPr>
        <w:t> </w:t>
      </w:r>
      <w:r>
        <w:rPr/>
        <w:t>all</w:t>
      </w:r>
      <w:r>
        <w:rPr>
          <w:spacing w:val="-7"/>
        </w:rPr>
        <w:t> </w:t>
      </w:r>
      <w:r>
        <w:rPr/>
        <w:t>four</w:t>
      </w:r>
      <w:r>
        <w:rPr>
          <w:spacing w:val="-8"/>
        </w:rPr>
        <w:t> </w:t>
      </w:r>
      <w:r>
        <w:rPr/>
        <w:t>kinetic</w:t>
      </w:r>
      <w:r>
        <w:rPr>
          <w:spacing w:val="-7"/>
        </w:rPr>
        <w:t> </w:t>
      </w:r>
      <w:r>
        <w:rPr/>
        <w:t>profiles</w:t>
      </w:r>
      <w:r>
        <w:rPr>
          <w:spacing w:val="-5"/>
        </w:rPr>
        <w:t> </w:t>
      </w:r>
      <w:r>
        <w:rPr/>
        <w:t>in</w:t>
      </w:r>
      <w:r>
        <w:rPr>
          <w:spacing w:val="-4"/>
        </w:rPr>
        <w:t> </w:t>
      </w:r>
      <w:r>
        <w:rPr/>
        <w:t>a</w:t>
      </w:r>
      <w:r>
        <w:rPr>
          <w:spacing w:val="-7"/>
        </w:rPr>
        <w:t> </w:t>
      </w:r>
      <w:r>
        <w:rPr/>
        <w:t>single</w:t>
      </w:r>
      <w:r>
        <w:rPr>
          <w:spacing w:val="-7"/>
        </w:rPr>
        <w:t> </w:t>
      </w:r>
      <w:r>
        <w:rPr/>
        <w:t>plot</w:t>
      </w:r>
      <w:r>
        <w:rPr>
          <w:spacing w:val="-7"/>
        </w:rPr>
        <w:t> </w:t>
      </w:r>
      <w:r>
        <w:rPr/>
        <w:t>to</w:t>
      </w:r>
      <w:r>
        <w:rPr>
          <w:spacing w:val="-8"/>
        </w:rPr>
        <w:t> </w:t>
      </w:r>
      <w:r>
        <w:rPr/>
        <w:t>highlight</w:t>
      </w:r>
      <w:r>
        <w:rPr>
          <w:spacing w:val="-7"/>
        </w:rPr>
        <w:t> </w:t>
      </w:r>
      <w:r>
        <w:rPr/>
        <w:t>the</w:t>
      </w:r>
      <w:r>
        <w:rPr>
          <w:spacing w:val="-7"/>
        </w:rPr>
        <w:t> </w:t>
      </w:r>
      <w:r>
        <w:rPr/>
        <w:t>effect</w:t>
      </w:r>
      <w:r>
        <w:rPr>
          <w:spacing w:val="-7"/>
        </w:rPr>
        <w:t> </w:t>
      </w:r>
      <w:r>
        <w:rPr/>
        <w:t>of</w:t>
      </w:r>
      <w:r>
        <w:rPr>
          <w:spacing w:val="-8"/>
        </w:rPr>
        <w:t> </w:t>
      </w:r>
      <w:r>
        <w:rPr/>
        <w:t>temperature</w:t>
      </w:r>
      <w:r>
        <w:rPr>
          <w:spacing w:val="-2"/>
        </w:rPr>
        <w:t> </w:t>
      </w:r>
      <w:r>
        <w:rPr/>
        <w:t>on</w:t>
      </w:r>
      <w:r>
        <w:rPr>
          <w:spacing w:val="-8"/>
        </w:rPr>
        <w:t> </w:t>
      </w:r>
      <w:r>
        <w:rPr/>
        <w:t>reaction rate. The progressively steeper initial slopes with increasing temperature directly reflect the Arrhenius dependence of the rate constant. For instance, nearly 50% conversion is reached in under 3 min at 60 °C, whereas the 30 °C curve takes nearly 9 min. After approximately 12 min, all curves converge near their asymptotic conversions, ranging from 0.43 to 0.45, indicating that higher temperatures accelerate the approach</w:t>
      </w:r>
      <w:r>
        <w:rPr>
          <w:spacing w:val="-8"/>
        </w:rPr>
        <w:t> </w:t>
      </w:r>
      <w:r>
        <w:rPr/>
        <w:t>to</w:t>
      </w:r>
      <w:r>
        <w:rPr>
          <w:spacing w:val="-4"/>
        </w:rPr>
        <w:t> </w:t>
      </w:r>
      <w:r>
        <w:rPr/>
        <w:t>steady</w:t>
      </w:r>
      <w:r>
        <w:rPr>
          <w:spacing w:val="-4"/>
        </w:rPr>
        <w:t> </w:t>
      </w:r>
      <w:r>
        <w:rPr/>
        <w:t>state</w:t>
      </w:r>
      <w:r>
        <w:rPr>
          <w:spacing w:val="-2"/>
        </w:rPr>
        <w:t> </w:t>
      </w:r>
      <w:r>
        <w:rPr/>
        <w:t>but</w:t>
      </w:r>
      <w:r>
        <w:rPr>
          <w:spacing w:val="-2"/>
        </w:rPr>
        <w:t> </w:t>
      </w:r>
      <w:r>
        <w:rPr/>
        <w:t>do</w:t>
      </w:r>
      <w:r>
        <w:rPr>
          <w:spacing w:val="-8"/>
        </w:rPr>
        <w:t> </w:t>
      </w:r>
      <w:r>
        <w:rPr/>
        <w:t>not</w:t>
      </w:r>
      <w:r>
        <w:rPr>
          <w:spacing w:val="-7"/>
        </w:rPr>
        <w:t> </w:t>
      </w:r>
      <w:r>
        <w:rPr/>
        <w:t>significantly</w:t>
      </w:r>
      <w:r>
        <w:rPr>
          <w:spacing w:val="-8"/>
        </w:rPr>
        <w:t> </w:t>
      </w:r>
      <w:r>
        <w:rPr/>
        <w:t>alter</w:t>
      </w:r>
      <w:r>
        <w:rPr>
          <w:spacing w:val="-4"/>
        </w:rPr>
        <w:t> </w:t>
      </w:r>
      <w:r>
        <w:rPr/>
        <w:t>the</w:t>
      </w:r>
      <w:r>
        <w:rPr>
          <w:spacing w:val="-2"/>
        </w:rPr>
        <w:t> </w:t>
      </w:r>
      <w:r>
        <w:rPr/>
        <w:t>ultimate</w:t>
      </w:r>
      <w:r>
        <w:rPr>
          <w:spacing w:val="-7"/>
        </w:rPr>
        <w:t> </w:t>
      </w:r>
      <w:r>
        <w:rPr/>
        <w:t>conversion.</w:t>
      </w:r>
      <w:r>
        <w:rPr>
          <w:spacing w:val="-6"/>
        </w:rPr>
        <w:t> </w:t>
      </w:r>
      <w:r>
        <w:rPr/>
        <w:t>This</w:t>
      </w:r>
      <w:r>
        <w:rPr>
          <w:spacing w:val="-10"/>
        </w:rPr>
        <w:t> </w:t>
      </w:r>
      <w:r>
        <w:rPr/>
        <w:t>composite</w:t>
      </w:r>
      <w:r>
        <w:rPr>
          <w:spacing w:val="-7"/>
        </w:rPr>
        <w:t> </w:t>
      </w:r>
      <w:r>
        <w:rPr/>
        <w:t>visualisation thus serves as a rapid tool for selecting residence times across a target conversion range.</w:t>
      </w:r>
    </w:p>
    <w:p>
      <w:pPr>
        <w:pStyle w:val="BodyText"/>
      </w:pPr>
    </w:p>
    <w:p>
      <w:pPr>
        <w:pStyle w:val="BodyText"/>
        <w:spacing w:before="49"/>
      </w:pPr>
      <w:r>
        <w:rPr/>
        <mc:AlternateContent>
          <mc:Choice Requires="wps">
            <w:drawing>
              <wp:anchor distT="0" distB="0" distL="0" distR="0" allowOverlap="1" layoutInCell="1" locked="0" behindDoc="1" simplePos="0" relativeHeight="487598592">
                <wp:simplePos x="0" y="0"/>
                <wp:positionH relativeFrom="page">
                  <wp:posOffset>770001</wp:posOffset>
                </wp:positionH>
                <wp:positionV relativeFrom="paragraph">
                  <wp:posOffset>193012</wp:posOffset>
                </wp:positionV>
                <wp:extent cx="5015230" cy="2615565"/>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5015230" cy="2615565"/>
                          <a:chExt cx="5015230" cy="2615565"/>
                        </a:xfrm>
                      </wpg:grpSpPr>
                      <pic:pic>
                        <pic:nvPicPr>
                          <pic:cNvPr id="46" name="Image 46"/>
                          <pic:cNvPicPr/>
                        </pic:nvPicPr>
                        <pic:blipFill>
                          <a:blip r:embed="rId11" cstate="print"/>
                          <a:stretch>
                            <a:fillRect/>
                          </a:stretch>
                        </pic:blipFill>
                        <pic:spPr>
                          <a:xfrm>
                            <a:off x="15157" y="15145"/>
                            <a:ext cx="4984407" cy="2585269"/>
                          </a:xfrm>
                          <a:prstGeom prst="rect">
                            <a:avLst/>
                          </a:prstGeom>
                        </pic:spPr>
                      </pic:pic>
                      <wps:wsp>
                        <wps:cNvPr id="47" name="Graphic 47"/>
                        <wps:cNvSpPr/>
                        <wps:spPr>
                          <a:xfrm>
                            <a:off x="4762" y="4762"/>
                            <a:ext cx="5005705" cy="2606040"/>
                          </a:xfrm>
                          <a:custGeom>
                            <a:avLst/>
                            <a:gdLst/>
                            <a:ahLst/>
                            <a:cxnLst/>
                            <a:rect l="l" t="t" r="r" b="b"/>
                            <a:pathLst>
                              <a:path w="5005705" h="2606040">
                                <a:moveTo>
                                  <a:pt x="0" y="0"/>
                                </a:moveTo>
                                <a:lnTo>
                                  <a:pt x="5005184" y="0"/>
                                </a:lnTo>
                                <a:lnTo>
                                  <a:pt x="5005184" y="2606040"/>
                                </a:lnTo>
                                <a:lnTo>
                                  <a:pt x="0" y="2606040"/>
                                </a:lnTo>
                                <a:lnTo>
                                  <a:pt x="0" y="0"/>
                                </a:lnTo>
                                <a:close/>
                              </a:path>
                            </a:pathLst>
                          </a:custGeom>
                          <a:ln w="9524">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0.630001pt;margin-top:15.197814pt;width:394.9pt;height:205.95pt;mso-position-horizontal-relative:page;mso-position-vertical-relative:paragraph;z-index:-15717888;mso-wrap-distance-left:0;mso-wrap-distance-right:0" id="docshapegroup38" coordorigin="1213,304" coordsize="7898,4119">
                <v:shape style="position:absolute;left:1236;top:327;width:7850;height:4072" type="#_x0000_t75" id="docshape39" stroked="false">
                  <v:imagedata r:id="rId11" o:title=""/>
                </v:shape>
                <v:rect style="position:absolute;left:1220;top:311;width:7883;height:4104" id="docshape40" filled="false" stroked="true" strokeweight=".75pt" strokecolor="#7e7e7e">
                  <v:stroke dashstyle="solid"/>
                </v:rect>
                <w10:wrap type="topAndBottom"/>
              </v:group>
            </w:pict>
          </mc:Fallback>
        </mc:AlternateContent>
      </w:r>
    </w:p>
    <w:p>
      <w:pPr>
        <w:pStyle w:val="BodyText"/>
        <w:spacing w:before="19"/>
      </w:pPr>
    </w:p>
    <w:p>
      <w:pPr>
        <w:spacing w:line="518" w:lineRule="auto" w:before="0"/>
        <w:ind w:left="198" w:right="3272" w:firstLine="0"/>
        <w:jc w:val="both"/>
        <w:rPr>
          <w:sz w:val="18"/>
        </w:rPr>
      </w:pPr>
      <w:r>
        <w:rPr>
          <w:sz w:val="18"/>
        </w:rPr>
        <w:t>Fig. 2.</w:t>
      </w:r>
      <w:r>
        <w:rPr>
          <w:spacing w:val="-3"/>
          <w:sz w:val="18"/>
        </w:rPr>
        <w:t> </w:t>
      </w:r>
      <w:r>
        <w:rPr>
          <w:sz w:val="18"/>
        </w:rPr>
        <w:t>Conversion</w:t>
      </w:r>
      <w:r>
        <w:rPr>
          <w:spacing w:val="-5"/>
          <w:sz w:val="18"/>
        </w:rPr>
        <w:t> </w:t>
      </w:r>
      <w:r>
        <w:rPr>
          <w:sz w:val="18"/>
        </w:rPr>
        <w:t>profiles</w:t>
      </w:r>
      <w:r>
        <w:rPr>
          <w:spacing w:val="-4"/>
          <w:sz w:val="18"/>
        </w:rPr>
        <w:t> </w:t>
      </w:r>
      <w:r>
        <w:rPr>
          <w:sz w:val="18"/>
        </w:rPr>
        <w:t>(X)</w:t>
      </w:r>
      <w:r>
        <w:rPr>
          <w:spacing w:val="-4"/>
          <w:sz w:val="18"/>
        </w:rPr>
        <w:t> </w:t>
      </w:r>
      <w:r>
        <w:rPr>
          <w:sz w:val="18"/>
        </w:rPr>
        <w:t>as</w:t>
      </w:r>
      <w:r>
        <w:rPr>
          <w:spacing w:val="-4"/>
          <w:sz w:val="18"/>
        </w:rPr>
        <w:t> </w:t>
      </w:r>
      <w:r>
        <w:rPr>
          <w:sz w:val="18"/>
        </w:rPr>
        <w:t>a</w:t>
      </w:r>
      <w:r>
        <w:rPr>
          <w:spacing w:val="-5"/>
          <w:sz w:val="18"/>
        </w:rPr>
        <w:t> </w:t>
      </w:r>
      <w:r>
        <w:rPr>
          <w:sz w:val="18"/>
        </w:rPr>
        <w:t>function</w:t>
      </w:r>
      <w:r>
        <w:rPr>
          <w:spacing w:val="-1"/>
          <w:sz w:val="18"/>
        </w:rPr>
        <w:t> </w:t>
      </w:r>
      <w:r>
        <w:rPr>
          <w:sz w:val="18"/>
        </w:rPr>
        <w:t>of</w:t>
      </w:r>
      <w:r>
        <w:rPr>
          <w:spacing w:val="-4"/>
          <w:sz w:val="18"/>
        </w:rPr>
        <w:t> </w:t>
      </w:r>
      <w:r>
        <w:rPr>
          <w:sz w:val="18"/>
        </w:rPr>
        <w:t>time</w:t>
      </w:r>
      <w:r>
        <w:rPr>
          <w:spacing w:val="-5"/>
          <w:sz w:val="18"/>
        </w:rPr>
        <w:t> </w:t>
      </w:r>
      <w:r>
        <w:rPr>
          <w:sz w:val="18"/>
        </w:rPr>
        <w:t>for</w:t>
      </w:r>
      <w:r>
        <w:rPr>
          <w:spacing w:val="-4"/>
          <w:sz w:val="18"/>
        </w:rPr>
        <w:t> </w:t>
      </w:r>
      <w:r>
        <w:rPr>
          <w:sz w:val="18"/>
        </w:rPr>
        <w:t>each</w:t>
      </w:r>
      <w:r>
        <w:rPr>
          <w:spacing w:val="-5"/>
          <w:sz w:val="18"/>
        </w:rPr>
        <w:t> </w:t>
      </w:r>
      <w:r>
        <w:rPr>
          <w:sz w:val="18"/>
        </w:rPr>
        <w:t>temperature Source: Authors’ own data</w:t>
      </w:r>
    </w:p>
    <w:p>
      <w:pPr>
        <w:pStyle w:val="BodyText"/>
        <w:spacing w:before="3"/>
        <w:rPr>
          <w:sz w:val="18"/>
        </w:rPr>
      </w:pPr>
    </w:p>
    <w:p>
      <w:pPr>
        <w:pStyle w:val="BodyText"/>
        <w:spacing w:line="276" w:lineRule="auto"/>
        <w:ind w:left="198" w:right="50" w:firstLine="341"/>
        <w:jc w:val="both"/>
      </w:pPr>
      <w:r>
        <w:rPr/>
        <w:t>In Fig. 3</w:t>
      </w:r>
      <w:r>
        <w:rPr>
          <w:spacing w:val="-2"/>
        </w:rPr>
        <w:t> </w:t>
      </w:r>
      <w:r>
        <w:rPr/>
        <w:t>at 30</w:t>
      </w:r>
      <w:r>
        <w:rPr>
          <w:spacing w:val="-2"/>
        </w:rPr>
        <w:t> </w:t>
      </w:r>
      <w:r>
        <w:rPr/>
        <w:t>°C, conversion</w:t>
      </w:r>
      <w:r>
        <w:rPr>
          <w:spacing w:val="-2"/>
        </w:rPr>
        <w:t> </w:t>
      </w:r>
      <w:r>
        <w:rPr/>
        <w:t>climbs</w:t>
      </w:r>
      <w:r>
        <w:rPr>
          <w:spacing w:val="-4"/>
        </w:rPr>
        <w:t> </w:t>
      </w:r>
      <w:r>
        <w:rPr/>
        <w:t>from</w:t>
      </w:r>
      <w:r>
        <w:rPr>
          <w:spacing w:val="-1"/>
        </w:rPr>
        <w:t> </w:t>
      </w:r>
      <w:r>
        <w:rPr/>
        <w:t>0 to 0.136</w:t>
      </w:r>
      <w:r>
        <w:rPr>
          <w:spacing w:val="-2"/>
        </w:rPr>
        <w:t> </w:t>
      </w:r>
      <w:r>
        <w:rPr/>
        <w:t>in the first</w:t>
      </w:r>
      <w:r>
        <w:rPr>
          <w:spacing w:val="-1"/>
        </w:rPr>
        <w:t> </w:t>
      </w:r>
      <w:r>
        <w:rPr/>
        <w:t>minute</w:t>
      </w:r>
      <w:r>
        <w:rPr>
          <w:spacing w:val="-1"/>
        </w:rPr>
        <w:t> </w:t>
      </w:r>
      <w:r>
        <w:rPr/>
        <w:t>and</w:t>
      </w:r>
      <w:r>
        <w:rPr>
          <w:spacing w:val="-3"/>
        </w:rPr>
        <w:t> </w:t>
      </w:r>
      <w:r>
        <w:rPr/>
        <w:t>reaches 0.442 by 15</w:t>
      </w:r>
      <w:r>
        <w:rPr>
          <w:spacing w:val="-3"/>
        </w:rPr>
        <w:t> </w:t>
      </w:r>
      <w:r>
        <w:rPr/>
        <w:t>min. The</w:t>
      </w:r>
      <w:r>
        <w:rPr>
          <w:spacing w:val="-7"/>
        </w:rPr>
        <w:t> </w:t>
      </w:r>
      <w:r>
        <w:rPr/>
        <w:t>model</w:t>
      </w:r>
      <w:r>
        <w:rPr>
          <w:spacing w:val="-7"/>
        </w:rPr>
        <w:t> </w:t>
      </w:r>
      <w:r>
        <w:rPr/>
        <w:t>yields</w:t>
      </w:r>
      <w:r>
        <w:rPr>
          <w:spacing w:val="-10"/>
        </w:rPr>
        <w:t> </w:t>
      </w:r>
      <w:r>
        <w:rPr/>
        <w:t>an</w:t>
      </w:r>
      <w:r>
        <w:rPr>
          <w:spacing w:val="-4"/>
        </w:rPr>
        <w:t> </w:t>
      </w:r>
      <w:r>
        <w:rPr/>
        <w:t>RMSE</w:t>
      </w:r>
      <w:r>
        <w:rPr>
          <w:spacing w:val="-2"/>
        </w:rPr>
        <w:t> </w:t>
      </w:r>
      <w:r>
        <w:rPr/>
        <w:t>of</w:t>
      </w:r>
      <w:r>
        <w:rPr>
          <w:spacing w:val="-8"/>
        </w:rPr>
        <w:t> </w:t>
      </w:r>
      <w:r>
        <w:rPr/>
        <w:t>0.0012</w:t>
      </w:r>
      <w:r>
        <w:rPr>
          <w:spacing w:val="-8"/>
        </w:rPr>
        <w:t> </w:t>
      </w:r>
      <w:r>
        <w:rPr/>
        <w:t>and</w:t>
      </w:r>
      <w:r>
        <w:rPr>
          <w:spacing w:val="-4"/>
        </w:rPr>
        <w:t> </w:t>
      </w:r>
      <w:r>
        <w:rPr/>
        <w:t>R²</w:t>
      </w:r>
      <w:r>
        <w:rPr>
          <w:spacing w:val="-2"/>
        </w:rPr>
        <w:t> </w:t>
      </w:r>
      <w:r>
        <w:rPr/>
        <w:t>of</w:t>
      </w:r>
      <w:r>
        <w:rPr>
          <w:spacing w:val="-8"/>
        </w:rPr>
        <w:t> </w:t>
      </w:r>
      <w:r>
        <w:rPr/>
        <w:t>0.9998,</w:t>
      </w:r>
      <w:r>
        <w:rPr>
          <w:spacing w:val="-1"/>
        </w:rPr>
        <w:t> </w:t>
      </w:r>
      <w:r>
        <w:rPr/>
        <w:t>with</w:t>
      </w:r>
      <w:r>
        <w:rPr>
          <w:spacing w:val="-8"/>
        </w:rPr>
        <w:t> </w:t>
      </w:r>
      <w:r>
        <w:rPr/>
        <w:t>a</w:t>
      </w:r>
      <w:r>
        <w:rPr>
          <w:spacing w:val="-2"/>
        </w:rPr>
        <w:t> </w:t>
      </w:r>
      <w:r>
        <w:rPr/>
        <w:t>maximum</w:t>
      </w:r>
      <w:r>
        <w:rPr>
          <w:spacing w:val="-2"/>
        </w:rPr>
        <w:t> </w:t>
      </w:r>
      <w:r>
        <w:rPr/>
        <w:t>point-wise</w:t>
      </w:r>
      <w:r>
        <w:rPr>
          <w:spacing w:val="-7"/>
        </w:rPr>
        <w:t> </w:t>
      </w:r>
      <w:r>
        <w:rPr/>
        <w:t>deviation</w:t>
      </w:r>
      <w:r>
        <w:rPr>
          <w:spacing w:val="-8"/>
        </w:rPr>
        <w:t> </w:t>
      </w:r>
      <w:r>
        <w:rPr/>
        <w:t>of</w:t>
      </w:r>
      <w:r>
        <w:rPr>
          <w:spacing w:val="-3"/>
        </w:rPr>
        <w:t> </w:t>
      </w:r>
      <w:r>
        <w:rPr/>
        <w:t>0.54%</w:t>
      </w:r>
      <w:r>
        <w:rPr>
          <w:spacing w:val="-8"/>
        </w:rPr>
        <w:t> </w:t>
      </w:r>
      <w:r>
        <w:rPr/>
        <w:t>at t = 3 min. The slight underprediction at early times with an error of 0.147% suggests minor thermal gradients</w:t>
      </w:r>
      <w:r>
        <w:rPr>
          <w:spacing w:val="-1"/>
        </w:rPr>
        <w:t> </w:t>
      </w:r>
      <w:r>
        <w:rPr/>
        <w:t>or</w:t>
      </w:r>
      <w:r>
        <w:rPr>
          <w:spacing w:val="-4"/>
        </w:rPr>
        <w:t> </w:t>
      </w:r>
      <w:r>
        <w:rPr/>
        <w:t>sampling</w:t>
      </w:r>
      <w:r>
        <w:rPr>
          <w:spacing w:val="-4"/>
        </w:rPr>
        <w:t> </w:t>
      </w:r>
      <w:r>
        <w:rPr/>
        <w:t>lags</w:t>
      </w:r>
      <w:r>
        <w:rPr>
          <w:spacing w:val="-1"/>
        </w:rPr>
        <w:t> </w:t>
      </w:r>
      <w:r>
        <w:rPr/>
        <w:t>in</w:t>
      </w:r>
      <w:r>
        <w:rPr>
          <w:spacing w:val="-4"/>
        </w:rPr>
        <w:t> </w:t>
      </w:r>
      <w:r>
        <w:rPr/>
        <w:t>the</w:t>
      </w:r>
      <w:r>
        <w:rPr>
          <w:spacing w:val="-3"/>
        </w:rPr>
        <w:t> </w:t>
      </w:r>
      <w:r>
        <w:rPr/>
        <w:t>experimental</w:t>
      </w:r>
      <w:r>
        <w:rPr>
          <w:spacing w:val="-3"/>
        </w:rPr>
        <w:t> </w:t>
      </w:r>
      <w:r>
        <w:rPr/>
        <w:t>setup. Still,</w:t>
      </w:r>
      <w:r>
        <w:rPr>
          <w:spacing w:val="-2"/>
        </w:rPr>
        <w:t> </w:t>
      </w:r>
      <w:r>
        <w:rPr/>
        <w:t>overall,</w:t>
      </w:r>
      <w:r>
        <w:rPr>
          <w:spacing w:val="-2"/>
        </w:rPr>
        <w:t> </w:t>
      </w:r>
      <w:r>
        <w:rPr/>
        <w:t>the</w:t>
      </w:r>
      <w:r>
        <w:rPr>
          <w:spacing w:val="-3"/>
        </w:rPr>
        <w:t> </w:t>
      </w:r>
      <w:r>
        <w:rPr/>
        <w:t>second-order</w:t>
      </w:r>
      <w:r>
        <w:rPr>
          <w:spacing w:val="-4"/>
        </w:rPr>
        <w:t> </w:t>
      </w:r>
      <w:r>
        <w:rPr/>
        <w:t>kinetic</w:t>
      </w:r>
      <w:r>
        <w:rPr>
          <w:spacing w:val="-3"/>
        </w:rPr>
        <w:t> </w:t>
      </w:r>
      <w:r>
        <w:rPr/>
        <w:t>law</w:t>
      </w:r>
      <w:r>
        <w:rPr>
          <w:spacing w:val="-6"/>
        </w:rPr>
        <w:t> </w:t>
      </w:r>
      <w:r>
        <w:rPr/>
        <w:t>accurately captures the slow-to-moderate rate behaviour at this temperature.</w:t>
      </w:r>
    </w:p>
    <w:p>
      <w:pPr>
        <w:pStyle w:val="BodyText"/>
        <w:spacing w:after="0" w:line="276" w:lineRule="auto"/>
        <w:jc w:val="both"/>
        <w:sectPr>
          <w:pgSz w:w="10890" w:h="14860"/>
          <w:pgMar w:header="1010" w:footer="1649" w:top="1320" w:bottom="1840" w:left="992" w:right="1133"/>
        </w:sectPr>
      </w:pPr>
    </w:p>
    <w:p>
      <w:pPr>
        <w:pStyle w:val="BodyText"/>
        <w:spacing w:before="4" w:after="1"/>
        <w:rPr>
          <w:sz w:val="12"/>
        </w:rPr>
      </w:pPr>
    </w:p>
    <w:p>
      <w:pPr>
        <w:spacing w:line="240" w:lineRule="auto"/>
        <w:ind w:left="247" w:right="0" w:firstLine="0"/>
        <w:rPr>
          <w:sz w:val="20"/>
        </w:rPr>
      </w:pPr>
      <w:r>
        <w:rPr>
          <w:sz w:val="20"/>
        </w:rPr>
        <mc:AlternateContent>
          <mc:Choice Requires="wps">
            <w:drawing>
              <wp:inline distT="0" distB="0" distL="0" distR="0">
                <wp:extent cx="3757929" cy="2125345"/>
                <wp:effectExtent l="0" t="0" r="0" b="8255"/>
                <wp:docPr id="48" name="Group 48"/>
                <wp:cNvGraphicFramePr>
                  <a:graphicFrameLocks/>
                </wp:cNvGraphicFramePr>
                <a:graphic>
                  <a:graphicData uri="http://schemas.microsoft.com/office/word/2010/wordprocessingGroup">
                    <wpg:wgp>
                      <wpg:cNvPr id="48" name="Group 48"/>
                      <wpg:cNvGrpSpPr/>
                      <wpg:grpSpPr>
                        <a:xfrm>
                          <a:off x="0" y="0"/>
                          <a:ext cx="3757929" cy="2125345"/>
                          <a:chExt cx="3757929" cy="2125345"/>
                        </a:xfrm>
                      </wpg:grpSpPr>
                      <pic:pic>
                        <pic:nvPicPr>
                          <pic:cNvPr id="49" name="Image 49"/>
                          <pic:cNvPicPr/>
                        </pic:nvPicPr>
                        <pic:blipFill>
                          <a:blip r:embed="rId12" cstate="print"/>
                          <a:stretch>
                            <a:fillRect/>
                          </a:stretch>
                        </pic:blipFill>
                        <pic:spPr>
                          <a:xfrm>
                            <a:off x="18906" y="18905"/>
                            <a:ext cx="3719698" cy="2087228"/>
                          </a:xfrm>
                          <a:prstGeom prst="rect">
                            <a:avLst/>
                          </a:prstGeom>
                        </pic:spPr>
                      </pic:pic>
                      <wps:wsp>
                        <wps:cNvPr id="50" name="Graphic 50"/>
                        <wps:cNvSpPr/>
                        <wps:spPr>
                          <a:xfrm>
                            <a:off x="4762" y="4762"/>
                            <a:ext cx="3748404" cy="2115820"/>
                          </a:xfrm>
                          <a:custGeom>
                            <a:avLst/>
                            <a:gdLst/>
                            <a:ahLst/>
                            <a:cxnLst/>
                            <a:rect l="l" t="t" r="r" b="b"/>
                            <a:pathLst>
                              <a:path w="3748404" h="2115820">
                                <a:moveTo>
                                  <a:pt x="0" y="0"/>
                                </a:moveTo>
                                <a:lnTo>
                                  <a:pt x="3747985" y="0"/>
                                </a:lnTo>
                                <a:lnTo>
                                  <a:pt x="3747985" y="2115527"/>
                                </a:lnTo>
                                <a:lnTo>
                                  <a:pt x="0" y="2115527"/>
                                </a:lnTo>
                                <a:lnTo>
                                  <a:pt x="0" y="0"/>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inline>
            </w:drawing>
          </mc:Choice>
          <mc:Fallback>
            <w:pict>
              <v:group style="width:295.9pt;height:167.35pt;mso-position-horizontal-relative:char;mso-position-vertical-relative:line" id="docshapegroup41" coordorigin="0,0" coordsize="5918,3347">
                <v:shape style="position:absolute;left:29;top:29;width:5858;height:3287" type="#_x0000_t75" id="docshape42" stroked="false">
                  <v:imagedata r:id="rId12" o:title=""/>
                </v:shape>
                <v:rect style="position:absolute;left:7;top:7;width:5903;height:3332" id="docshape43" filled="false" stroked="true" strokeweight=".75pt" strokecolor="#7e7e7e">
                  <v:stroke dashstyle="solid"/>
                </v:rect>
              </v:group>
            </w:pict>
          </mc:Fallback>
        </mc:AlternateContent>
      </w:r>
      <w:r>
        <w:rPr>
          <w:sz w:val="20"/>
        </w:rPr>
      </w:r>
    </w:p>
    <w:p>
      <w:pPr>
        <w:pStyle w:val="BodyText"/>
        <w:spacing w:before="2"/>
        <w:rPr>
          <w:sz w:val="18"/>
        </w:rPr>
      </w:pPr>
    </w:p>
    <w:p>
      <w:pPr>
        <w:spacing w:before="1"/>
        <w:ind w:left="198" w:right="0" w:firstLine="0"/>
        <w:jc w:val="left"/>
        <w:rPr>
          <w:sz w:val="18"/>
        </w:rPr>
      </w:pPr>
      <w:r>
        <w:rPr>
          <w:sz w:val="18"/>
        </w:rPr>
        <w:t>Fig.</w:t>
      </w:r>
      <w:r>
        <w:rPr>
          <w:spacing w:val="3"/>
          <w:sz w:val="18"/>
        </w:rPr>
        <w:t> </w:t>
      </w:r>
      <w:r>
        <w:rPr>
          <w:sz w:val="18"/>
        </w:rPr>
        <w:t>3.</w:t>
      </w:r>
      <w:r>
        <w:rPr>
          <w:spacing w:val="-2"/>
          <w:sz w:val="18"/>
        </w:rPr>
        <w:t> </w:t>
      </w:r>
      <w:r>
        <w:rPr>
          <w:sz w:val="18"/>
        </w:rPr>
        <w:t>Conversion</w:t>
      </w:r>
      <w:r>
        <w:rPr>
          <w:spacing w:val="-4"/>
          <w:sz w:val="18"/>
        </w:rPr>
        <w:t> </w:t>
      </w:r>
      <w:r>
        <w:rPr>
          <w:sz w:val="18"/>
        </w:rPr>
        <w:t>vs</w:t>
      </w:r>
      <w:r>
        <w:rPr>
          <w:spacing w:val="-2"/>
          <w:sz w:val="18"/>
        </w:rPr>
        <w:t> </w:t>
      </w:r>
      <w:r>
        <w:rPr>
          <w:sz w:val="18"/>
        </w:rPr>
        <w:t>time</w:t>
      </w:r>
      <w:r>
        <w:rPr>
          <w:spacing w:val="-4"/>
          <w:sz w:val="18"/>
        </w:rPr>
        <w:t> </w:t>
      </w:r>
      <w:r>
        <w:rPr>
          <w:sz w:val="18"/>
        </w:rPr>
        <w:t>at</w:t>
      </w:r>
      <w:r>
        <w:rPr>
          <w:spacing w:val="-1"/>
          <w:sz w:val="18"/>
        </w:rPr>
        <w:t> </w:t>
      </w:r>
      <w:r>
        <w:rPr>
          <w:sz w:val="18"/>
        </w:rPr>
        <w:t>30</w:t>
      </w:r>
      <w:r>
        <w:rPr>
          <w:spacing w:val="1"/>
          <w:sz w:val="18"/>
        </w:rPr>
        <w:t> </w:t>
      </w:r>
      <w:r>
        <w:rPr>
          <w:spacing w:val="-5"/>
          <w:sz w:val="18"/>
        </w:rPr>
        <w:t>°C</w:t>
      </w:r>
    </w:p>
    <w:p>
      <w:pPr>
        <w:pStyle w:val="BodyText"/>
        <w:spacing w:before="37"/>
        <w:rPr>
          <w:sz w:val="18"/>
        </w:rPr>
      </w:pPr>
    </w:p>
    <w:p>
      <w:pPr>
        <w:spacing w:before="0"/>
        <w:ind w:left="198" w:right="0" w:firstLine="0"/>
        <w:jc w:val="left"/>
        <w:rPr>
          <w:sz w:val="18"/>
        </w:rPr>
      </w:pPr>
      <w:r>
        <w:rPr>
          <w:sz w:val="18"/>
        </w:rPr>
        <w:t>Source:</w:t>
      </w:r>
      <w:r>
        <w:rPr>
          <w:spacing w:val="-5"/>
          <w:sz w:val="18"/>
        </w:rPr>
        <w:t> </w:t>
      </w:r>
      <w:r>
        <w:rPr>
          <w:sz w:val="18"/>
        </w:rPr>
        <w:t>Authors’</w:t>
      </w:r>
      <w:r>
        <w:rPr>
          <w:spacing w:val="-4"/>
          <w:sz w:val="18"/>
        </w:rPr>
        <w:t> </w:t>
      </w:r>
      <w:r>
        <w:rPr>
          <w:sz w:val="18"/>
        </w:rPr>
        <w:t>own</w:t>
      </w:r>
      <w:r>
        <w:rPr>
          <w:spacing w:val="-4"/>
          <w:sz w:val="18"/>
        </w:rPr>
        <w:t> data</w:t>
      </w:r>
    </w:p>
    <w:p>
      <w:pPr>
        <w:pStyle w:val="BodyText"/>
        <w:rPr>
          <w:sz w:val="18"/>
        </w:rPr>
      </w:pPr>
    </w:p>
    <w:p>
      <w:pPr>
        <w:pStyle w:val="BodyText"/>
        <w:spacing w:before="90"/>
        <w:rPr>
          <w:sz w:val="18"/>
        </w:rPr>
      </w:pPr>
    </w:p>
    <w:p>
      <w:pPr>
        <w:pStyle w:val="BodyText"/>
        <w:spacing w:line="276" w:lineRule="auto"/>
        <w:ind w:left="198" w:right="50" w:firstLine="340"/>
        <w:jc w:val="both"/>
      </w:pPr>
      <w:r>
        <w:rPr/>
        <w:t>At</w:t>
      </w:r>
      <w:r>
        <w:rPr>
          <w:spacing w:val="-13"/>
        </w:rPr>
        <w:t> </w:t>
      </w:r>
      <w:r>
        <w:rPr/>
        <w:t>40</w:t>
      </w:r>
      <w:r>
        <w:rPr>
          <w:spacing w:val="-12"/>
        </w:rPr>
        <w:t> </w:t>
      </w:r>
      <w:r>
        <w:rPr/>
        <w:t>°C,</w:t>
      </w:r>
      <w:r>
        <w:rPr>
          <w:spacing w:val="-12"/>
        </w:rPr>
        <w:t> </w:t>
      </w:r>
      <w:r>
        <w:rPr/>
        <w:t>conversion</w:t>
      </w:r>
      <w:r>
        <w:rPr>
          <w:spacing w:val="-7"/>
        </w:rPr>
        <w:t> </w:t>
      </w:r>
      <w:r>
        <w:rPr/>
        <w:t>reaches</w:t>
      </w:r>
      <w:r>
        <w:rPr>
          <w:spacing w:val="-13"/>
        </w:rPr>
        <w:t> </w:t>
      </w:r>
      <w:r>
        <w:rPr/>
        <w:t>0.334</w:t>
      </w:r>
      <w:r>
        <w:rPr>
          <w:spacing w:val="-12"/>
        </w:rPr>
        <w:t> </w:t>
      </w:r>
      <w:r>
        <w:rPr/>
        <w:t>by</w:t>
      </w:r>
      <w:r>
        <w:rPr>
          <w:spacing w:val="-12"/>
        </w:rPr>
        <w:t> </w:t>
      </w:r>
      <w:r>
        <w:rPr/>
        <w:t>3</w:t>
      </w:r>
      <w:r>
        <w:rPr>
          <w:spacing w:val="-12"/>
        </w:rPr>
        <w:t> </w:t>
      </w:r>
      <w:r>
        <w:rPr/>
        <w:t>min</w:t>
      </w:r>
      <w:r>
        <w:rPr>
          <w:spacing w:val="-12"/>
        </w:rPr>
        <w:t> </w:t>
      </w:r>
      <w:r>
        <w:rPr/>
        <w:t>and</w:t>
      </w:r>
      <w:r>
        <w:rPr>
          <w:spacing w:val="-7"/>
        </w:rPr>
        <w:t> </w:t>
      </w:r>
      <w:r>
        <w:rPr/>
        <w:t>0.451</w:t>
      </w:r>
      <w:r>
        <w:rPr>
          <w:spacing w:val="-7"/>
        </w:rPr>
        <w:t> </w:t>
      </w:r>
      <w:r>
        <w:rPr/>
        <w:t>by</w:t>
      </w:r>
      <w:r>
        <w:rPr>
          <w:spacing w:val="-12"/>
        </w:rPr>
        <w:t> </w:t>
      </w:r>
      <w:r>
        <w:rPr/>
        <w:t>15</w:t>
      </w:r>
      <w:r>
        <w:rPr>
          <w:spacing w:val="-13"/>
        </w:rPr>
        <w:t> </w:t>
      </w:r>
      <w:r>
        <w:rPr/>
        <w:t>min</w:t>
      </w:r>
      <w:r>
        <w:rPr>
          <w:spacing w:val="-12"/>
        </w:rPr>
        <w:t> </w:t>
      </w:r>
      <w:r>
        <w:rPr/>
        <w:t>as</w:t>
      </w:r>
      <w:r>
        <w:rPr>
          <w:spacing w:val="-13"/>
        </w:rPr>
        <w:t> </w:t>
      </w:r>
      <w:r>
        <w:rPr/>
        <w:t>shown</w:t>
      </w:r>
      <w:r>
        <w:rPr>
          <w:spacing w:val="-12"/>
        </w:rPr>
        <w:t> </w:t>
      </w:r>
      <w:r>
        <w:rPr/>
        <w:t>in</w:t>
      </w:r>
      <w:r>
        <w:rPr>
          <w:spacing w:val="-7"/>
        </w:rPr>
        <w:t> </w:t>
      </w:r>
      <w:r>
        <w:rPr/>
        <w:t>Fig.</w:t>
      </w:r>
      <w:r>
        <w:rPr>
          <w:spacing w:val="-10"/>
        </w:rPr>
        <w:t> </w:t>
      </w:r>
      <w:r>
        <w:rPr/>
        <w:t>4.</w:t>
      </w:r>
      <w:r>
        <w:rPr>
          <w:spacing w:val="-10"/>
        </w:rPr>
        <w:t> </w:t>
      </w:r>
      <w:r>
        <w:rPr/>
        <w:t>The</w:t>
      </w:r>
      <w:r>
        <w:rPr>
          <w:spacing w:val="-13"/>
        </w:rPr>
        <w:t> </w:t>
      </w:r>
      <w:r>
        <w:rPr/>
        <w:t>exceptionally low RMSE of 0.0007 and R² of 0.9999 indicate an almost exact match. The largest single-point error (0.29%) occurs at t = 15 min, likely due to precision limits in analytical measurement. The minimal residuals confirm that mass-transfer limitations are negligible and that the kinetic model parameters are most accurate in the mid-range temperature.</w:t>
      </w:r>
    </w:p>
    <w:p>
      <w:pPr>
        <w:pStyle w:val="BodyText"/>
        <w:spacing w:before="11"/>
        <w:rPr>
          <w:sz w:val="11"/>
        </w:rPr>
      </w:pPr>
      <w:r>
        <w:rPr>
          <w:sz w:val="11"/>
        </w:rPr>
        <mc:AlternateContent>
          <mc:Choice Requires="wps">
            <w:drawing>
              <wp:anchor distT="0" distB="0" distL="0" distR="0" allowOverlap="1" layoutInCell="1" locked="0" behindDoc="1" simplePos="0" relativeHeight="487599616">
                <wp:simplePos x="0" y="0"/>
                <wp:positionH relativeFrom="page">
                  <wp:posOffset>773531</wp:posOffset>
                </wp:positionH>
                <wp:positionV relativeFrom="paragraph">
                  <wp:posOffset>103109</wp:posOffset>
                </wp:positionV>
                <wp:extent cx="3754120" cy="212598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3754120" cy="2125980"/>
                          <a:chExt cx="3754120" cy="2125980"/>
                        </a:xfrm>
                      </wpg:grpSpPr>
                      <pic:pic>
                        <pic:nvPicPr>
                          <pic:cNvPr id="52" name="Image 52"/>
                          <pic:cNvPicPr/>
                        </pic:nvPicPr>
                        <pic:blipFill>
                          <a:blip r:embed="rId13" cstate="print"/>
                          <a:stretch>
                            <a:fillRect/>
                          </a:stretch>
                        </pic:blipFill>
                        <pic:spPr>
                          <a:xfrm>
                            <a:off x="18908" y="18914"/>
                            <a:ext cx="3715858" cy="2088155"/>
                          </a:xfrm>
                          <a:prstGeom prst="rect">
                            <a:avLst/>
                          </a:prstGeom>
                        </pic:spPr>
                      </pic:pic>
                      <wps:wsp>
                        <wps:cNvPr id="53" name="Graphic 53"/>
                        <wps:cNvSpPr/>
                        <wps:spPr>
                          <a:xfrm>
                            <a:off x="4762" y="4762"/>
                            <a:ext cx="3744595" cy="2116455"/>
                          </a:xfrm>
                          <a:custGeom>
                            <a:avLst/>
                            <a:gdLst/>
                            <a:ahLst/>
                            <a:cxnLst/>
                            <a:rect l="l" t="t" r="r" b="b"/>
                            <a:pathLst>
                              <a:path w="3744595" h="2116455">
                                <a:moveTo>
                                  <a:pt x="0" y="0"/>
                                </a:moveTo>
                                <a:lnTo>
                                  <a:pt x="3744163" y="0"/>
                                </a:lnTo>
                                <a:lnTo>
                                  <a:pt x="3744163" y="2116455"/>
                                </a:lnTo>
                                <a:lnTo>
                                  <a:pt x="0" y="2116455"/>
                                </a:lnTo>
                                <a:lnTo>
                                  <a:pt x="0" y="0"/>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0.908001pt;margin-top:8.118889pt;width:295.6pt;height:167.4pt;mso-position-horizontal-relative:page;mso-position-vertical-relative:paragraph;z-index:-15716864;mso-wrap-distance-left:0;mso-wrap-distance-right:0" id="docshapegroup44" coordorigin="1218,162" coordsize="5912,3348">
                <v:shape style="position:absolute;left:1247;top:192;width:5852;height:3289" type="#_x0000_t75" id="docshape45" stroked="false">
                  <v:imagedata r:id="rId13" o:title=""/>
                </v:shape>
                <v:rect style="position:absolute;left:1225;top:169;width:5897;height:3333" id="docshape46" filled="false" stroked="true" strokeweight=".75pt" strokecolor="#7e7e7e">
                  <v:stroke dashstyle="solid"/>
                </v:rect>
                <w10:wrap type="topAndBottom"/>
              </v:group>
            </w:pict>
          </mc:Fallback>
        </mc:AlternateContent>
      </w:r>
    </w:p>
    <w:p>
      <w:pPr>
        <w:spacing w:before="226"/>
        <w:ind w:left="198" w:right="0" w:firstLine="0"/>
        <w:jc w:val="left"/>
        <w:rPr>
          <w:sz w:val="18"/>
        </w:rPr>
      </w:pPr>
      <w:r>
        <w:rPr>
          <w:sz w:val="18"/>
        </w:rPr>
        <w:t>Fig.</w:t>
      </w:r>
      <w:r>
        <w:rPr>
          <w:spacing w:val="3"/>
          <w:sz w:val="18"/>
        </w:rPr>
        <w:t> </w:t>
      </w:r>
      <w:r>
        <w:rPr>
          <w:sz w:val="18"/>
        </w:rPr>
        <w:t>4.</w:t>
      </w:r>
      <w:r>
        <w:rPr>
          <w:spacing w:val="-2"/>
          <w:sz w:val="18"/>
        </w:rPr>
        <w:t> </w:t>
      </w:r>
      <w:r>
        <w:rPr>
          <w:sz w:val="18"/>
        </w:rPr>
        <w:t>Conversion</w:t>
      </w:r>
      <w:r>
        <w:rPr>
          <w:spacing w:val="-4"/>
          <w:sz w:val="18"/>
        </w:rPr>
        <w:t> </w:t>
      </w:r>
      <w:r>
        <w:rPr>
          <w:sz w:val="18"/>
        </w:rPr>
        <w:t>vs</w:t>
      </w:r>
      <w:r>
        <w:rPr>
          <w:spacing w:val="-2"/>
          <w:sz w:val="18"/>
        </w:rPr>
        <w:t> </w:t>
      </w:r>
      <w:r>
        <w:rPr>
          <w:sz w:val="18"/>
        </w:rPr>
        <w:t>time</w:t>
      </w:r>
      <w:r>
        <w:rPr>
          <w:spacing w:val="-4"/>
          <w:sz w:val="18"/>
        </w:rPr>
        <w:t> </w:t>
      </w:r>
      <w:r>
        <w:rPr>
          <w:sz w:val="18"/>
        </w:rPr>
        <w:t>at</w:t>
      </w:r>
      <w:r>
        <w:rPr>
          <w:spacing w:val="-1"/>
          <w:sz w:val="18"/>
        </w:rPr>
        <w:t> </w:t>
      </w:r>
      <w:r>
        <w:rPr>
          <w:sz w:val="18"/>
        </w:rPr>
        <w:t>40</w:t>
      </w:r>
      <w:r>
        <w:rPr>
          <w:spacing w:val="1"/>
          <w:sz w:val="18"/>
        </w:rPr>
        <w:t> </w:t>
      </w:r>
      <w:r>
        <w:rPr>
          <w:spacing w:val="-5"/>
          <w:sz w:val="18"/>
        </w:rPr>
        <w:t>°C</w:t>
      </w:r>
    </w:p>
    <w:p>
      <w:pPr>
        <w:pStyle w:val="BodyText"/>
        <w:spacing w:before="32"/>
        <w:rPr>
          <w:sz w:val="18"/>
        </w:rPr>
      </w:pPr>
    </w:p>
    <w:p>
      <w:pPr>
        <w:spacing w:before="0"/>
        <w:ind w:left="198" w:right="0" w:firstLine="0"/>
        <w:jc w:val="left"/>
        <w:rPr>
          <w:sz w:val="18"/>
        </w:rPr>
      </w:pPr>
      <w:r>
        <w:rPr>
          <w:sz w:val="18"/>
        </w:rPr>
        <w:t>Source:</w:t>
      </w:r>
      <w:r>
        <w:rPr>
          <w:spacing w:val="-5"/>
          <w:sz w:val="18"/>
        </w:rPr>
        <w:t> </w:t>
      </w:r>
      <w:r>
        <w:rPr>
          <w:sz w:val="18"/>
        </w:rPr>
        <w:t>Authors’</w:t>
      </w:r>
      <w:r>
        <w:rPr>
          <w:spacing w:val="-4"/>
          <w:sz w:val="18"/>
        </w:rPr>
        <w:t> </w:t>
      </w:r>
      <w:r>
        <w:rPr>
          <w:sz w:val="18"/>
        </w:rPr>
        <w:t>own</w:t>
      </w:r>
      <w:r>
        <w:rPr>
          <w:spacing w:val="-4"/>
          <w:sz w:val="18"/>
        </w:rPr>
        <w:t> data</w:t>
      </w:r>
    </w:p>
    <w:p>
      <w:pPr>
        <w:spacing w:after="0"/>
        <w:jc w:val="left"/>
        <w:rPr>
          <w:sz w:val="18"/>
        </w:rPr>
        <w:sectPr>
          <w:pgSz w:w="10890" w:h="14860"/>
          <w:pgMar w:header="1010" w:footer="1649" w:top="1320" w:bottom="1840" w:left="992" w:right="1133"/>
        </w:sectPr>
      </w:pPr>
    </w:p>
    <w:p>
      <w:pPr>
        <w:pStyle w:val="BodyText"/>
        <w:spacing w:line="276" w:lineRule="auto" w:before="114"/>
        <w:ind w:left="198" w:right="50" w:firstLine="340"/>
        <w:jc w:val="both"/>
      </w:pPr>
      <w:r>
        <w:rPr/>
        <w:t>The trend depicted in Fig. 5 shows that at 50 °C, the reaction accelerates markedly, achieving 0.380 conversion by 3 min and plateauing near 0.455 by 15 min. The RMSE increases slightly to 0.0013, with the</w:t>
      </w:r>
      <w:r>
        <w:rPr>
          <w:spacing w:val="-13"/>
        </w:rPr>
        <w:t> </w:t>
      </w:r>
      <w:r>
        <w:rPr/>
        <w:t>maximum</w:t>
      </w:r>
      <w:r>
        <w:rPr>
          <w:spacing w:val="-12"/>
        </w:rPr>
        <w:t> </w:t>
      </w:r>
      <w:r>
        <w:rPr/>
        <w:t>error</w:t>
      </w:r>
      <w:r>
        <w:rPr>
          <w:spacing w:val="-13"/>
        </w:rPr>
        <w:t> </w:t>
      </w:r>
      <w:r>
        <w:rPr/>
        <w:t>of</w:t>
      </w:r>
      <w:r>
        <w:rPr>
          <w:spacing w:val="-12"/>
        </w:rPr>
        <w:t> </w:t>
      </w:r>
      <w:r>
        <w:rPr/>
        <w:t>0.59</w:t>
      </w:r>
      <w:r>
        <w:rPr>
          <w:spacing w:val="-13"/>
        </w:rPr>
        <w:t> </w:t>
      </w:r>
      <w:r>
        <w:rPr/>
        <w:t>%</w:t>
      </w:r>
      <w:r>
        <w:rPr>
          <w:spacing w:val="-12"/>
        </w:rPr>
        <w:t> </w:t>
      </w:r>
      <w:r>
        <w:rPr/>
        <w:t>occurring</w:t>
      </w:r>
      <w:r>
        <w:rPr>
          <w:spacing w:val="-13"/>
        </w:rPr>
        <w:t> </w:t>
      </w:r>
      <w:r>
        <w:rPr/>
        <w:t>at</w:t>
      </w:r>
      <w:r>
        <w:rPr>
          <w:spacing w:val="-12"/>
        </w:rPr>
        <w:t> </w:t>
      </w:r>
      <w:r>
        <w:rPr/>
        <w:t>t</w:t>
      </w:r>
      <w:r>
        <w:rPr>
          <w:spacing w:val="-13"/>
        </w:rPr>
        <w:t> </w:t>
      </w:r>
      <w:r>
        <w:rPr/>
        <w:t>=</w:t>
      </w:r>
      <w:r>
        <w:rPr>
          <w:spacing w:val="-12"/>
        </w:rPr>
        <w:t> </w:t>
      </w:r>
      <w:r>
        <w:rPr/>
        <w:t>3</w:t>
      </w:r>
      <w:r>
        <w:rPr>
          <w:spacing w:val="-13"/>
        </w:rPr>
        <w:t> </w:t>
      </w:r>
      <w:r>
        <w:rPr/>
        <w:t>min.</w:t>
      </w:r>
      <w:r>
        <w:rPr>
          <w:spacing w:val="-12"/>
        </w:rPr>
        <w:t> </w:t>
      </w:r>
      <w:r>
        <w:rPr/>
        <w:t>This</w:t>
      </w:r>
      <w:r>
        <w:rPr>
          <w:spacing w:val="-13"/>
        </w:rPr>
        <w:t> </w:t>
      </w:r>
      <w:r>
        <w:rPr/>
        <w:t>elevated</w:t>
      </w:r>
      <w:r>
        <w:rPr>
          <w:spacing w:val="-12"/>
        </w:rPr>
        <w:t> </w:t>
      </w:r>
      <w:r>
        <w:rPr/>
        <w:t>early-time</w:t>
      </w:r>
      <w:r>
        <w:rPr>
          <w:spacing w:val="-13"/>
        </w:rPr>
        <w:t> </w:t>
      </w:r>
      <w:r>
        <w:rPr/>
        <w:t>deviation</w:t>
      </w:r>
      <w:r>
        <w:rPr>
          <w:spacing w:val="-12"/>
        </w:rPr>
        <w:t> </w:t>
      </w:r>
      <w:r>
        <w:rPr/>
        <w:t>may</w:t>
      </w:r>
      <w:r>
        <w:rPr>
          <w:spacing w:val="-13"/>
        </w:rPr>
        <w:t> </w:t>
      </w:r>
      <w:r>
        <w:rPr/>
        <w:t>reflect</w:t>
      </w:r>
      <w:r>
        <w:rPr>
          <w:spacing w:val="-9"/>
        </w:rPr>
        <w:t> </w:t>
      </w:r>
      <w:r>
        <w:rPr/>
        <w:t>transient heat-transfer effects as the reactor warms rapidly, but the R² of 0.9997 confirms that the overall kinetic form remains valid.</w:t>
      </w:r>
    </w:p>
    <w:p>
      <w:pPr>
        <w:pStyle w:val="BodyText"/>
        <w:spacing w:before="9"/>
        <w:rPr>
          <w:sz w:val="10"/>
        </w:rPr>
      </w:pPr>
      <w:r>
        <w:rPr>
          <w:sz w:val="10"/>
        </w:rPr>
        <mc:AlternateContent>
          <mc:Choice Requires="wps">
            <w:drawing>
              <wp:anchor distT="0" distB="0" distL="0" distR="0" allowOverlap="1" layoutInCell="1" locked="0" behindDoc="1" simplePos="0" relativeHeight="487600128">
                <wp:simplePos x="0" y="0"/>
                <wp:positionH relativeFrom="page">
                  <wp:posOffset>765809</wp:posOffset>
                </wp:positionH>
                <wp:positionV relativeFrom="paragraph">
                  <wp:posOffset>94902</wp:posOffset>
                </wp:positionV>
                <wp:extent cx="3729354" cy="212534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3729354" cy="2125345"/>
                          <a:chExt cx="3729354" cy="2125345"/>
                        </a:xfrm>
                      </wpg:grpSpPr>
                      <pic:pic>
                        <pic:nvPicPr>
                          <pic:cNvPr id="55" name="Image 55"/>
                          <pic:cNvPicPr/>
                        </pic:nvPicPr>
                        <pic:blipFill>
                          <a:blip r:embed="rId14" cstate="print"/>
                          <a:stretch>
                            <a:fillRect/>
                          </a:stretch>
                        </pic:blipFill>
                        <pic:spPr>
                          <a:xfrm>
                            <a:off x="18836" y="18905"/>
                            <a:ext cx="3691592" cy="2087228"/>
                          </a:xfrm>
                          <a:prstGeom prst="rect">
                            <a:avLst/>
                          </a:prstGeom>
                        </pic:spPr>
                      </pic:pic>
                      <wps:wsp>
                        <wps:cNvPr id="56" name="Graphic 56"/>
                        <wps:cNvSpPr/>
                        <wps:spPr>
                          <a:xfrm>
                            <a:off x="4762" y="4762"/>
                            <a:ext cx="3719829" cy="2115820"/>
                          </a:xfrm>
                          <a:custGeom>
                            <a:avLst/>
                            <a:gdLst/>
                            <a:ahLst/>
                            <a:cxnLst/>
                            <a:rect l="l" t="t" r="r" b="b"/>
                            <a:pathLst>
                              <a:path w="3719829" h="2115820">
                                <a:moveTo>
                                  <a:pt x="0" y="0"/>
                                </a:moveTo>
                                <a:lnTo>
                                  <a:pt x="3719741" y="0"/>
                                </a:lnTo>
                                <a:lnTo>
                                  <a:pt x="3719741" y="2115527"/>
                                </a:lnTo>
                                <a:lnTo>
                                  <a:pt x="0" y="2115527"/>
                                </a:lnTo>
                                <a:lnTo>
                                  <a:pt x="0" y="0"/>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0.299999pt;margin-top:7.472615pt;width:293.650pt;height:167.35pt;mso-position-horizontal-relative:page;mso-position-vertical-relative:paragraph;z-index:-15716352;mso-wrap-distance-left:0;mso-wrap-distance-right:0" id="docshapegroup47" coordorigin="1206,149" coordsize="5873,3347">
                <v:shape style="position:absolute;left:1235;top:179;width:5814;height:3287" type="#_x0000_t75" id="docshape48" stroked="false">
                  <v:imagedata r:id="rId14" o:title=""/>
                </v:shape>
                <v:rect style="position:absolute;left:1213;top:156;width:5858;height:3332" id="docshape49" filled="false" stroked="true" strokeweight=".75pt" strokecolor="#7e7e7e">
                  <v:stroke dashstyle="solid"/>
                </v:rect>
                <w10:wrap type="topAndBottom"/>
              </v:group>
            </w:pict>
          </mc:Fallback>
        </mc:AlternateContent>
      </w:r>
    </w:p>
    <w:p>
      <w:pPr>
        <w:pStyle w:val="BodyText"/>
        <w:spacing w:before="10"/>
      </w:pPr>
    </w:p>
    <w:p>
      <w:pPr>
        <w:spacing w:before="0"/>
        <w:ind w:left="198" w:right="0" w:firstLine="0"/>
        <w:jc w:val="left"/>
        <w:rPr>
          <w:sz w:val="18"/>
        </w:rPr>
      </w:pPr>
      <w:r>
        <w:rPr>
          <w:sz w:val="18"/>
        </w:rPr>
        <w:t>Fig.</w:t>
      </w:r>
      <w:r>
        <w:rPr>
          <w:spacing w:val="3"/>
          <w:sz w:val="18"/>
        </w:rPr>
        <w:t> </w:t>
      </w:r>
      <w:r>
        <w:rPr>
          <w:sz w:val="18"/>
        </w:rPr>
        <w:t>5.</w:t>
      </w:r>
      <w:r>
        <w:rPr>
          <w:spacing w:val="-2"/>
          <w:sz w:val="18"/>
        </w:rPr>
        <w:t> </w:t>
      </w:r>
      <w:r>
        <w:rPr>
          <w:sz w:val="18"/>
        </w:rPr>
        <w:t>Conversion</w:t>
      </w:r>
      <w:r>
        <w:rPr>
          <w:spacing w:val="-4"/>
          <w:sz w:val="18"/>
        </w:rPr>
        <w:t> </w:t>
      </w:r>
      <w:r>
        <w:rPr>
          <w:sz w:val="18"/>
        </w:rPr>
        <w:t>vs</w:t>
      </w:r>
      <w:r>
        <w:rPr>
          <w:spacing w:val="-2"/>
          <w:sz w:val="18"/>
        </w:rPr>
        <w:t> </w:t>
      </w:r>
      <w:r>
        <w:rPr>
          <w:sz w:val="18"/>
        </w:rPr>
        <w:t>time</w:t>
      </w:r>
      <w:r>
        <w:rPr>
          <w:spacing w:val="-4"/>
          <w:sz w:val="18"/>
        </w:rPr>
        <w:t> </w:t>
      </w:r>
      <w:r>
        <w:rPr>
          <w:sz w:val="18"/>
        </w:rPr>
        <w:t>at</w:t>
      </w:r>
      <w:r>
        <w:rPr>
          <w:spacing w:val="-1"/>
          <w:sz w:val="18"/>
        </w:rPr>
        <w:t> </w:t>
      </w:r>
      <w:r>
        <w:rPr>
          <w:sz w:val="18"/>
        </w:rPr>
        <w:t>50 </w:t>
      </w:r>
      <w:r>
        <w:rPr>
          <w:spacing w:val="-5"/>
          <w:sz w:val="18"/>
        </w:rPr>
        <w:t>°C</w:t>
      </w:r>
    </w:p>
    <w:p>
      <w:pPr>
        <w:pStyle w:val="BodyText"/>
        <w:spacing w:before="42"/>
        <w:rPr>
          <w:sz w:val="18"/>
        </w:rPr>
      </w:pPr>
    </w:p>
    <w:p>
      <w:pPr>
        <w:spacing w:before="0"/>
        <w:ind w:left="198" w:right="0" w:firstLine="0"/>
        <w:jc w:val="left"/>
        <w:rPr>
          <w:sz w:val="18"/>
        </w:rPr>
      </w:pPr>
      <w:r>
        <w:rPr>
          <w:sz w:val="18"/>
        </w:rPr>
        <w:t>Source:</w:t>
      </w:r>
      <w:r>
        <w:rPr>
          <w:spacing w:val="-5"/>
          <w:sz w:val="18"/>
        </w:rPr>
        <w:t> </w:t>
      </w:r>
      <w:r>
        <w:rPr>
          <w:sz w:val="18"/>
        </w:rPr>
        <w:t>Authors’</w:t>
      </w:r>
      <w:r>
        <w:rPr>
          <w:spacing w:val="-4"/>
          <w:sz w:val="18"/>
        </w:rPr>
        <w:t> </w:t>
      </w:r>
      <w:r>
        <w:rPr>
          <w:sz w:val="18"/>
        </w:rPr>
        <w:t>own</w:t>
      </w:r>
      <w:r>
        <w:rPr>
          <w:spacing w:val="-4"/>
          <w:sz w:val="18"/>
        </w:rPr>
        <w:t> data</w:t>
      </w:r>
    </w:p>
    <w:p>
      <w:pPr>
        <w:pStyle w:val="BodyText"/>
        <w:rPr>
          <w:sz w:val="18"/>
        </w:rPr>
      </w:pPr>
    </w:p>
    <w:p>
      <w:pPr>
        <w:pStyle w:val="BodyText"/>
        <w:spacing w:before="90"/>
        <w:rPr>
          <w:sz w:val="18"/>
        </w:rPr>
      </w:pPr>
    </w:p>
    <w:p>
      <w:pPr>
        <w:pStyle w:val="BodyText"/>
        <w:ind w:left="539"/>
        <w:jc w:val="both"/>
      </w:pPr>
      <w:r>
        <w:rPr/>
        <w:t>The</w:t>
      </w:r>
      <w:r>
        <w:rPr>
          <w:spacing w:val="1"/>
        </w:rPr>
        <w:t> </w:t>
      </w:r>
      <w:r>
        <w:rPr/>
        <w:t>graphical</w:t>
      </w:r>
      <w:r>
        <w:rPr>
          <w:spacing w:val="1"/>
        </w:rPr>
        <w:t> </w:t>
      </w:r>
      <w:r>
        <w:rPr/>
        <w:t>representation</w:t>
      </w:r>
      <w:r>
        <w:rPr>
          <w:spacing w:val="4"/>
        </w:rPr>
        <w:t> </w:t>
      </w:r>
      <w:r>
        <w:rPr/>
        <w:t>in</w:t>
      </w:r>
      <w:r>
        <w:rPr>
          <w:spacing w:val="-1"/>
        </w:rPr>
        <w:t> </w:t>
      </w:r>
      <w:r>
        <w:rPr/>
        <w:t>Fig.</w:t>
      </w:r>
      <w:r>
        <w:rPr>
          <w:spacing w:val="7"/>
        </w:rPr>
        <w:t> </w:t>
      </w:r>
      <w:r>
        <w:rPr/>
        <w:t>6</w:t>
      </w:r>
      <w:r>
        <w:rPr>
          <w:spacing w:val="-1"/>
        </w:rPr>
        <w:t> </w:t>
      </w:r>
      <w:r>
        <w:rPr/>
        <w:t>at</w:t>
      </w:r>
      <w:r>
        <w:rPr>
          <w:spacing w:val="1"/>
        </w:rPr>
        <w:t> </w:t>
      </w:r>
      <w:r>
        <w:rPr/>
        <w:t>60</w:t>
      </w:r>
      <w:r>
        <w:rPr>
          <w:spacing w:val="4"/>
        </w:rPr>
        <w:t> </w:t>
      </w:r>
      <w:r>
        <w:rPr/>
        <w:t>°C</w:t>
      </w:r>
      <w:r>
        <w:rPr>
          <w:spacing w:val="-1"/>
        </w:rPr>
        <w:t> </w:t>
      </w:r>
      <w:r>
        <w:rPr/>
        <w:t>highlights</w:t>
      </w:r>
      <w:r>
        <w:rPr>
          <w:spacing w:val="-1"/>
        </w:rPr>
        <w:t> </w:t>
      </w:r>
      <w:r>
        <w:rPr/>
        <w:t>that</w:t>
      </w:r>
      <w:r>
        <w:rPr>
          <w:spacing w:val="1"/>
        </w:rPr>
        <w:t> </w:t>
      </w:r>
      <w:r>
        <w:rPr/>
        <w:t>conversion</w:t>
      </w:r>
      <w:r>
        <w:rPr>
          <w:spacing w:val="-1"/>
        </w:rPr>
        <w:t> </w:t>
      </w:r>
      <w:r>
        <w:rPr/>
        <w:t>reaches</w:t>
      </w:r>
      <w:r>
        <w:rPr>
          <w:spacing w:val="3"/>
        </w:rPr>
        <w:t> </w:t>
      </w:r>
      <w:r>
        <w:rPr/>
        <w:t>0.409</w:t>
      </w:r>
      <w:r>
        <w:rPr>
          <w:spacing w:val="-1"/>
        </w:rPr>
        <w:t> </w:t>
      </w:r>
      <w:r>
        <w:rPr/>
        <w:t>in</w:t>
      </w:r>
      <w:r>
        <w:rPr>
          <w:spacing w:val="4"/>
        </w:rPr>
        <w:t> </w:t>
      </w:r>
      <w:r>
        <w:rPr/>
        <w:t>3 min</w:t>
      </w:r>
      <w:r>
        <w:rPr>
          <w:spacing w:val="4"/>
        </w:rPr>
        <w:t> </w:t>
      </w:r>
      <w:r>
        <w:rPr>
          <w:spacing w:val="-5"/>
        </w:rPr>
        <w:t>and</w:t>
      </w:r>
    </w:p>
    <w:p>
      <w:pPr>
        <w:pStyle w:val="BodyText"/>
        <w:spacing w:line="276" w:lineRule="auto" w:before="34"/>
        <w:ind w:left="198" w:right="55"/>
        <w:jc w:val="both"/>
      </w:pPr>
      <w:r>
        <w:rPr/>
        <w:t>0.456 by 15 min. The RMSE of 0.0012 and R² of 0.9996 indicate excellent agreement, with a maximum error of 0.56% at time, t = 3 min. The slightly larger residuals at early times again point to rapid heating transients, yet the fit confirms that even under the fastest kinetics, the model reliably predicts conversion within industrial-acceptable error bounds (&lt; 1%).</w:t>
      </w:r>
    </w:p>
    <w:p>
      <w:pPr>
        <w:pStyle w:val="BodyText"/>
        <w:spacing w:line="276" w:lineRule="auto" w:before="119"/>
        <w:ind w:left="198" w:right="50" w:firstLine="340"/>
        <w:jc w:val="both"/>
      </w:pPr>
      <w:r>
        <w:rPr/>
        <w:t>Model-accuracy guidelines recommend keeping errors below 2% for detailed models and below 5% for broader applications (Leveneur 2023; Álvarez et al. 2021). Even small experimental uncertainties can otherwise</w:t>
      </w:r>
      <w:r>
        <w:rPr>
          <w:spacing w:val="-13"/>
        </w:rPr>
        <w:t> </w:t>
      </w:r>
      <w:r>
        <w:rPr/>
        <w:t>amplify</w:t>
      </w:r>
      <w:r>
        <w:rPr>
          <w:spacing w:val="-12"/>
        </w:rPr>
        <w:t> </w:t>
      </w:r>
      <w:r>
        <w:rPr/>
        <w:t>during</w:t>
      </w:r>
      <w:r>
        <w:rPr>
          <w:spacing w:val="-13"/>
        </w:rPr>
        <w:t> </w:t>
      </w:r>
      <w:r>
        <w:rPr/>
        <w:t>parameter</w:t>
      </w:r>
      <w:r>
        <w:rPr>
          <w:spacing w:val="-12"/>
        </w:rPr>
        <w:t> </w:t>
      </w:r>
      <w:r>
        <w:rPr/>
        <w:t>estimation</w:t>
      </w:r>
      <w:r>
        <w:rPr>
          <w:spacing w:val="-13"/>
        </w:rPr>
        <w:t> </w:t>
      </w:r>
      <w:r>
        <w:rPr/>
        <w:t>(Alberton</w:t>
      </w:r>
      <w:r>
        <w:rPr>
          <w:spacing w:val="-12"/>
        </w:rPr>
        <w:t> </w:t>
      </w:r>
      <w:r>
        <w:rPr/>
        <w:t>et</w:t>
      </w:r>
      <w:r>
        <w:rPr>
          <w:spacing w:val="-13"/>
        </w:rPr>
        <w:t> </w:t>
      </w:r>
      <w:r>
        <w:rPr/>
        <w:t>al.</w:t>
      </w:r>
      <w:r>
        <w:rPr>
          <w:spacing w:val="-7"/>
        </w:rPr>
        <w:t> </w:t>
      </w:r>
      <w:r>
        <w:rPr/>
        <w:t>2009).</w:t>
      </w:r>
      <w:r>
        <w:rPr>
          <w:spacing w:val="-6"/>
        </w:rPr>
        <w:t> </w:t>
      </w:r>
      <w:r>
        <w:rPr/>
        <w:t>In</w:t>
      </w:r>
      <w:r>
        <w:rPr>
          <w:spacing w:val="-13"/>
        </w:rPr>
        <w:t> </w:t>
      </w:r>
      <w:r>
        <w:rPr/>
        <w:t>this</w:t>
      </w:r>
      <w:r>
        <w:rPr>
          <w:spacing w:val="-10"/>
        </w:rPr>
        <w:t> </w:t>
      </w:r>
      <w:r>
        <w:rPr/>
        <w:t>study,</w:t>
      </w:r>
      <w:r>
        <w:rPr>
          <w:spacing w:val="-11"/>
        </w:rPr>
        <w:t> </w:t>
      </w:r>
      <w:r>
        <w:rPr/>
        <w:t>RMSE</w:t>
      </w:r>
      <w:r>
        <w:rPr>
          <w:spacing w:val="-11"/>
        </w:rPr>
        <w:t> </w:t>
      </w:r>
      <w:r>
        <w:rPr/>
        <w:t>values</w:t>
      </w:r>
      <w:r>
        <w:rPr>
          <w:spacing w:val="-14"/>
        </w:rPr>
        <w:t> </w:t>
      </w:r>
      <w:r>
        <w:rPr/>
        <w:t>of</w:t>
      </w:r>
      <w:r>
        <w:rPr>
          <w:spacing w:val="-13"/>
        </w:rPr>
        <w:t> </w:t>
      </w:r>
      <w:r>
        <w:rPr/>
        <w:t>0.0007</w:t>
      </w:r>
    </w:p>
    <w:p>
      <w:pPr>
        <w:pStyle w:val="BodyText"/>
        <w:spacing w:line="276" w:lineRule="auto" w:before="3"/>
        <w:ind w:left="198" w:right="50"/>
        <w:jc w:val="both"/>
      </w:pPr>
      <w:r>
        <w:rPr/>
        <w:t>−0.0013, R² &gt; 0.9997 and error percentage below 1% fall comfortably within those limits, demonstrating high reliability. This aligns with the widely accepted benchmark</w:t>
      </w:r>
      <w:r>
        <w:rPr>
          <w:spacing w:val="-3"/>
        </w:rPr>
        <w:t> </w:t>
      </w:r>
      <w:r>
        <w:rPr/>
        <w:t>that</w:t>
      </w:r>
      <w:r>
        <w:rPr>
          <w:spacing w:val="-2"/>
        </w:rPr>
        <w:t> </w:t>
      </w:r>
      <w:r>
        <w:rPr/>
        <w:t>a model</w:t>
      </w:r>
      <w:r>
        <w:rPr>
          <w:spacing w:val="-2"/>
        </w:rPr>
        <w:t> </w:t>
      </w:r>
      <w:r>
        <w:rPr/>
        <w:t>is considered</w:t>
      </w:r>
      <w:r>
        <w:rPr>
          <w:spacing w:val="-3"/>
        </w:rPr>
        <w:t> </w:t>
      </w:r>
      <w:r>
        <w:rPr/>
        <w:t>credible when R² approaches 1 and error metrics such as mean squared error (MSE), root mean square error (RMSE), mean</w:t>
      </w:r>
      <w:r>
        <w:rPr>
          <w:spacing w:val="-7"/>
        </w:rPr>
        <w:t> </w:t>
      </w:r>
      <w:r>
        <w:rPr/>
        <w:t>absolute</w:t>
      </w:r>
      <w:r>
        <w:rPr>
          <w:spacing w:val="-6"/>
        </w:rPr>
        <w:t> </w:t>
      </w:r>
      <w:r>
        <w:rPr/>
        <w:t>percentage</w:t>
      </w:r>
      <w:r>
        <w:rPr>
          <w:spacing w:val="-6"/>
        </w:rPr>
        <w:t> </w:t>
      </w:r>
      <w:r>
        <w:rPr/>
        <w:t>error</w:t>
      </w:r>
      <w:r>
        <w:rPr>
          <w:spacing w:val="-7"/>
        </w:rPr>
        <w:t> </w:t>
      </w:r>
      <w:r>
        <w:rPr/>
        <w:t>(MAPE),</w:t>
      </w:r>
      <w:r>
        <w:rPr>
          <w:spacing w:val="-5"/>
        </w:rPr>
        <w:t> </w:t>
      </w:r>
      <w:r>
        <w:rPr/>
        <w:t>and</w:t>
      </w:r>
      <w:r>
        <w:rPr>
          <w:spacing w:val="-7"/>
        </w:rPr>
        <w:t> </w:t>
      </w:r>
      <w:r>
        <w:rPr/>
        <w:t>mean</w:t>
      </w:r>
      <w:r>
        <w:rPr>
          <w:spacing w:val="-7"/>
        </w:rPr>
        <w:t> </w:t>
      </w:r>
      <w:r>
        <w:rPr/>
        <w:t>absolute</w:t>
      </w:r>
      <w:r>
        <w:rPr>
          <w:spacing w:val="-10"/>
        </w:rPr>
        <w:t> </w:t>
      </w:r>
      <w:r>
        <w:rPr/>
        <w:t>error</w:t>
      </w:r>
      <w:r>
        <w:rPr>
          <w:spacing w:val="-7"/>
        </w:rPr>
        <w:t> </w:t>
      </w:r>
      <w:r>
        <w:rPr/>
        <w:t>(MAE)</w:t>
      </w:r>
      <w:r>
        <w:rPr>
          <w:spacing w:val="-7"/>
        </w:rPr>
        <w:t> </w:t>
      </w:r>
      <w:r>
        <w:rPr/>
        <w:t>approach</w:t>
      </w:r>
      <w:r>
        <w:rPr>
          <w:spacing w:val="-7"/>
        </w:rPr>
        <w:t> </w:t>
      </w:r>
      <w:r>
        <w:rPr/>
        <w:t>zero</w:t>
      </w:r>
      <w:r>
        <w:rPr>
          <w:spacing w:val="-7"/>
        </w:rPr>
        <w:t> </w:t>
      </w:r>
      <w:r>
        <w:rPr/>
        <w:t>(Temizel</w:t>
      </w:r>
      <w:r>
        <w:rPr>
          <w:spacing w:val="-6"/>
        </w:rPr>
        <w:t> </w:t>
      </w:r>
      <w:r>
        <w:rPr/>
        <w:t>&amp;</w:t>
      </w:r>
      <w:r>
        <w:rPr>
          <w:spacing w:val="-6"/>
        </w:rPr>
        <w:t> </w:t>
      </w:r>
      <w:r>
        <w:rPr/>
        <w:t>Soylu </w:t>
      </w:r>
      <w:r>
        <w:rPr>
          <w:spacing w:val="-2"/>
        </w:rPr>
        <w:t>2025).</w:t>
      </w:r>
    </w:p>
    <w:p>
      <w:pPr>
        <w:pStyle w:val="BodyText"/>
        <w:spacing w:after="0" w:line="276" w:lineRule="auto"/>
        <w:jc w:val="both"/>
        <w:sectPr>
          <w:pgSz w:w="10890" w:h="14860"/>
          <w:pgMar w:header="1010" w:footer="1649" w:top="1320" w:bottom="1840" w:left="992" w:right="1133"/>
        </w:sectPr>
      </w:pPr>
    </w:p>
    <w:p>
      <w:pPr>
        <w:pStyle w:val="BodyText"/>
        <w:rPr>
          <w:sz w:val="15"/>
        </w:rPr>
      </w:pPr>
    </w:p>
    <w:p>
      <w:pPr>
        <w:spacing w:line="240" w:lineRule="auto"/>
        <w:ind w:left="250" w:right="0" w:firstLine="0"/>
        <w:rPr>
          <w:sz w:val="20"/>
        </w:rPr>
      </w:pPr>
      <w:r>
        <w:rPr>
          <w:sz w:val="20"/>
        </w:rPr>
        <w:drawing>
          <wp:inline distT="0" distB="0" distL="0" distR="0">
            <wp:extent cx="3696645" cy="2076926"/>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5" cstate="print"/>
                    <a:stretch>
                      <a:fillRect/>
                    </a:stretch>
                  </pic:blipFill>
                  <pic:spPr>
                    <a:xfrm>
                      <a:off x="0" y="0"/>
                      <a:ext cx="3696645" cy="2076926"/>
                    </a:xfrm>
                    <a:prstGeom prst="rect">
                      <a:avLst/>
                    </a:prstGeom>
                  </pic:spPr>
                </pic:pic>
              </a:graphicData>
            </a:graphic>
          </wp:inline>
        </w:drawing>
      </w:r>
      <w:r>
        <w:rPr>
          <w:sz w:val="20"/>
        </w:rPr>
      </w:r>
    </w:p>
    <w:p>
      <w:pPr>
        <w:pStyle w:val="BodyText"/>
        <w:spacing w:before="47"/>
        <w:rPr>
          <w:sz w:val="18"/>
        </w:rPr>
      </w:pPr>
    </w:p>
    <w:p>
      <w:pPr>
        <w:spacing w:before="1"/>
        <w:ind w:left="198" w:right="0" w:firstLine="0"/>
        <w:jc w:val="left"/>
        <w:rPr>
          <w:sz w:val="18"/>
        </w:rPr>
      </w:pPr>
      <w:r>
        <w:rPr>
          <w:sz w:val="18"/>
        </w:rPr>
        <w:t>Fig.</w:t>
      </w:r>
      <w:r>
        <w:rPr>
          <w:spacing w:val="3"/>
          <w:sz w:val="18"/>
        </w:rPr>
        <w:t> </w:t>
      </w:r>
      <w:r>
        <w:rPr>
          <w:sz w:val="18"/>
        </w:rPr>
        <w:t>6.</w:t>
      </w:r>
      <w:r>
        <w:rPr>
          <w:spacing w:val="-2"/>
          <w:sz w:val="18"/>
        </w:rPr>
        <w:t> </w:t>
      </w:r>
      <w:r>
        <w:rPr>
          <w:sz w:val="18"/>
        </w:rPr>
        <w:t>Conversion</w:t>
      </w:r>
      <w:r>
        <w:rPr>
          <w:spacing w:val="-4"/>
          <w:sz w:val="18"/>
        </w:rPr>
        <w:t> </w:t>
      </w:r>
      <w:r>
        <w:rPr>
          <w:sz w:val="18"/>
        </w:rPr>
        <w:t>vs</w:t>
      </w:r>
      <w:r>
        <w:rPr>
          <w:spacing w:val="-2"/>
          <w:sz w:val="18"/>
        </w:rPr>
        <w:t> </w:t>
      </w:r>
      <w:r>
        <w:rPr>
          <w:sz w:val="18"/>
        </w:rPr>
        <w:t>time</w:t>
      </w:r>
      <w:r>
        <w:rPr>
          <w:spacing w:val="-4"/>
          <w:sz w:val="18"/>
        </w:rPr>
        <w:t> </w:t>
      </w:r>
      <w:r>
        <w:rPr>
          <w:sz w:val="18"/>
        </w:rPr>
        <w:t>at</w:t>
      </w:r>
      <w:r>
        <w:rPr>
          <w:spacing w:val="-1"/>
          <w:sz w:val="18"/>
        </w:rPr>
        <w:t> </w:t>
      </w:r>
      <w:r>
        <w:rPr>
          <w:sz w:val="18"/>
        </w:rPr>
        <w:t>60</w:t>
      </w:r>
      <w:r>
        <w:rPr>
          <w:spacing w:val="1"/>
          <w:sz w:val="18"/>
        </w:rPr>
        <w:t> </w:t>
      </w:r>
      <w:r>
        <w:rPr>
          <w:spacing w:val="-5"/>
          <w:sz w:val="18"/>
        </w:rPr>
        <w:t>°C</w:t>
      </w:r>
    </w:p>
    <w:p>
      <w:pPr>
        <w:pStyle w:val="BodyText"/>
        <w:spacing w:before="32"/>
        <w:rPr>
          <w:sz w:val="18"/>
        </w:rPr>
      </w:pPr>
    </w:p>
    <w:p>
      <w:pPr>
        <w:spacing w:before="0"/>
        <w:ind w:left="198" w:right="0" w:firstLine="0"/>
        <w:jc w:val="left"/>
        <w:rPr>
          <w:sz w:val="18"/>
        </w:rPr>
      </w:pPr>
      <w:r>
        <w:rPr>
          <w:sz w:val="18"/>
        </w:rPr>
        <w:t>Source:</w:t>
      </w:r>
      <w:r>
        <w:rPr>
          <w:spacing w:val="-5"/>
          <w:sz w:val="18"/>
        </w:rPr>
        <w:t> </w:t>
      </w:r>
      <w:r>
        <w:rPr>
          <w:sz w:val="18"/>
        </w:rPr>
        <w:t>Authors’</w:t>
      </w:r>
      <w:r>
        <w:rPr>
          <w:spacing w:val="-4"/>
          <w:sz w:val="18"/>
        </w:rPr>
        <w:t> </w:t>
      </w:r>
      <w:r>
        <w:rPr>
          <w:sz w:val="18"/>
        </w:rPr>
        <w:t>own</w:t>
      </w:r>
      <w:r>
        <w:rPr>
          <w:spacing w:val="-4"/>
          <w:sz w:val="18"/>
        </w:rPr>
        <w:t> data</w:t>
      </w:r>
    </w:p>
    <w:p>
      <w:pPr>
        <w:pStyle w:val="BodyText"/>
        <w:rPr>
          <w:sz w:val="18"/>
        </w:rPr>
      </w:pPr>
    </w:p>
    <w:p>
      <w:pPr>
        <w:pStyle w:val="BodyText"/>
        <w:rPr>
          <w:sz w:val="18"/>
        </w:rPr>
      </w:pPr>
    </w:p>
    <w:p>
      <w:pPr>
        <w:pStyle w:val="BodyText"/>
        <w:spacing w:before="56"/>
        <w:rPr>
          <w:sz w:val="18"/>
        </w:rPr>
      </w:pPr>
    </w:p>
    <w:p>
      <w:pPr>
        <w:pStyle w:val="Heading2"/>
        <w:numPr>
          <w:ilvl w:val="1"/>
          <w:numId w:val="1"/>
        </w:numPr>
        <w:tabs>
          <w:tab w:pos="624" w:val="left" w:leader="none"/>
        </w:tabs>
        <w:spacing w:line="240" w:lineRule="auto" w:before="0" w:after="0"/>
        <w:ind w:left="624" w:right="0" w:hanging="426"/>
        <w:jc w:val="both"/>
      </w:pPr>
      <w:bookmarkStart w:name="3.3 Determination of the most influentia" w:id="12"/>
      <w:bookmarkEnd w:id="12"/>
      <w:r>
        <w:rPr>
          <w:b w:val="0"/>
        </w:rPr>
      </w:r>
      <w:r>
        <w:rPr/>
        <w:t>Determination</w:t>
      </w:r>
      <w:r>
        <w:rPr>
          <w:spacing w:val="-11"/>
        </w:rPr>
        <w:t> </w:t>
      </w:r>
      <w:r>
        <w:rPr/>
        <w:t>of</w:t>
      </w:r>
      <w:r>
        <w:rPr>
          <w:spacing w:val="-5"/>
        </w:rPr>
        <w:t> </w:t>
      </w:r>
      <w:r>
        <w:rPr/>
        <w:t>the</w:t>
      </w:r>
      <w:r>
        <w:rPr>
          <w:spacing w:val="-7"/>
        </w:rPr>
        <w:t> </w:t>
      </w:r>
      <w:r>
        <w:rPr/>
        <w:t>most</w:t>
      </w:r>
      <w:r>
        <w:rPr>
          <w:spacing w:val="-10"/>
        </w:rPr>
        <w:t> </w:t>
      </w:r>
      <w:r>
        <w:rPr/>
        <w:t>influential</w:t>
      </w:r>
      <w:r>
        <w:rPr>
          <w:spacing w:val="-7"/>
        </w:rPr>
        <w:t> </w:t>
      </w:r>
      <w:r>
        <w:rPr/>
        <w:t>kinetic</w:t>
      </w:r>
      <w:r>
        <w:rPr>
          <w:spacing w:val="-3"/>
        </w:rPr>
        <w:t> </w:t>
      </w:r>
      <w:r>
        <w:rPr>
          <w:spacing w:val="-2"/>
        </w:rPr>
        <w:t>parameter</w:t>
      </w:r>
    </w:p>
    <w:p>
      <w:pPr>
        <w:pStyle w:val="BodyText"/>
        <w:spacing w:line="276" w:lineRule="auto" w:before="120"/>
        <w:ind w:left="198" w:right="51" w:firstLine="340"/>
        <w:jc w:val="both"/>
      </w:pPr>
      <w:r>
        <w:rPr/>
        <w:t>A straightforward sensitivity analysis based on final conversions at 30, 40, 50, and 60 °C in Table 1 shows</w:t>
      </w:r>
      <w:r>
        <w:rPr>
          <w:spacing w:val="28"/>
        </w:rPr>
        <w:t> </w:t>
      </w:r>
      <w:r>
        <w:rPr/>
        <w:t>that</w:t>
      </w:r>
      <w:r>
        <w:rPr>
          <w:spacing w:val="27"/>
        </w:rPr>
        <w:t> </w:t>
      </w:r>
      <w:r>
        <w:rPr/>
        <w:t>raising</w:t>
      </w:r>
      <w:r>
        <w:rPr>
          <w:spacing w:val="25"/>
        </w:rPr>
        <w:t> </w:t>
      </w:r>
      <w:r>
        <w:rPr/>
        <w:t>the</w:t>
      </w:r>
      <w:r>
        <w:rPr>
          <w:spacing w:val="27"/>
        </w:rPr>
        <w:t> </w:t>
      </w:r>
      <w:r>
        <w:rPr/>
        <w:t>temperature</w:t>
      </w:r>
      <w:r>
        <w:rPr>
          <w:spacing w:val="27"/>
        </w:rPr>
        <w:t> </w:t>
      </w:r>
      <w:r>
        <w:rPr/>
        <w:t>from</w:t>
      </w:r>
      <w:r>
        <w:rPr>
          <w:spacing w:val="27"/>
        </w:rPr>
        <w:t> </w:t>
      </w:r>
      <w:r>
        <w:rPr/>
        <w:t>30</w:t>
      </w:r>
      <w:r>
        <w:rPr>
          <w:spacing w:val="25"/>
        </w:rPr>
        <w:t> </w:t>
      </w:r>
      <w:r>
        <w:rPr/>
        <w:t>to</w:t>
      </w:r>
      <w:r>
        <w:rPr>
          <w:spacing w:val="25"/>
        </w:rPr>
        <w:t> </w:t>
      </w:r>
      <w:r>
        <w:rPr/>
        <w:t>40</w:t>
      </w:r>
      <w:r>
        <w:rPr>
          <w:spacing w:val="25"/>
        </w:rPr>
        <w:t> </w:t>
      </w:r>
      <w:r>
        <w:rPr/>
        <w:t>°C</w:t>
      </w:r>
      <w:r>
        <w:rPr>
          <w:spacing w:val="25"/>
        </w:rPr>
        <w:t> </w:t>
      </w:r>
      <w:r>
        <w:rPr/>
        <w:t>delivers</w:t>
      </w:r>
      <w:r>
        <w:rPr>
          <w:spacing w:val="28"/>
        </w:rPr>
        <w:t> </w:t>
      </w:r>
      <w:r>
        <w:rPr/>
        <w:t>the</w:t>
      </w:r>
      <w:r>
        <w:rPr>
          <w:spacing w:val="27"/>
        </w:rPr>
        <w:t> </w:t>
      </w:r>
      <w:r>
        <w:rPr/>
        <w:t>largest</w:t>
      </w:r>
      <w:r>
        <w:rPr>
          <w:spacing w:val="32"/>
        </w:rPr>
        <w:t> </w:t>
      </w:r>
      <w:r>
        <w:rPr/>
        <w:t>gain</w:t>
      </w:r>
      <w:r>
        <w:rPr>
          <w:spacing w:val="25"/>
        </w:rPr>
        <w:t> </w:t>
      </w:r>
      <w:r>
        <w:rPr/>
        <w:t>in</w:t>
      </w:r>
      <w:r>
        <w:rPr>
          <w:spacing w:val="25"/>
        </w:rPr>
        <w:t> </w:t>
      </w:r>
      <w:r>
        <w:rPr/>
        <w:t>conversion,</w:t>
      </w:r>
      <w:r>
        <w:rPr>
          <w:spacing w:val="33"/>
        </w:rPr>
        <w:t> </w:t>
      </w:r>
      <w:r>
        <w:rPr/>
        <w:t>which</w:t>
      </w:r>
      <w:r>
        <w:rPr>
          <w:spacing w:val="25"/>
        </w:rPr>
        <w:t> </w:t>
      </w:r>
      <w:r>
        <w:rPr/>
        <w:t>is ΔX = 0.0072, corresponding to the highest sensitivity per degree Celsius.</w:t>
      </w:r>
      <w:r>
        <w:rPr>
          <w:spacing w:val="40"/>
        </w:rPr>
        <w:t> </w:t>
      </w:r>
      <w:r>
        <w:rPr/>
        <w:t>Above 40 °C, the incremental benefit of heating falls off sharply, where sensitivity drops to 0.00040 per degree Celsius</w:t>
      </w:r>
      <w:r>
        <w:rPr>
          <w:spacing w:val="-1"/>
        </w:rPr>
        <w:t> </w:t>
      </w:r>
      <w:r>
        <w:rPr/>
        <w:t>for the 40 °C to 50 °C step</w:t>
      </w:r>
      <w:r>
        <w:rPr>
          <w:spacing w:val="-3"/>
        </w:rPr>
        <w:t> </w:t>
      </w:r>
      <w:r>
        <w:rPr/>
        <w:t>and</w:t>
      </w:r>
      <w:r>
        <w:rPr>
          <w:spacing w:val="-3"/>
        </w:rPr>
        <w:t> </w:t>
      </w:r>
      <w:r>
        <w:rPr/>
        <w:t>to</w:t>
      </w:r>
      <w:r>
        <w:rPr>
          <w:spacing w:val="-3"/>
        </w:rPr>
        <w:t> </w:t>
      </w:r>
      <w:r>
        <w:rPr/>
        <w:t>just</w:t>
      </w:r>
      <w:r>
        <w:rPr>
          <w:spacing w:val="-2"/>
        </w:rPr>
        <w:t> </w:t>
      </w:r>
      <w:r>
        <w:rPr/>
        <w:t>0.00008</w:t>
      </w:r>
      <w:r>
        <w:rPr>
          <w:spacing w:val="-3"/>
        </w:rPr>
        <w:t> </w:t>
      </w:r>
      <w:r>
        <w:rPr/>
        <w:t>per</w:t>
      </w:r>
      <w:r>
        <w:rPr>
          <w:spacing w:val="-3"/>
        </w:rPr>
        <w:t> </w:t>
      </w:r>
      <w:r>
        <w:rPr/>
        <w:t>degree</w:t>
      </w:r>
      <w:r>
        <w:rPr>
          <w:spacing w:val="-2"/>
        </w:rPr>
        <w:t> </w:t>
      </w:r>
      <w:r>
        <w:rPr/>
        <w:t>Celsius</w:t>
      </w:r>
      <w:r>
        <w:rPr>
          <w:spacing w:val="-5"/>
        </w:rPr>
        <w:t> </w:t>
      </w:r>
      <w:r>
        <w:rPr/>
        <w:t>from 50</w:t>
      </w:r>
      <w:r>
        <w:rPr>
          <w:spacing w:val="40"/>
        </w:rPr>
        <w:t> </w:t>
      </w:r>
      <w:r>
        <w:rPr/>
        <w:t>to</w:t>
      </w:r>
      <w:r>
        <w:rPr>
          <w:spacing w:val="-3"/>
        </w:rPr>
        <w:t> </w:t>
      </w:r>
      <w:r>
        <w:rPr/>
        <w:t>60</w:t>
      </w:r>
      <w:r>
        <w:rPr>
          <w:spacing w:val="-3"/>
        </w:rPr>
        <w:t> </w:t>
      </w:r>
      <w:r>
        <w:rPr/>
        <w:t>°C.</w:t>
      </w:r>
      <w:r>
        <w:rPr>
          <w:spacing w:val="-1"/>
        </w:rPr>
        <w:t> </w:t>
      </w:r>
      <w:r>
        <w:rPr/>
        <w:t>Similar</w:t>
      </w:r>
      <w:r>
        <w:rPr>
          <w:spacing w:val="-3"/>
        </w:rPr>
        <w:t> </w:t>
      </w:r>
      <w:r>
        <w:rPr/>
        <w:t>behaviour</w:t>
      </w:r>
      <w:r>
        <w:rPr>
          <w:spacing w:val="-3"/>
        </w:rPr>
        <w:t> </w:t>
      </w:r>
      <w:r>
        <w:rPr/>
        <w:t>is</w:t>
      </w:r>
      <w:r>
        <w:rPr>
          <w:spacing w:val="-5"/>
        </w:rPr>
        <w:t> </w:t>
      </w:r>
      <w:r>
        <w:rPr/>
        <w:t>seen</w:t>
      </w:r>
      <w:r>
        <w:rPr>
          <w:spacing w:val="-3"/>
        </w:rPr>
        <w:t> </w:t>
      </w:r>
      <w:r>
        <w:rPr/>
        <w:t>in</w:t>
      </w:r>
      <w:r>
        <w:rPr>
          <w:spacing w:val="-4"/>
        </w:rPr>
        <w:t> </w:t>
      </w:r>
      <w:r>
        <w:rPr/>
        <w:t>the study of ethyl acetate saponification (Mukhtar et al., 2017) and in reactor modelling efforts (Wijayarathne &amp; Wasalathilake, 2014), which report that while reaction rates increase strongly with temperature at lower ranges, the incremental gains</w:t>
      </w:r>
      <w:r>
        <w:rPr>
          <w:spacing w:val="-1"/>
        </w:rPr>
        <w:t> </w:t>
      </w:r>
      <w:r>
        <w:rPr/>
        <w:t>per degree reduce as</w:t>
      </w:r>
      <w:r>
        <w:rPr>
          <w:spacing w:val="-1"/>
        </w:rPr>
        <w:t> </w:t>
      </w:r>
      <w:r>
        <w:rPr/>
        <w:t>temperature rises, likely due to diffusion, heat transfer or equilibrium-type limitations.</w:t>
      </w:r>
    </w:p>
    <w:p>
      <w:pPr>
        <w:spacing w:before="134"/>
        <w:ind w:left="198" w:right="0" w:firstLine="0"/>
        <w:jc w:val="left"/>
        <w:rPr>
          <w:sz w:val="16"/>
        </w:rPr>
      </w:pPr>
      <w:r>
        <w:rPr>
          <w:sz w:val="16"/>
        </w:rPr>
        <w:t>Table</w:t>
      </w:r>
      <w:r>
        <w:rPr>
          <w:spacing w:val="-2"/>
          <w:sz w:val="16"/>
        </w:rPr>
        <w:t> </w:t>
      </w:r>
      <w:r>
        <w:rPr>
          <w:sz w:val="16"/>
        </w:rPr>
        <w:t>1</w:t>
      </w:r>
      <w:r>
        <w:rPr>
          <w:spacing w:val="-2"/>
          <w:sz w:val="16"/>
        </w:rPr>
        <w:t> </w:t>
      </w:r>
      <w:r>
        <w:rPr>
          <w:sz w:val="16"/>
        </w:rPr>
        <w:t>Sensitivity</w:t>
      </w:r>
      <w:r>
        <w:rPr>
          <w:spacing w:val="-2"/>
          <w:sz w:val="16"/>
        </w:rPr>
        <w:t> </w:t>
      </w:r>
      <w:r>
        <w:rPr>
          <w:sz w:val="16"/>
        </w:rPr>
        <w:t>analysis</w:t>
      </w:r>
      <w:r>
        <w:rPr>
          <w:spacing w:val="-3"/>
          <w:sz w:val="16"/>
        </w:rPr>
        <w:t> </w:t>
      </w:r>
      <w:r>
        <w:rPr>
          <w:sz w:val="16"/>
        </w:rPr>
        <w:t>based</w:t>
      </w:r>
      <w:r>
        <w:rPr>
          <w:spacing w:val="-1"/>
          <w:sz w:val="16"/>
        </w:rPr>
        <w:t> </w:t>
      </w:r>
      <w:r>
        <w:rPr>
          <w:sz w:val="16"/>
        </w:rPr>
        <w:t>on</w:t>
      </w:r>
      <w:r>
        <w:rPr>
          <w:spacing w:val="-2"/>
          <w:sz w:val="16"/>
        </w:rPr>
        <w:t> </w:t>
      </w:r>
      <w:r>
        <w:rPr>
          <w:sz w:val="16"/>
        </w:rPr>
        <w:t>final</w:t>
      </w:r>
      <w:r>
        <w:rPr>
          <w:spacing w:val="-5"/>
          <w:sz w:val="16"/>
        </w:rPr>
        <w:t> </w:t>
      </w:r>
      <w:r>
        <w:rPr>
          <w:sz w:val="16"/>
        </w:rPr>
        <w:t>conversion</w:t>
      </w:r>
      <w:r>
        <w:rPr>
          <w:spacing w:val="-2"/>
          <w:sz w:val="16"/>
        </w:rPr>
        <w:t> </w:t>
      </w:r>
      <w:r>
        <w:rPr>
          <w:sz w:val="16"/>
        </w:rPr>
        <w:t>at</w:t>
      </w:r>
      <w:r>
        <w:rPr>
          <w:spacing w:val="-4"/>
          <w:sz w:val="16"/>
        </w:rPr>
        <w:t> </w:t>
      </w:r>
      <w:r>
        <w:rPr>
          <w:sz w:val="16"/>
        </w:rPr>
        <w:t>different</w:t>
      </w:r>
      <w:r>
        <w:rPr>
          <w:spacing w:val="-5"/>
          <w:sz w:val="16"/>
        </w:rPr>
        <w:t> </w:t>
      </w:r>
      <w:r>
        <w:rPr>
          <w:spacing w:val="-2"/>
          <w:sz w:val="16"/>
        </w:rPr>
        <w:t>temperatures</w:t>
      </w:r>
    </w:p>
    <w:p>
      <w:pPr>
        <w:pStyle w:val="BodyText"/>
        <w:spacing w:before="9"/>
        <w:rPr>
          <w:sz w:val="10"/>
        </w:rPr>
      </w:pPr>
    </w:p>
    <w:tbl>
      <w:tblPr>
        <w:tblW w:w="0" w:type="auto"/>
        <w:jc w:val="left"/>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6"/>
        <w:gridCol w:w="1730"/>
        <w:gridCol w:w="1695"/>
        <w:gridCol w:w="907"/>
        <w:gridCol w:w="1297"/>
      </w:tblGrid>
      <w:tr>
        <w:trPr>
          <w:trHeight w:val="383" w:hRule="atLeast"/>
        </w:trPr>
        <w:tc>
          <w:tcPr>
            <w:tcW w:w="1346" w:type="dxa"/>
            <w:tcBorders>
              <w:top w:val="single" w:sz="4" w:space="0" w:color="000000"/>
              <w:bottom w:val="single" w:sz="4" w:space="0" w:color="000000"/>
            </w:tcBorders>
          </w:tcPr>
          <w:p>
            <w:pPr>
              <w:pStyle w:val="TableParagraph"/>
              <w:spacing w:line="199" w:lineRule="auto" w:before="39"/>
              <w:ind w:left="535" w:right="210" w:hanging="308"/>
              <w:jc w:val="left"/>
              <w:rPr>
                <w:b/>
                <w:sz w:val="16"/>
              </w:rPr>
            </w:pPr>
            <w:r>
              <w:rPr>
                <w:b/>
                <w:spacing w:val="-2"/>
                <w:sz w:val="16"/>
              </w:rPr>
              <w:t>Temperature</w:t>
            </w:r>
            <w:r>
              <w:rPr>
                <w:b/>
                <w:spacing w:val="40"/>
                <w:sz w:val="16"/>
              </w:rPr>
              <w:t> </w:t>
            </w:r>
            <w:r>
              <w:rPr>
                <w:b/>
                <w:spacing w:val="-4"/>
                <w:sz w:val="16"/>
              </w:rPr>
              <w:t>(°C)</w:t>
            </w:r>
          </w:p>
        </w:tc>
        <w:tc>
          <w:tcPr>
            <w:tcW w:w="1730" w:type="dxa"/>
            <w:tcBorders>
              <w:top w:val="single" w:sz="4" w:space="0" w:color="000000"/>
              <w:bottom w:val="single" w:sz="4" w:space="0" w:color="000000"/>
            </w:tcBorders>
          </w:tcPr>
          <w:p>
            <w:pPr>
              <w:pStyle w:val="TableParagraph"/>
              <w:spacing w:line="199" w:lineRule="auto" w:before="39"/>
              <w:ind w:left="691" w:right="331" w:hanging="480"/>
              <w:jc w:val="left"/>
              <w:rPr>
                <w:b/>
                <w:sz w:val="16"/>
              </w:rPr>
            </w:pPr>
            <w:r>
              <w:rPr>
                <w:b/>
                <w:sz w:val="16"/>
              </w:rPr>
              <w:t>Final</w:t>
            </w:r>
            <w:r>
              <w:rPr>
                <w:b/>
                <w:spacing w:val="-10"/>
                <w:sz w:val="16"/>
              </w:rPr>
              <w:t> </w:t>
            </w:r>
            <w:r>
              <w:rPr>
                <w:b/>
                <w:sz w:val="16"/>
              </w:rPr>
              <w:t>Conversion</w:t>
            </w:r>
            <w:r>
              <w:rPr>
                <w:b/>
                <w:spacing w:val="40"/>
                <w:sz w:val="16"/>
              </w:rPr>
              <w:t> </w:t>
            </w:r>
            <w:r>
              <w:rPr>
                <w:b/>
                <w:spacing w:val="-4"/>
                <w:sz w:val="16"/>
              </w:rPr>
              <w:t>(X)</w:t>
            </w:r>
          </w:p>
        </w:tc>
        <w:tc>
          <w:tcPr>
            <w:tcW w:w="1695" w:type="dxa"/>
            <w:tcBorders>
              <w:top w:val="single" w:sz="4" w:space="0" w:color="000000"/>
              <w:bottom w:val="single" w:sz="4" w:space="0" w:color="000000"/>
            </w:tcBorders>
          </w:tcPr>
          <w:p>
            <w:pPr>
              <w:pStyle w:val="TableParagraph"/>
              <w:spacing w:line="199" w:lineRule="auto" w:before="39"/>
              <w:ind w:left="420" w:hanging="82"/>
              <w:jc w:val="left"/>
              <w:rPr>
                <w:b/>
                <w:sz w:val="16"/>
              </w:rPr>
            </w:pPr>
            <w:r>
              <w:rPr>
                <w:b/>
                <w:sz w:val="16"/>
              </w:rPr>
              <w:t>ΔX</w:t>
            </w:r>
            <w:r>
              <w:rPr>
                <w:b/>
                <w:spacing w:val="-10"/>
                <w:sz w:val="16"/>
              </w:rPr>
              <w:t> </w:t>
            </w:r>
            <w:r>
              <w:rPr>
                <w:b/>
                <w:sz w:val="16"/>
              </w:rPr>
              <w:t>(Change</w:t>
            </w:r>
            <w:r>
              <w:rPr>
                <w:b/>
                <w:spacing w:val="-10"/>
                <w:sz w:val="16"/>
              </w:rPr>
              <w:t> </w:t>
            </w:r>
            <w:r>
              <w:rPr>
                <w:b/>
                <w:sz w:val="16"/>
              </w:rPr>
              <w:t>in</w:t>
            </w:r>
            <w:r>
              <w:rPr>
                <w:b/>
                <w:spacing w:val="40"/>
                <w:sz w:val="16"/>
              </w:rPr>
              <w:t> </w:t>
            </w:r>
            <w:r>
              <w:rPr>
                <w:b/>
                <w:spacing w:val="-2"/>
                <w:sz w:val="16"/>
              </w:rPr>
              <w:t>Conversion)</w:t>
            </w:r>
          </w:p>
        </w:tc>
        <w:tc>
          <w:tcPr>
            <w:tcW w:w="907" w:type="dxa"/>
            <w:tcBorders>
              <w:top w:val="single" w:sz="4" w:space="0" w:color="000000"/>
              <w:bottom w:val="single" w:sz="4" w:space="0" w:color="000000"/>
            </w:tcBorders>
          </w:tcPr>
          <w:p>
            <w:pPr>
              <w:pStyle w:val="TableParagraph"/>
              <w:spacing w:line="169" w:lineRule="exact" w:before="13"/>
              <w:ind w:left="77" w:right="5"/>
              <w:rPr>
                <w:b/>
                <w:sz w:val="16"/>
              </w:rPr>
            </w:pPr>
            <w:r>
              <w:rPr>
                <w:b/>
                <w:spacing w:val="-5"/>
                <w:sz w:val="16"/>
              </w:rPr>
              <w:t>ΔT</w:t>
            </w:r>
          </w:p>
          <w:p>
            <w:pPr>
              <w:pStyle w:val="TableParagraph"/>
              <w:spacing w:line="169" w:lineRule="exact" w:before="0"/>
              <w:ind w:left="77" w:right="5"/>
              <w:rPr>
                <w:b/>
                <w:sz w:val="16"/>
              </w:rPr>
            </w:pPr>
            <w:r>
              <w:rPr>
                <w:b/>
                <w:spacing w:val="-4"/>
                <w:sz w:val="16"/>
              </w:rPr>
              <w:t>(°C)</w:t>
            </w:r>
          </w:p>
        </w:tc>
        <w:tc>
          <w:tcPr>
            <w:tcW w:w="1297" w:type="dxa"/>
            <w:tcBorders>
              <w:top w:val="single" w:sz="4" w:space="0" w:color="000000"/>
              <w:bottom w:val="single" w:sz="4" w:space="0" w:color="000000"/>
            </w:tcBorders>
          </w:tcPr>
          <w:p>
            <w:pPr>
              <w:pStyle w:val="TableParagraph"/>
              <w:spacing w:line="169" w:lineRule="exact" w:before="13"/>
              <w:ind w:left="271"/>
              <w:jc w:val="left"/>
              <w:rPr>
                <w:b/>
                <w:sz w:val="16"/>
              </w:rPr>
            </w:pPr>
            <w:r>
              <w:rPr>
                <w:b/>
                <w:spacing w:val="-2"/>
                <w:sz w:val="16"/>
              </w:rPr>
              <w:t>Sensitivity</w:t>
            </w:r>
          </w:p>
          <w:p>
            <w:pPr>
              <w:pStyle w:val="TableParagraph"/>
              <w:spacing w:line="169" w:lineRule="exact" w:before="0"/>
              <w:ind w:left="333"/>
              <w:jc w:val="left"/>
              <w:rPr>
                <w:b/>
                <w:sz w:val="16"/>
              </w:rPr>
            </w:pPr>
            <w:r>
              <w:rPr>
                <w:b/>
                <w:spacing w:val="-2"/>
                <w:sz w:val="16"/>
              </w:rPr>
              <w:t>(ΔX/ΔT)</w:t>
            </w:r>
          </w:p>
        </w:tc>
      </w:tr>
      <w:tr>
        <w:trPr>
          <w:trHeight w:val="227" w:hRule="atLeast"/>
        </w:trPr>
        <w:tc>
          <w:tcPr>
            <w:tcW w:w="1346" w:type="dxa"/>
            <w:tcBorders>
              <w:top w:val="single" w:sz="4" w:space="0" w:color="000000"/>
            </w:tcBorders>
          </w:tcPr>
          <w:p>
            <w:pPr>
              <w:pStyle w:val="TableParagraph"/>
              <w:spacing w:before="13"/>
              <w:ind w:left="21"/>
              <w:rPr>
                <w:sz w:val="16"/>
              </w:rPr>
            </w:pPr>
            <w:r>
              <w:rPr>
                <w:spacing w:val="-5"/>
                <w:sz w:val="16"/>
              </w:rPr>
              <w:t>30</w:t>
            </w:r>
          </w:p>
        </w:tc>
        <w:tc>
          <w:tcPr>
            <w:tcW w:w="1730" w:type="dxa"/>
            <w:tcBorders>
              <w:top w:val="single" w:sz="4" w:space="0" w:color="000000"/>
            </w:tcBorders>
          </w:tcPr>
          <w:p>
            <w:pPr>
              <w:pStyle w:val="TableParagraph"/>
              <w:spacing w:before="13"/>
              <w:ind w:left="581"/>
              <w:jc w:val="left"/>
              <w:rPr>
                <w:sz w:val="16"/>
              </w:rPr>
            </w:pPr>
            <w:r>
              <w:rPr>
                <w:spacing w:val="-2"/>
                <w:sz w:val="16"/>
              </w:rPr>
              <w:t>0.4440</w:t>
            </w:r>
          </w:p>
        </w:tc>
        <w:tc>
          <w:tcPr>
            <w:tcW w:w="1695" w:type="dxa"/>
            <w:tcBorders>
              <w:top w:val="single" w:sz="4" w:space="0" w:color="000000"/>
            </w:tcBorders>
          </w:tcPr>
          <w:p>
            <w:pPr>
              <w:pStyle w:val="TableParagraph"/>
              <w:spacing w:before="13"/>
              <w:ind w:left="0" w:right="13"/>
              <w:rPr>
                <w:sz w:val="16"/>
              </w:rPr>
            </w:pPr>
            <w:r>
              <w:rPr>
                <w:spacing w:val="-10"/>
                <w:sz w:val="16"/>
              </w:rPr>
              <w:t>–</w:t>
            </w:r>
          </w:p>
        </w:tc>
        <w:tc>
          <w:tcPr>
            <w:tcW w:w="907" w:type="dxa"/>
            <w:tcBorders>
              <w:top w:val="single" w:sz="4" w:space="0" w:color="000000"/>
            </w:tcBorders>
          </w:tcPr>
          <w:p>
            <w:pPr>
              <w:pStyle w:val="TableParagraph"/>
              <w:spacing w:before="13"/>
              <w:ind w:left="77" w:right="7"/>
              <w:rPr>
                <w:sz w:val="16"/>
              </w:rPr>
            </w:pPr>
            <w:r>
              <w:rPr>
                <w:spacing w:val="-10"/>
                <w:sz w:val="16"/>
              </w:rPr>
              <w:t>–</w:t>
            </w:r>
          </w:p>
        </w:tc>
        <w:tc>
          <w:tcPr>
            <w:tcW w:w="1297" w:type="dxa"/>
            <w:tcBorders>
              <w:top w:val="single" w:sz="4" w:space="0" w:color="000000"/>
            </w:tcBorders>
          </w:tcPr>
          <w:p>
            <w:pPr>
              <w:pStyle w:val="TableParagraph"/>
              <w:spacing w:before="13"/>
              <w:ind w:left="0" w:right="48"/>
              <w:rPr>
                <w:sz w:val="16"/>
              </w:rPr>
            </w:pPr>
            <w:r>
              <w:rPr>
                <w:spacing w:val="-10"/>
                <w:sz w:val="16"/>
              </w:rPr>
              <w:t>–</w:t>
            </w:r>
          </w:p>
        </w:tc>
      </w:tr>
      <w:tr>
        <w:trPr>
          <w:trHeight w:val="240" w:hRule="atLeast"/>
        </w:trPr>
        <w:tc>
          <w:tcPr>
            <w:tcW w:w="1346" w:type="dxa"/>
          </w:tcPr>
          <w:p>
            <w:pPr>
              <w:pStyle w:val="TableParagraph"/>
              <w:spacing w:before="21"/>
              <w:ind w:left="21"/>
              <w:rPr>
                <w:sz w:val="16"/>
              </w:rPr>
            </w:pPr>
            <w:r>
              <w:rPr>
                <w:spacing w:val="-5"/>
                <w:sz w:val="16"/>
              </w:rPr>
              <w:t>40</w:t>
            </w:r>
          </w:p>
        </w:tc>
        <w:tc>
          <w:tcPr>
            <w:tcW w:w="1730" w:type="dxa"/>
          </w:tcPr>
          <w:p>
            <w:pPr>
              <w:pStyle w:val="TableParagraph"/>
              <w:spacing w:before="21"/>
              <w:ind w:left="581"/>
              <w:jc w:val="left"/>
              <w:rPr>
                <w:sz w:val="16"/>
              </w:rPr>
            </w:pPr>
            <w:r>
              <w:rPr>
                <w:spacing w:val="-2"/>
                <w:sz w:val="16"/>
              </w:rPr>
              <w:t>0.4512</w:t>
            </w:r>
          </w:p>
        </w:tc>
        <w:tc>
          <w:tcPr>
            <w:tcW w:w="1695" w:type="dxa"/>
          </w:tcPr>
          <w:p>
            <w:pPr>
              <w:pStyle w:val="TableParagraph"/>
              <w:spacing w:before="21"/>
              <w:ind w:left="2" w:right="13"/>
              <w:rPr>
                <w:sz w:val="16"/>
              </w:rPr>
            </w:pPr>
            <w:r>
              <w:rPr>
                <w:spacing w:val="-2"/>
                <w:sz w:val="16"/>
              </w:rPr>
              <w:t>0.0072</w:t>
            </w:r>
          </w:p>
        </w:tc>
        <w:tc>
          <w:tcPr>
            <w:tcW w:w="907" w:type="dxa"/>
          </w:tcPr>
          <w:p>
            <w:pPr>
              <w:pStyle w:val="TableParagraph"/>
              <w:spacing w:before="21"/>
              <w:ind w:left="77"/>
              <w:rPr>
                <w:sz w:val="16"/>
              </w:rPr>
            </w:pPr>
            <w:r>
              <w:rPr>
                <w:spacing w:val="-5"/>
                <w:sz w:val="16"/>
              </w:rPr>
              <w:t>10</w:t>
            </w:r>
          </w:p>
        </w:tc>
        <w:tc>
          <w:tcPr>
            <w:tcW w:w="1297" w:type="dxa"/>
          </w:tcPr>
          <w:p>
            <w:pPr>
              <w:pStyle w:val="TableParagraph"/>
              <w:spacing w:before="21"/>
              <w:ind w:left="0" w:right="48"/>
              <w:rPr>
                <w:sz w:val="16"/>
              </w:rPr>
            </w:pPr>
            <w:r>
              <w:rPr>
                <w:spacing w:val="-2"/>
                <w:sz w:val="16"/>
              </w:rPr>
              <w:t>0.00072</w:t>
            </w:r>
          </w:p>
        </w:tc>
      </w:tr>
      <w:tr>
        <w:trPr>
          <w:trHeight w:val="240" w:hRule="atLeast"/>
        </w:trPr>
        <w:tc>
          <w:tcPr>
            <w:tcW w:w="1346" w:type="dxa"/>
          </w:tcPr>
          <w:p>
            <w:pPr>
              <w:pStyle w:val="TableParagraph"/>
              <w:spacing w:before="26"/>
              <w:ind w:left="21"/>
              <w:rPr>
                <w:sz w:val="16"/>
              </w:rPr>
            </w:pPr>
            <w:r>
              <w:rPr>
                <w:spacing w:val="-5"/>
                <w:sz w:val="16"/>
              </w:rPr>
              <w:t>50</w:t>
            </w:r>
          </w:p>
        </w:tc>
        <w:tc>
          <w:tcPr>
            <w:tcW w:w="1730" w:type="dxa"/>
          </w:tcPr>
          <w:p>
            <w:pPr>
              <w:pStyle w:val="TableParagraph"/>
              <w:spacing w:before="26"/>
              <w:ind w:left="581"/>
              <w:jc w:val="left"/>
              <w:rPr>
                <w:sz w:val="16"/>
              </w:rPr>
            </w:pPr>
            <w:r>
              <w:rPr>
                <w:spacing w:val="-2"/>
                <w:sz w:val="16"/>
              </w:rPr>
              <w:t>0.4552</w:t>
            </w:r>
          </w:p>
        </w:tc>
        <w:tc>
          <w:tcPr>
            <w:tcW w:w="1695" w:type="dxa"/>
          </w:tcPr>
          <w:p>
            <w:pPr>
              <w:pStyle w:val="TableParagraph"/>
              <w:spacing w:before="26"/>
              <w:ind w:left="2" w:right="13"/>
              <w:rPr>
                <w:sz w:val="16"/>
              </w:rPr>
            </w:pPr>
            <w:r>
              <w:rPr>
                <w:spacing w:val="-2"/>
                <w:sz w:val="16"/>
              </w:rPr>
              <w:t>0.0040</w:t>
            </w:r>
          </w:p>
        </w:tc>
        <w:tc>
          <w:tcPr>
            <w:tcW w:w="907" w:type="dxa"/>
          </w:tcPr>
          <w:p>
            <w:pPr>
              <w:pStyle w:val="TableParagraph"/>
              <w:spacing w:before="26"/>
              <w:ind w:left="77"/>
              <w:rPr>
                <w:sz w:val="16"/>
              </w:rPr>
            </w:pPr>
            <w:r>
              <w:rPr>
                <w:spacing w:val="-5"/>
                <w:sz w:val="16"/>
              </w:rPr>
              <w:t>10</w:t>
            </w:r>
          </w:p>
        </w:tc>
        <w:tc>
          <w:tcPr>
            <w:tcW w:w="1297" w:type="dxa"/>
          </w:tcPr>
          <w:p>
            <w:pPr>
              <w:pStyle w:val="TableParagraph"/>
              <w:spacing w:before="26"/>
              <w:ind w:left="0" w:right="48"/>
              <w:rPr>
                <w:sz w:val="16"/>
              </w:rPr>
            </w:pPr>
            <w:r>
              <w:rPr>
                <w:spacing w:val="-2"/>
                <w:sz w:val="16"/>
              </w:rPr>
              <w:t>0.00040</w:t>
            </w:r>
          </w:p>
        </w:tc>
      </w:tr>
      <w:tr>
        <w:trPr>
          <w:trHeight w:val="247" w:hRule="atLeast"/>
        </w:trPr>
        <w:tc>
          <w:tcPr>
            <w:tcW w:w="1346" w:type="dxa"/>
            <w:tcBorders>
              <w:bottom w:val="single" w:sz="4" w:space="0" w:color="000000"/>
            </w:tcBorders>
          </w:tcPr>
          <w:p>
            <w:pPr>
              <w:pStyle w:val="TableParagraph"/>
              <w:spacing w:before="21"/>
              <w:ind w:left="21"/>
              <w:rPr>
                <w:sz w:val="16"/>
              </w:rPr>
            </w:pPr>
            <w:r>
              <w:rPr>
                <w:spacing w:val="-5"/>
                <w:sz w:val="16"/>
              </w:rPr>
              <w:t>60</w:t>
            </w:r>
          </w:p>
        </w:tc>
        <w:tc>
          <w:tcPr>
            <w:tcW w:w="1730" w:type="dxa"/>
            <w:tcBorders>
              <w:bottom w:val="single" w:sz="4" w:space="0" w:color="000000"/>
            </w:tcBorders>
          </w:tcPr>
          <w:p>
            <w:pPr>
              <w:pStyle w:val="TableParagraph"/>
              <w:spacing w:before="21"/>
              <w:ind w:left="581"/>
              <w:jc w:val="left"/>
              <w:rPr>
                <w:sz w:val="16"/>
              </w:rPr>
            </w:pPr>
            <w:r>
              <w:rPr>
                <w:spacing w:val="-2"/>
                <w:sz w:val="16"/>
              </w:rPr>
              <w:t>0.4560</w:t>
            </w:r>
          </w:p>
        </w:tc>
        <w:tc>
          <w:tcPr>
            <w:tcW w:w="1695" w:type="dxa"/>
            <w:tcBorders>
              <w:bottom w:val="single" w:sz="4" w:space="0" w:color="000000"/>
            </w:tcBorders>
          </w:tcPr>
          <w:p>
            <w:pPr>
              <w:pStyle w:val="TableParagraph"/>
              <w:spacing w:before="21"/>
              <w:ind w:left="2" w:right="13"/>
              <w:rPr>
                <w:sz w:val="16"/>
              </w:rPr>
            </w:pPr>
            <w:r>
              <w:rPr>
                <w:spacing w:val="-2"/>
                <w:sz w:val="16"/>
              </w:rPr>
              <w:t>0.0008</w:t>
            </w:r>
          </w:p>
        </w:tc>
        <w:tc>
          <w:tcPr>
            <w:tcW w:w="907" w:type="dxa"/>
            <w:tcBorders>
              <w:bottom w:val="single" w:sz="4" w:space="0" w:color="000000"/>
            </w:tcBorders>
          </w:tcPr>
          <w:p>
            <w:pPr>
              <w:pStyle w:val="TableParagraph"/>
              <w:spacing w:before="21"/>
              <w:ind w:left="77"/>
              <w:rPr>
                <w:sz w:val="16"/>
              </w:rPr>
            </w:pPr>
            <w:r>
              <w:rPr>
                <w:spacing w:val="-5"/>
                <w:sz w:val="16"/>
              </w:rPr>
              <w:t>10</w:t>
            </w:r>
          </w:p>
        </w:tc>
        <w:tc>
          <w:tcPr>
            <w:tcW w:w="1297" w:type="dxa"/>
            <w:tcBorders>
              <w:bottom w:val="single" w:sz="4" w:space="0" w:color="000000"/>
            </w:tcBorders>
          </w:tcPr>
          <w:p>
            <w:pPr>
              <w:pStyle w:val="TableParagraph"/>
              <w:spacing w:before="21"/>
              <w:ind w:left="0" w:right="48"/>
              <w:rPr>
                <w:sz w:val="16"/>
              </w:rPr>
            </w:pPr>
            <w:r>
              <w:rPr>
                <w:spacing w:val="-2"/>
                <w:sz w:val="16"/>
              </w:rPr>
              <w:t>0.00008</w:t>
            </w:r>
          </w:p>
        </w:tc>
      </w:tr>
    </w:tbl>
    <w:p>
      <w:pPr>
        <w:spacing w:before="121"/>
        <w:ind w:left="198" w:right="0" w:firstLine="0"/>
        <w:jc w:val="left"/>
        <w:rPr>
          <w:sz w:val="18"/>
        </w:rPr>
      </w:pPr>
      <w:r>
        <w:rPr>
          <w:sz w:val="18"/>
        </w:rPr>
        <w:t>Source:</w:t>
      </w:r>
      <w:r>
        <w:rPr>
          <w:spacing w:val="-5"/>
          <w:sz w:val="18"/>
        </w:rPr>
        <w:t> </w:t>
      </w:r>
      <w:r>
        <w:rPr>
          <w:sz w:val="18"/>
        </w:rPr>
        <w:t>Authors’</w:t>
      </w:r>
      <w:r>
        <w:rPr>
          <w:spacing w:val="-4"/>
          <w:sz w:val="18"/>
        </w:rPr>
        <w:t> </w:t>
      </w:r>
      <w:r>
        <w:rPr>
          <w:sz w:val="18"/>
        </w:rPr>
        <w:t>own</w:t>
      </w:r>
      <w:r>
        <w:rPr>
          <w:spacing w:val="-4"/>
          <w:sz w:val="18"/>
        </w:rPr>
        <w:t> data</w:t>
      </w:r>
    </w:p>
    <w:p>
      <w:pPr>
        <w:pStyle w:val="BodyText"/>
        <w:rPr>
          <w:sz w:val="18"/>
        </w:rPr>
      </w:pPr>
    </w:p>
    <w:p>
      <w:pPr>
        <w:pStyle w:val="BodyText"/>
        <w:spacing w:before="37"/>
        <w:rPr>
          <w:sz w:val="18"/>
        </w:rPr>
      </w:pPr>
    </w:p>
    <w:p>
      <w:pPr>
        <w:pStyle w:val="BodyText"/>
        <w:spacing w:line="276" w:lineRule="auto"/>
        <w:ind w:left="198" w:right="51" w:firstLine="340"/>
        <w:jc w:val="both"/>
      </w:pPr>
      <w:r>
        <w:rPr/>
        <w:t>In</w:t>
      </w:r>
      <w:r>
        <w:rPr>
          <w:spacing w:val="-4"/>
        </w:rPr>
        <w:t> </w:t>
      </w:r>
      <w:r>
        <w:rPr/>
        <w:t>practical</w:t>
      </w:r>
      <w:r>
        <w:rPr>
          <w:spacing w:val="-7"/>
        </w:rPr>
        <w:t> </w:t>
      </w:r>
      <w:r>
        <w:rPr/>
        <w:t>terms,</w:t>
      </w:r>
      <w:r>
        <w:rPr>
          <w:spacing w:val="-6"/>
        </w:rPr>
        <w:t> </w:t>
      </w:r>
      <w:r>
        <w:rPr/>
        <w:t>this</w:t>
      </w:r>
      <w:r>
        <w:rPr>
          <w:spacing w:val="-10"/>
        </w:rPr>
        <w:t> </w:t>
      </w:r>
      <w:r>
        <w:rPr/>
        <w:t>means</w:t>
      </w:r>
      <w:r>
        <w:rPr>
          <w:spacing w:val="-10"/>
        </w:rPr>
        <w:t> </w:t>
      </w:r>
      <w:r>
        <w:rPr/>
        <w:t>that</w:t>
      </w:r>
      <w:r>
        <w:rPr>
          <w:spacing w:val="-7"/>
        </w:rPr>
        <w:t> </w:t>
      </w:r>
      <w:r>
        <w:rPr/>
        <w:t>temperature</w:t>
      </w:r>
      <w:r>
        <w:rPr>
          <w:spacing w:val="-2"/>
        </w:rPr>
        <w:t> </w:t>
      </w:r>
      <w:r>
        <w:rPr/>
        <w:t>is</w:t>
      </w:r>
      <w:r>
        <w:rPr>
          <w:spacing w:val="-10"/>
        </w:rPr>
        <w:t> </w:t>
      </w:r>
      <w:r>
        <w:rPr/>
        <w:t>indeed</w:t>
      </w:r>
      <w:r>
        <w:rPr>
          <w:spacing w:val="-4"/>
        </w:rPr>
        <w:t> </w:t>
      </w:r>
      <w:r>
        <w:rPr/>
        <w:t>the</w:t>
      </w:r>
      <w:r>
        <w:rPr>
          <w:spacing w:val="-7"/>
        </w:rPr>
        <w:t> </w:t>
      </w:r>
      <w:r>
        <w:rPr/>
        <w:t>dominant</w:t>
      </w:r>
      <w:r>
        <w:rPr>
          <w:spacing w:val="-7"/>
        </w:rPr>
        <w:t> </w:t>
      </w:r>
      <w:r>
        <w:rPr/>
        <w:t>kinetic</w:t>
      </w:r>
      <w:r>
        <w:rPr>
          <w:spacing w:val="-2"/>
        </w:rPr>
        <w:t> </w:t>
      </w:r>
      <w:r>
        <w:rPr/>
        <w:t>control</w:t>
      </w:r>
      <w:r>
        <w:rPr>
          <w:spacing w:val="-7"/>
        </w:rPr>
        <w:t> </w:t>
      </w:r>
      <w:r>
        <w:rPr/>
        <w:t>parameter,</w:t>
      </w:r>
      <w:r>
        <w:rPr>
          <w:spacing w:val="-6"/>
        </w:rPr>
        <w:t> </w:t>
      </w:r>
      <w:r>
        <w:rPr/>
        <w:t>but</w:t>
      </w:r>
      <w:r>
        <w:rPr>
          <w:spacing w:val="-7"/>
        </w:rPr>
        <w:t> </w:t>
      </w:r>
      <w:r>
        <w:rPr/>
        <w:t>its impact is most pronounced in the lower-temperature window. Beyond about 40 °C, the reaction is approaching its kinetic limit and potentially equilibrium, so further heating yields diminishing returns in conversion. Similar</w:t>
      </w:r>
      <w:r>
        <w:rPr>
          <w:spacing w:val="-3"/>
        </w:rPr>
        <w:t> </w:t>
      </w:r>
      <w:r>
        <w:rPr/>
        <w:t>findings have</w:t>
      </w:r>
      <w:r>
        <w:rPr>
          <w:spacing w:val="-2"/>
        </w:rPr>
        <w:t> </w:t>
      </w:r>
      <w:r>
        <w:rPr/>
        <w:t>been reported</w:t>
      </w:r>
      <w:r>
        <w:rPr>
          <w:spacing w:val="-3"/>
        </w:rPr>
        <w:t> </w:t>
      </w:r>
      <w:r>
        <w:rPr/>
        <w:t>in</w:t>
      </w:r>
      <w:r>
        <w:rPr>
          <w:spacing w:val="-3"/>
        </w:rPr>
        <w:t> </w:t>
      </w:r>
      <w:r>
        <w:rPr/>
        <w:t>the</w:t>
      </w:r>
      <w:r>
        <w:rPr>
          <w:spacing w:val="-2"/>
        </w:rPr>
        <w:t> </w:t>
      </w:r>
      <w:r>
        <w:rPr/>
        <w:t>literature,</w:t>
      </w:r>
      <w:r>
        <w:rPr>
          <w:spacing w:val="-1"/>
        </w:rPr>
        <w:t> </w:t>
      </w:r>
      <w:r>
        <w:rPr/>
        <w:t>where Mukhtar et al.</w:t>
      </w:r>
      <w:r>
        <w:rPr>
          <w:spacing w:val="-1"/>
        </w:rPr>
        <w:t> </w:t>
      </w:r>
      <w:r>
        <w:rPr/>
        <w:t>(2017)</w:t>
      </w:r>
      <w:r>
        <w:rPr>
          <w:spacing w:val="-3"/>
        </w:rPr>
        <w:t> </w:t>
      </w:r>
      <w:r>
        <w:rPr/>
        <w:t>showed</w:t>
      </w:r>
      <w:r>
        <w:rPr>
          <w:spacing w:val="-3"/>
        </w:rPr>
        <w:t> </w:t>
      </w:r>
      <w:r>
        <w:rPr/>
        <w:t>that</w:t>
      </w:r>
    </w:p>
    <w:p>
      <w:pPr>
        <w:pStyle w:val="BodyText"/>
        <w:spacing w:after="0" w:line="276" w:lineRule="auto"/>
        <w:jc w:val="both"/>
        <w:sectPr>
          <w:pgSz w:w="10890" w:h="14860"/>
          <w:pgMar w:header="1010" w:footer="1649" w:top="1320" w:bottom="1840" w:left="992" w:right="1133"/>
        </w:sectPr>
      </w:pPr>
    </w:p>
    <w:p>
      <w:pPr>
        <w:pStyle w:val="BodyText"/>
        <w:spacing w:line="276" w:lineRule="auto" w:before="114"/>
        <w:ind w:left="198" w:right="48"/>
        <w:jc w:val="both"/>
      </w:pPr>
      <w:r>
        <w:rPr/>
        <w:t>while the rate constant for saponification increases with temperature up to 70 °C, the conversion curves tend</w:t>
      </w:r>
      <w:r>
        <w:rPr>
          <w:spacing w:val="-9"/>
        </w:rPr>
        <w:t> </w:t>
      </w:r>
      <w:r>
        <w:rPr/>
        <w:t>to</w:t>
      </w:r>
      <w:r>
        <w:rPr>
          <w:spacing w:val="-5"/>
        </w:rPr>
        <w:t> </w:t>
      </w:r>
      <w:r>
        <w:rPr/>
        <w:t>flatten</w:t>
      </w:r>
      <w:r>
        <w:rPr>
          <w:spacing w:val="-5"/>
        </w:rPr>
        <w:t> </w:t>
      </w:r>
      <w:r>
        <w:rPr/>
        <w:t>at</w:t>
      </w:r>
      <w:r>
        <w:rPr>
          <w:spacing w:val="-3"/>
        </w:rPr>
        <w:t> </w:t>
      </w:r>
      <w:r>
        <w:rPr/>
        <w:t>higher</w:t>
      </w:r>
      <w:r>
        <w:rPr>
          <w:spacing w:val="-5"/>
        </w:rPr>
        <w:t> </w:t>
      </w:r>
      <w:r>
        <w:rPr/>
        <w:t>temperatures,</w:t>
      </w:r>
      <w:r>
        <w:rPr>
          <w:spacing w:val="-2"/>
        </w:rPr>
        <w:t> </w:t>
      </w:r>
      <w:r>
        <w:rPr/>
        <w:t>reflecting</w:t>
      </w:r>
      <w:r>
        <w:rPr>
          <w:spacing w:val="-5"/>
        </w:rPr>
        <w:t> </w:t>
      </w:r>
      <w:r>
        <w:rPr/>
        <w:t>reduced</w:t>
      </w:r>
      <w:r>
        <w:rPr>
          <w:spacing w:val="-9"/>
        </w:rPr>
        <w:t> </w:t>
      </w:r>
      <w:r>
        <w:rPr/>
        <w:t>incremental</w:t>
      </w:r>
      <w:r>
        <w:rPr>
          <w:spacing w:val="-3"/>
        </w:rPr>
        <w:t> </w:t>
      </w:r>
      <w:r>
        <w:rPr/>
        <w:t>gains.</w:t>
      </w:r>
      <w:r>
        <w:rPr>
          <w:spacing w:val="-2"/>
        </w:rPr>
        <w:t> </w:t>
      </w:r>
      <w:r>
        <w:rPr/>
        <w:t>A</w:t>
      </w:r>
      <w:r>
        <w:rPr>
          <w:spacing w:val="-6"/>
        </w:rPr>
        <w:t> </w:t>
      </w:r>
      <w:r>
        <w:rPr/>
        <w:t>related</w:t>
      </w:r>
      <w:r>
        <w:rPr>
          <w:spacing w:val="-5"/>
        </w:rPr>
        <w:t> </w:t>
      </w:r>
      <w:r>
        <w:rPr/>
        <w:t>study</w:t>
      </w:r>
      <w:r>
        <w:rPr>
          <w:spacing w:val="-5"/>
        </w:rPr>
        <w:t> </w:t>
      </w:r>
      <w:r>
        <w:rPr/>
        <w:t>by</w:t>
      </w:r>
      <w:r>
        <w:rPr>
          <w:spacing w:val="-5"/>
        </w:rPr>
        <w:t> </w:t>
      </w:r>
      <w:r>
        <w:rPr/>
        <w:t>Shafiq</w:t>
      </w:r>
      <w:r>
        <w:rPr>
          <w:spacing w:val="-5"/>
        </w:rPr>
        <w:t> </w:t>
      </w:r>
      <w:r>
        <w:rPr/>
        <w:t>et</w:t>
      </w:r>
      <w:r>
        <w:rPr>
          <w:spacing w:val="-3"/>
        </w:rPr>
        <w:t> </w:t>
      </w:r>
      <w:r>
        <w:rPr/>
        <w:t>al. (2015) also observed that above ~30 to 35 °C, further temperature increases produced only minor improvements</w:t>
      </w:r>
      <w:r>
        <w:rPr>
          <w:spacing w:val="-1"/>
        </w:rPr>
        <w:t> </w:t>
      </w:r>
      <w:r>
        <w:rPr/>
        <w:t>in</w:t>
      </w:r>
      <w:r>
        <w:rPr>
          <w:spacing w:val="-4"/>
        </w:rPr>
        <w:t> </w:t>
      </w:r>
      <w:r>
        <w:rPr/>
        <w:t>conversion despite higher</w:t>
      </w:r>
      <w:r>
        <w:rPr>
          <w:spacing w:val="-4"/>
        </w:rPr>
        <w:t> </w:t>
      </w:r>
      <w:r>
        <w:rPr/>
        <w:t>rate</w:t>
      </w:r>
      <w:r>
        <w:rPr>
          <w:spacing w:val="-3"/>
        </w:rPr>
        <w:t> </w:t>
      </w:r>
      <w:r>
        <w:rPr/>
        <w:t>constants. Likewise, Mesfer (2018) found that conversion rises</w:t>
      </w:r>
      <w:r>
        <w:rPr>
          <w:spacing w:val="-13"/>
        </w:rPr>
        <w:t> </w:t>
      </w:r>
      <w:r>
        <w:rPr/>
        <w:t>sharply</w:t>
      </w:r>
      <w:r>
        <w:rPr>
          <w:spacing w:val="-12"/>
        </w:rPr>
        <w:t> </w:t>
      </w:r>
      <w:r>
        <w:rPr/>
        <w:t>between</w:t>
      </w:r>
      <w:r>
        <w:rPr>
          <w:spacing w:val="-13"/>
        </w:rPr>
        <w:t> </w:t>
      </w:r>
      <w:r>
        <w:rPr/>
        <w:t>20</w:t>
      </w:r>
      <w:r>
        <w:rPr>
          <w:spacing w:val="-12"/>
        </w:rPr>
        <w:t> </w:t>
      </w:r>
      <w:r>
        <w:rPr/>
        <w:t>to</w:t>
      </w:r>
      <w:r>
        <w:rPr>
          <w:spacing w:val="-8"/>
        </w:rPr>
        <w:t> </w:t>
      </w:r>
      <w:r>
        <w:rPr/>
        <w:t>40</w:t>
      </w:r>
      <w:r>
        <w:rPr>
          <w:spacing w:val="-13"/>
        </w:rPr>
        <w:t> </w:t>
      </w:r>
      <w:r>
        <w:rPr/>
        <w:t>°C,</w:t>
      </w:r>
      <w:r>
        <w:rPr>
          <w:spacing w:val="-11"/>
        </w:rPr>
        <w:t> </w:t>
      </w:r>
      <w:r>
        <w:rPr/>
        <w:t>but</w:t>
      </w:r>
      <w:r>
        <w:rPr>
          <w:spacing w:val="-11"/>
        </w:rPr>
        <w:t> </w:t>
      </w:r>
      <w:r>
        <w:rPr/>
        <w:t>additional</w:t>
      </w:r>
      <w:r>
        <w:rPr>
          <w:spacing w:val="-11"/>
        </w:rPr>
        <w:t> </w:t>
      </w:r>
      <w:r>
        <w:rPr/>
        <w:t>heating</w:t>
      </w:r>
      <w:r>
        <w:rPr>
          <w:spacing w:val="-13"/>
        </w:rPr>
        <w:t> </w:t>
      </w:r>
      <w:r>
        <w:rPr/>
        <w:t>beyond</w:t>
      </w:r>
      <w:r>
        <w:rPr>
          <w:spacing w:val="-8"/>
        </w:rPr>
        <w:t> </w:t>
      </w:r>
      <w:r>
        <w:rPr/>
        <w:t>this</w:t>
      </w:r>
      <w:r>
        <w:rPr>
          <w:spacing w:val="-13"/>
        </w:rPr>
        <w:t> </w:t>
      </w:r>
      <w:r>
        <w:rPr/>
        <w:t>range</w:t>
      </w:r>
      <w:r>
        <w:rPr>
          <w:spacing w:val="-11"/>
        </w:rPr>
        <w:t> </w:t>
      </w:r>
      <w:r>
        <w:rPr/>
        <w:t>resulted</w:t>
      </w:r>
      <w:r>
        <w:rPr>
          <w:spacing w:val="-13"/>
        </w:rPr>
        <w:t> </w:t>
      </w:r>
      <w:r>
        <w:rPr/>
        <w:t>in</w:t>
      </w:r>
      <w:r>
        <w:rPr>
          <w:spacing w:val="-12"/>
        </w:rPr>
        <w:t> </w:t>
      </w:r>
      <w:r>
        <w:rPr/>
        <w:t>progressively</w:t>
      </w:r>
      <w:r>
        <w:rPr>
          <w:spacing w:val="-13"/>
        </w:rPr>
        <w:t> </w:t>
      </w:r>
      <w:r>
        <w:rPr/>
        <w:t>smaller benefits.</w:t>
      </w:r>
      <w:r>
        <w:rPr>
          <w:spacing w:val="-7"/>
        </w:rPr>
        <w:t> </w:t>
      </w:r>
      <w:r>
        <w:rPr/>
        <w:t>Together,</w:t>
      </w:r>
      <w:r>
        <w:rPr>
          <w:spacing w:val="-7"/>
        </w:rPr>
        <w:t> </w:t>
      </w:r>
      <w:r>
        <w:rPr/>
        <w:t>these</w:t>
      </w:r>
      <w:r>
        <w:rPr>
          <w:spacing w:val="-3"/>
        </w:rPr>
        <w:t> </w:t>
      </w:r>
      <w:r>
        <w:rPr/>
        <w:t>findings</w:t>
      </w:r>
      <w:r>
        <w:rPr>
          <w:spacing w:val="-6"/>
        </w:rPr>
        <w:t> </w:t>
      </w:r>
      <w:r>
        <w:rPr/>
        <w:t>support</w:t>
      </w:r>
      <w:r>
        <w:rPr>
          <w:spacing w:val="-8"/>
        </w:rPr>
        <w:t> </w:t>
      </w:r>
      <w:r>
        <w:rPr/>
        <w:t>the</w:t>
      </w:r>
      <w:r>
        <w:rPr>
          <w:spacing w:val="-8"/>
        </w:rPr>
        <w:t> </w:t>
      </w:r>
      <w:r>
        <w:rPr/>
        <w:t>conclusion</w:t>
      </w:r>
      <w:r>
        <w:rPr>
          <w:spacing w:val="-9"/>
        </w:rPr>
        <w:t> </w:t>
      </w:r>
      <w:r>
        <w:rPr/>
        <w:t>that</w:t>
      </w:r>
      <w:r>
        <w:rPr>
          <w:spacing w:val="-12"/>
        </w:rPr>
        <w:t> </w:t>
      </w:r>
      <w:r>
        <w:rPr/>
        <w:t>the</w:t>
      </w:r>
      <w:r>
        <w:rPr>
          <w:spacing w:val="-8"/>
        </w:rPr>
        <w:t> </w:t>
      </w:r>
      <w:r>
        <w:rPr/>
        <w:t>reaction</w:t>
      </w:r>
      <w:r>
        <w:rPr>
          <w:spacing w:val="-9"/>
        </w:rPr>
        <w:t> </w:t>
      </w:r>
      <w:r>
        <w:rPr/>
        <w:t>exhibits</w:t>
      </w:r>
      <w:r>
        <w:rPr>
          <w:spacing w:val="-6"/>
        </w:rPr>
        <w:t> </w:t>
      </w:r>
      <w:r>
        <w:rPr/>
        <w:t>diminishing</w:t>
      </w:r>
      <w:r>
        <w:rPr>
          <w:spacing w:val="-9"/>
        </w:rPr>
        <w:t> </w:t>
      </w:r>
      <w:r>
        <w:rPr/>
        <w:t>temperature sensitivity beyond approximately 40 °C. Thus, for both laboratory enhancement and industrial scale-up, efforts</w:t>
      </w:r>
      <w:r>
        <w:rPr>
          <w:spacing w:val="-5"/>
        </w:rPr>
        <w:t> </w:t>
      </w:r>
      <w:r>
        <w:rPr/>
        <w:t>to</w:t>
      </w:r>
      <w:r>
        <w:rPr>
          <w:spacing w:val="-4"/>
        </w:rPr>
        <w:t> </w:t>
      </w:r>
      <w:r>
        <w:rPr/>
        <w:t>maximise yield should focus on precise</w:t>
      </w:r>
      <w:r>
        <w:rPr>
          <w:spacing w:val="-2"/>
        </w:rPr>
        <w:t> </w:t>
      </w:r>
      <w:r>
        <w:rPr/>
        <w:t>control within the 30</w:t>
      </w:r>
      <w:r>
        <w:rPr>
          <w:spacing w:val="-4"/>
        </w:rPr>
        <w:t> </w:t>
      </w:r>
      <w:r>
        <w:rPr/>
        <w:t>to 40</w:t>
      </w:r>
      <w:r>
        <w:rPr>
          <w:spacing w:val="-3"/>
        </w:rPr>
        <w:t> </w:t>
      </w:r>
      <w:r>
        <w:rPr/>
        <w:t>°C range, where each</w:t>
      </w:r>
      <w:r>
        <w:rPr>
          <w:spacing w:val="-3"/>
        </w:rPr>
        <w:t> </w:t>
      </w:r>
      <w:r>
        <w:rPr/>
        <w:t>degree of heating delivers the greatest boost while avoiding unnecessary energy expenditure at higher </w:t>
      </w:r>
      <w:r>
        <w:rPr>
          <w:spacing w:val="-2"/>
        </w:rPr>
        <w:t>temperatures.</w:t>
      </w:r>
    </w:p>
    <w:p>
      <w:pPr>
        <w:pStyle w:val="BodyText"/>
        <w:spacing w:before="135"/>
      </w:pPr>
    </w:p>
    <w:p>
      <w:pPr>
        <w:pStyle w:val="Heading1"/>
        <w:numPr>
          <w:ilvl w:val="0"/>
          <w:numId w:val="1"/>
        </w:numPr>
        <w:tabs>
          <w:tab w:pos="625" w:val="left" w:leader="none"/>
        </w:tabs>
        <w:spacing w:line="240" w:lineRule="auto" w:before="0" w:after="0"/>
        <w:ind w:left="625" w:right="0" w:hanging="427"/>
        <w:jc w:val="left"/>
      </w:pPr>
      <w:bookmarkStart w:name="4. Conclusion" w:id="13"/>
      <w:bookmarkEnd w:id="13"/>
      <w:r>
        <w:rPr>
          <w:b w:val="0"/>
        </w:rPr>
      </w:r>
      <w:r>
        <w:rPr>
          <w:spacing w:val="-2"/>
        </w:rPr>
        <w:t>CONCLUSION</w:t>
      </w:r>
    </w:p>
    <w:p>
      <w:pPr>
        <w:pStyle w:val="BodyText"/>
        <w:spacing w:before="15"/>
        <w:rPr>
          <w:b/>
        </w:rPr>
      </w:pPr>
    </w:p>
    <w:p>
      <w:pPr>
        <w:pStyle w:val="BodyText"/>
        <w:spacing w:line="276" w:lineRule="auto" w:before="1"/>
        <w:ind w:left="198" w:right="47"/>
        <w:jc w:val="both"/>
      </w:pPr>
      <w:r>
        <w:rPr/>
        <w:t>In conclusion, this</w:t>
      </w:r>
      <w:r>
        <w:rPr>
          <w:spacing w:val="-1"/>
        </w:rPr>
        <w:t> </w:t>
      </w:r>
      <w:r>
        <w:rPr/>
        <w:t>study demonstrates</w:t>
      </w:r>
      <w:r>
        <w:rPr>
          <w:spacing w:val="-1"/>
        </w:rPr>
        <w:t> </w:t>
      </w:r>
      <w:r>
        <w:rPr/>
        <w:t>that</w:t>
      </w:r>
      <w:r>
        <w:rPr>
          <w:spacing w:val="-3"/>
        </w:rPr>
        <w:t> </w:t>
      </w:r>
      <w:r>
        <w:rPr/>
        <w:t>a</w:t>
      </w:r>
      <w:r>
        <w:rPr>
          <w:spacing w:val="-3"/>
        </w:rPr>
        <w:t> </w:t>
      </w:r>
      <w:r>
        <w:rPr/>
        <w:t>kinetic</w:t>
      </w:r>
      <w:r>
        <w:rPr>
          <w:spacing w:val="-3"/>
        </w:rPr>
        <w:t> </w:t>
      </w:r>
      <w:r>
        <w:rPr/>
        <w:t>modeling approach,</w:t>
      </w:r>
      <w:r>
        <w:rPr>
          <w:spacing w:val="-2"/>
        </w:rPr>
        <w:t> </w:t>
      </w:r>
      <w:r>
        <w:rPr/>
        <w:t>supported</w:t>
      </w:r>
      <w:r>
        <w:rPr>
          <w:spacing w:val="-4"/>
        </w:rPr>
        <w:t> </w:t>
      </w:r>
      <w:r>
        <w:rPr/>
        <w:t>by sensitivity</w:t>
      </w:r>
      <w:r>
        <w:rPr>
          <w:spacing w:val="-4"/>
        </w:rPr>
        <w:t> </w:t>
      </w:r>
      <w:r>
        <w:rPr/>
        <w:t>analysis, can reliably capture the behavior of the saponification of ethyl acetate in a CSTR and translate laboratory observations into a predictive framework for process design. The identification of temperature as the dominant</w:t>
      </w:r>
      <w:r>
        <w:rPr>
          <w:spacing w:val="-7"/>
        </w:rPr>
        <w:t> </w:t>
      </w:r>
      <w:r>
        <w:rPr/>
        <w:t>factor</w:t>
      </w:r>
      <w:r>
        <w:rPr>
          <w:spacing w:val="-13"/>
        </w:rPr>
        <w:t> </w:t>
      </w:r>
      <w:r>
        <w:rPr/>
        <w:t>highlights</w:t>
      </w:r>
      <w:r>
        <w:rPr>
          <w:spacing w:val="-9"/>
        </w:rPr>
        <w:t> </w:t>
      </w:r>
      <w:r>
        <w:rPr/>
        <w:t>the</w:t>
      </w:r>
      <w:r>
        <w:rPr>
          <w:spacing w:val="-7"/>
        </w:rPr>
        <w:t> </w:t>
      </w:r>
      <w:r>
        <w:rPr/>
        <w:t>critical</w:t>
      </w:r>
      <w:r>
        <w:rPr>
          <w:spacing w:val="-11"/>
        </w:rPr>
        <w:t> </w:t>
      </w:r>
      <w:r>
        <w:rPr/>
        <w:t>importance</w:t>
      </w:r>
      <w:r>
        <w:rPr>
          <w:spacing w:val="-7"/>
        </w:rPr>
        <w:t> </w:t>
      </w:r>
      <w:r>
        <w:rPr/>
        <w:t>of</w:t>
      </w:r>
      <w:r>
        <w:rPr>
          <w:spacing w:val="-13"/>
        </w:rPr>
        <w:t> </w:t>
      </w:r>
      <w:r>
        <w:rPr/>
        <w:t>thermal</w:t>
      </w:r>
      <w:r>
        <w:rPr>
          <w:spacing w:val="-10"/>
        </w:rPr>
        <w:t> </w:t>
      </w:r>
      <w:r>
        <w:rPr/>
        <w:t>control</w:t>
      </w:r>
      <w:r>
        <w:rPr>
          <w:spacing w:val="-7"/>
        </w:rPr>
        <w:t> </w:t>
      </w:r>
      <w:r>
        <w:rPr/>
        <w:t>in</w:t>
      </w:r>
      <w:r>
        <w:rPr>
          <w:spacing w:val="-8"/>
        </w:rPr>
        <w:t> </w:t>
      </w:r>
      <w:r>
        <w:rPr/>
        <w:t>optimizing</w:t>
      </w:r>
      <w:r>
        <w:rPr>
          <w:spacing w:val="-8"/>
        </w:rPr>
        <w:t> </w:t>
      </w:r>
      <w:r>
        <w:rPr/>
        <w:t>reactor</w:t>
      </w:r>
      <w:r>
        <w:rPr>
          <w:spacing w:val="-13"/>
        </w:rPr>
        <w:t> </w:t>
      </w:r>
      <w:r>
        <w:rPr/>
        <w:t>performance</w:t>
      </w:r>
      <w:r>
        <w:rPr>
          <w:spacing w:val="-6"/>
        </w:rPr>
        <w:t> </w:t>
      </w:r>
      <w:r>
        <w:rPr/>
        <w:t>and minimizing variability. The developed model, grounded in Arrhenius kinetics, provides a practical foundation for “what-if” process evaluations, scale-up, and waste minimization strategies. Beyond its specific</w:t>
      </w:r>
      <w:r>
        <w:rPr>
          <w:spacing w:val="-7"/>
        </w:rPr>
        <w:t> </w:t>
      </w:r>
      <w:r>
        <w:rPr/>
        <w:t>application,</w:t>
      </w:r>
      <w:r>
        <w:rPr>
          <w:spacing w:val="-6"/>
        </w:rPr>
        <w:t> </w:t>
      </w:r>
      <w:r>
        <w:rPr/>
        <w:t>the</w:t>
      </w:r>
      <w:r>
        <w:rPr>
          <w:spacing w:val="-7"/>
        </w:rPr>
        <w:t> </w:t>
      </w:r>
      <w:r>
        <w:rPr/>
        <w:t>methodology</w:t>
      </w:r>
      <w:r>
        <w:rPr>
          <w:spacing w:val="-8"/>
        </w:rPr>
        <w:t> </w:t>
      </w:r>
      <w:r>
        <w:rPr/>
        <w:t>illustrates</w:t>
      </w:r>
      <w:r>
        <w:rPr>
          <w:spacing w:val="-10"/>
        </w:rPr>
        <w:t> </w:t>
      </w:r>
      <w:r>
        <w:rPr/>
        <w:t>how</w:t>
      </w:r>
      <w:r>
        <w:rPr>
          <w:spacing w:val="-10"/>
        </w:rPr>
        <w:t> </w:t>
      </w:r>
      <w:r>
        <w:rPr/>
        <w:t>experimentally</w:t>
      </w:r>
      <w:r>
        <w:rPr>
          <w:spacing w:val="-4"/>
        </w:rPr>
        <w:t> </w:t>
      </w:r>
      <w:r>
        <w:rPr/>
        <w:t>validated</w:t>
      </w:r>
      <w:r>
        <w:rPr>
          <w:spacing w:val="-8"/>
        </w:rPr>
        <w:t> </w:t>
      </w:r>
      <w:r>
        <w:rPr/>
        <w:t>kinetic</w:t>
      </w:r>
      <w:r>
        <w:rPr>
          <w:spacing w:val="-7"/>
        </w:rPr>
        <w:t> </w:t>
      </w:r>
      <w:r>
        <w:rPr/>
        <w:t>modeling</w:t>
      </w:r>
      <w:r>
        <w:rPr>
          <w:spacing w:val="-8"/>
        </w:rPr>
        <w:t> </w:t>
      </w:r>
      <w:r>
        <w:rPr/>
        <w:t>can</w:t>
      </w:r>
      <w:r>
        <w:rPr>
          <w:spacing w:val="-8"/>
        </w:rPr>
        <w:t> </w:t>
      </w:r>
      <w:r>
        <w:rPr/>
        <w:t>bridge the gap between bench-scale experimentation and industrial implementation. Future extensions of this approach to broader temperature ranges and variable operating conditions will further strengthen its applicability to real-world reactor systems.</w:t>
      </w:r>
    </w:p>
    <w:p>
      <w:pPr>
        <w:pStyle w:val="BodyText"/>
        <w:spacing w:before="10"/>
      </w:pPr>
    </w:p>
    <w:p>
      <w:pPr>
        <w:pStyle w:val="Heading1"/>
        <w:ind w:firstLine="0"/>
      </w:pPr>
      <w:r>
        <w:rPr>
          <w:spacing w:val="-2"/>
        </w:rPr>
        <w:t>ACKNOWLEDGEMENTS/FUNDING</w:t>
      </w:r>
    </w:p>
    <w:p>
      <w:pPr>
        <w:pStyle w:val="BodyText"/>
        <w:spacing w:before="44"/>
        <w:rPr>
          <w:b/>
        </w:rPr>
      </w:pPr>
    </w:p>
    <w:p>
      <w:pPr>
        <w:pStyle w:val="BodyText"/>
        <w:spacing w:line="276" w:lineRule="auto"/>
        <w:ind w:left="198" w:right="54"/>
        <w:jc w:val="both"/>
      </w:pPr>
      <w:r>
        <w:rPr/>
        <w:t>The study was supported by the Faculty of Chemical Engineering, Universiti Teknologi MARA, Shah Alam, Selangor, Malaysia.</w:t>
      </w:r>
    </w:p>
    <w:p>
      <w:pPr>
        <w:pStyle w:val="BodyText"/>
      </w:pPr>
    </w:p>
    <w:p>
      <w:pPr>
        <w:pStyle w:val="BodyText"/>
        <w:spacing w:before="48"/>
      </w:pPr>
    </w:p>
    <w:p>
      <w:pPr>
        <w:pStyle w:val="Heading1"/>
        <w:ind w:firstLine="0"/>
      </w:pPr>
      <w:r>
        <w:rPr/>
        <w:t>CONFLICT</w:t>
      </w:r>
      <w:r>
        <w:rPr>
          <w:spacing w:val="-11"/>
        </w:rPr>
        <w:t> </w:t>
      </w:r>
      <w:r>
        <w:rPr/>
        <w:t>OF</w:t>
      </w:r>
      <w:r>
        <w:rPr>
          <w:spacing w:val="-6"/>
        </w:rPr>
        <w:t> </w:t>
      </w:r>
      <w:r>
        <w:rPr/>
        <w:t>INTEREST</w:t>
      </w:r>
      <w:r>
        <w:rPr>
          <w:spacing w:val="-6"/>
        </w:rPr>
        <w:t> </w:t>
      </w:r>
      <w:r>
        <w:rPr>
          <w:spacing w:val="-2"/>
        </w:rPr>
        <w:t>STATEMENT</w:t>
      </w:r>
    </w:p>
    <w:p>
      <w:pPr>
        <w:pStyle w:val="BodyText"/>
        <w:spacing w:before="44"/>
        <w:rPr>
          <w:b/>
        </w:rPr>
      </w:pPr>
    </w:p>
    <w:p>
      <w:pPr>
        <w:pStyle w:val="BodyText"/>
        <w:spacing w:line="276" w:lineRule="auto"/>
        <w:ind w:left="198" w:right="55"/>
        <w:jc w:val="both"/>
      </w:pPr>
      <w:r>
        <w:rPr/>
        <w:t>The authors declare that there are no financial, professional, or personal interests that could be construed as influencing the content, results, or interpretations presented in this research.</w:t>
      </w:r>
    </w:p>
    <w:p>
      <w:pPr>
        <w:pStyle w:val="BodyText"/>
        <w:spacing w:before="214"/>
      </w:pPr>
    </w:p>
    <w:p>
      <w:pPr>
        <w:pStyle w:val="Heading1"/>
        <w:ind w:firstLine="0"/>
      </w:pPr>
      <w:r>
        <w:rPr/>
        <w:t>AUTHORS’</w:t>
      </w:r>
      <w:r>
        <w:rPr>
          <w:spacing w:val="-9"/>
        </w:rPr>
        <w:t> </w:t>
      </w:r>
      <w:r>
        <w:rPr>
          <w:spacing w:val="-2"/>
        </w:rPr>
        <w:t>CONTRIBUTIONS</w:t>
      </w:r>
    </w:p>
    <w:p>
      <w:pPr>
        <w:spacing w:line="276" w:lineRule="auto" w:before="121"/>
        <w:ind w:left="198" w:right="50" w:firstLine="0"/>
        <w:jc w:val="both"/>
        <w:rPr>
          <w:sz w:val="20"/>
        </w:rPr>
      </w:pPr>
      <w:r>
        <w:rPr>
          <w:b/>
          <w:sz w:val="20"/>
        </w:rPr>
        <w:t>Nur Hannani Mohamad Azehar</w:t>
      </w:r>
      <w:r>
        <w:rPr>
          <w:sz w:val="20"/>
        </w:rPr>
        <w:t>: Conceptualisation, methodology, formal analysis, investigation and writing-original draft and editing; </w:t>
      </w:r>
      <w:r>
        <w:rPr>
          <w:b/>
          <w:sz w:val="20"/>
        </w:rPr>
        <w:t>Sherif Abdulbari Ali</w:t>
      </w:r>
      <w:r>
        <w:rPr>
          <w:sz w:val="20"/>
        </w:rPr>
        <w:t>: Conceptualisation, supervision, writing- review and editing, and validation.</w:t>
      </w:r>
    </w:p>
    <w:p>
      <w:pPr>
        <w:spacing w:after="0" w:line="276" w:lineRule="auto"/>
        <w:jc w:val="both"/>
        <w:rPr>
          <w:sz w:val="20"/>
        </w:rPr>
        <w:sectPr>
          <w:pgSz w:w="10890" w:h="14860"/>
          <w:pgMar w:header="1010" w:footer="1649" w:top="1320" w:bottom="1840" w:left="992" w:right="1133"/>
        </w:sectPr>
      </w:pPr>
    </w:p>
    <w:p>
      <w:pPr>
        <w:pStyle w:val="Heading1"/>
        <w:spacing w:before="119"/>
        <w:ind w:firstLine="0"/>
      </w:pPr>
      <w:bookmarkStart w:name="REFERENCES" w:id="14"/>
      <w:bookmarkEnd w:id="14"/>
      <w:r>
        <w:rPr>
          <w:b w:val="0"/>
        </w:rPr>
      </w:r>
      <w:r>
        <w:rPr>
          <w:spacing w:val="-2"/>
        </w:rPr>
        <w:t>REFERENCES</w:t>
      </w:r>
    </w:p>
    <w:p>
      <w:pPr>
        <w:pStyle w:val="BodyText"/>
        <w:spacing w:before="24"/>
        <w:rPr>
          <w:b/>
        </w:rPr>
      </w:pPr>
    </w:p>
    <w:p>
      <w:pPr>
        <w:spacing w:line="256" w:lineRule="auto" w:before="0"/>
        <w:ind w:left="553" w:right="55" w:hanging="355"/>
        <w:jc w:val="both"/>
        <w:rPr>
          <w:sz w:val="18"/>
        </w:rPr>
      </w:pPr>
      <w:r>
        <w:rPr>
          <w:sz w:val="18"/>
        </w:rPr>
        <w:t>Alberton,</w:t>
      </w:r>
      <w:r>
        <w:rPr>
          <w:spacing w:val="-2"/>
          <w:sz w:val="18"/>
        </w:rPr>
        <w:t> </w:t>
      </w:r>
      <w:r>
        <w:rPr>
          <w:sz w:val="18"/>
        </w:rPr>
        <w:t>A. L.,</w:t>
      </w:r>
      <w:r>
        <w:rPr>
          <w:spacing w:val="-2"/>
          <w:sz w:val="18"/>
        </w:rPr>
        <w:t> </w:t>
      </w:r>
      <w:r>
        <w:rPr>
          <w:sz w:val="18"/>
        </w:rPr>
        <w:t>Schwaab,</w:t>
      </w:r>
      <w:r>
        <w:rPr>
          <w:spacing w:val="-7"/>
          <w:sz w:val="18"/>
        </w:rPr>
        <w:t> </w:t>
      </w:r>
      <w:r>
        <w:rPr>
          <w:sz w:val="18"/>
        </w:rPr>
        <w:t>M.,</w:t>
      </w:r>
      <w:r>
        <w:rPr>
          <w:spacing w:val="-2"/>
          <w:sz w:val="18"/>
        </w:rPr>
        <w:t> </w:t>
      </w:r>
      <w:r>
        <w:rPr>
          <w:sz w:val="18"/>
        </w:rPr>
        <w:t>Schmal,</w:t>
      </w:r>
      <w:r>
        <w:rPr>
          <w:spacing w:val="-2"/>
          <w:sz w:val="18"/>
        </w:rPr>
        <w:t> </w:t>
      </w:r>
      <w:r>
        <w:rPr>
          <w:sz w:val="18"/>
        </w:rPr>
        <w:t>M.,</w:t>
      </w:r>
      <w:r>
        <w:rPr>
          <w:spacing w:val="-2"/>
          <w:sz w:val="18"/>
        </w:rPr>
        <w:t> </w:t>
      </w:r>
      <w:r>
        <w:rPr>
          <w:sz w:val="18"/>
        </w:rPr>
        <w:t>&amp;</w:t>
      </w:r>
      <w:r>
        <w:rPr>
          <w:spacing w:val="-2"/>
          <w:sz w:val="18"/>
        </w:rPr>
        <w:t> </w:t>
      </w:r>
      <w:r>
        <w:rPr>
          <w:sz w:val="18"/>
        </w:rPr>
        <w:t>Pinto,</w:t>
      </w:r>
      <w:r>
        <w:rPr>
          <w:spacing w:val="-2"/>
          <w:sz w:val="18"/>
        </w:rPr>
        <w:t> </w:t>
      </w:r>
      <w:r>
        <w:rPr>
          <w:sz w:val="18"/>
        </w:rPr>
        <w:t>J.</w:t>
      </w:r>
      <w:r>
        <w:rPr>
          <w:spacing w:val="-2"/>
          <w:sz w:val="18"/>
        </w:rPr>
        <w:t> </w:t>
      </w:r>
      <w:r>
        <w:rPr>
          <w:sz w:val="18"/>
        </w:rPr>
        <w:t>C.</w:t>
      </w:r>
      <w:r>
        <w:rPr>
          <w:spacing w:val="-2"/>
          <w:sz w:val="18"/>
        </w:rPr>
        <w:t> </w:t>
      </w:r>
      <w:r>
        <w:rPr>
          <w:sz w:val="18"/>
        </w:rPr>
        <w:t>(2009).</w:t>
      </w:r>
      <w:r>
        <w:rPr>
          <w:spacing w:val="-2"/>
          <w:sz w:val="18"/>
        </w:rPr>
        <w:t> </w:t>
      </w:r>
      <w:r>
        <w:rPr>
          <w:sz w:val="18"/>
        </w:rPr>
        <w:t>Experimental</w:t>
      </w:r>
      <w:r>
        <w:rPr>
          <w:spacing w:val="-2"/>
          <w:sz w:val="18"/>
        </w:rPr>
        <w:t> </w:t>
      </w:r>
      <w:r>
        <w:rPr>
          <w:sz w:val="18"/>
        </w:rPr>
        <w:t>errors</w:t>
      </w:r>
      <w:r>
        <w:rPr>
          <w:spacing w:val="-3"/>
          <w:sz w:val="18"/>
        </w:rPr>
        <w:t> </w:t>
      </w:r>
      <w:r>
        <w:rPr>
          <w:sz w:val="18"/>
        </w:rPr>
        <w:t>in kinetic</w:t>
      </w:r>
      <w:r>
        <w:rPr>
          <w:spacing w:val="-4"/>
          <w:sz w:val="18"/>
        </w:rPr>
        <w:t> </w:t>
      </w:r>
      <w:r>
        <w:rPr>
          <w:sz w:val="18"/>
        </w:rPr>
        <w:t>tests</w:t>
      </w:r>
      <w:r>
        <w:rPr>
          <w:spacing w:val="-3"/>
          <w:sz w:val="18"/>
        </w:rPr>
        <w:t> </w:t>
      </w:r>
      <w:r>
        <w:rPr>
          <w:sz w:val="18"/>
        </w:rPr>
        <w:t>and</w:t>
      </w:r>
      <w:r>
        <w:rPr>
          <w:spacing w:val="-4"/>
          <w:sz w:val="18"/>
        </w:rPr>
        <w:t> </w:t>
      </w:r>
      <w:r>
        <w:rPr>
          <w:sz w:val="18"/>
        </w:rPr>
        <w:t>its</w:t>
      </w:r>
      <w:r>
        <w:rPr>
          <w:spacing w:val="-3"/>
          <w:sz w:val="18"/>
        </w:rPr>
        <w:t> </w:t>
      </w:r>
      <w:r>
        <w:rPr>
          <w:sz w:val="18"/>
        </w:rPr>
        <w:t>influence on</w:t>
      </w:r>
      <w:r>
        <w:rPr>
          <w:spacing w:val="-1"/>
          <w:sz w:val="18"/>
        </w:rPr>
        <w:t> </w:t>
      </w:r>
      <w:r>
        <w:rPr>
          <w:sz w:val="18"/>
        </w:rPr>
        <w:t>the precision</w:t>
      </w:r>
      <w:r>
        <w:rPr>
          <w:spacing w:val="-1"/>
          <w:sz w:val="18"/>
        </w:rPr>
        <w:t> </w:t>
      </w:r>
      <w:r>
        <w:rPr>
          <w:sz w:val="18"/>
        </w:rPr>
        <w:t>of estimated</w:t>
      </w:r>
      <w:r>
        <w:rPr>
          <w:spacing w:val="-5"/>
          <w:sz w:val="18"/>
        </w:rPr>
        <w:t> </w:t>
      </w:r>
      <w:r>
        <w:rPr>
          <w:sz w:val="18"/>
        </w:rPr>
        <w:t>parameters: Part I-Analysis of first-order</w:t>
      </w:r>
      <w:r>
        <w:rPr>
          <w:spacing w:val="-4"/>
          <w:sz w:val="18"/>
        </w:rPr>
        <w:t> </w:t>
      </w:r>
      <w:r>
        <w:rPr>
          <w:sz w:val="18"/>
        </w:rPr>
        <w:t>reactions. </w:t>
      </w:r>
      <w:r>
        <w:rPr>
          <w:i/>
          <w:sz w:val="18"/>
        </w:rPr>
        <w:t>Chemical</w:t>
      </w:r>
      <w:r>
        <w:rPr>
          <w:i/>
          <w:spacing w:val="-3"/>
          <w:sz w:val="18"/>
        </w:rPr>
        <w:t> </w:t>
      </w:r>
      <w:r>
        <w:rPr>
          <w:i/>
          <w:sz w:val="18"/>
        </w:rPr>
        <w:t>Engineering</w:t>
      </w:r>
      <w:r>
        <w:rPr>
          <w:i/>
          <w:spacing w:val="-5"/>
          <w:sz w:val="18"/>
        </w:rPr>
        <w:t> </w:t>
      </w:r>
      <w:r>
        <w:rPr>
          <w:i/>
          <w:sz w:val="18"/>
        </w:rPr>
        <w:t>Journal</w:t>
      </w:r>
      <w:r>
        <w:rPr>
          <w:sz w:val="18"/>
        </w:rPr>
        <w:t>, </w:t>
      </w:r>
      <w:r>
        <w:rPr>
          <w:i/>
          <w:sz w:val="18"/>
        </w:rPr>
        <w:t>155</w:t>
      </w:r>
      <w:r>
        <w:rPr>
          <w:sz w:val="18"/>
        </w:rPr>
        <w:t>(3), 816–823. </w:t>
      </w:r>
      <w:hyperlink r:id="rId16">
        <w:r>
          <w:rPr>
            <w:sz w:val="18"/>
          </w:rPr>
          <w:t>https://doi.org/10.1016/j.cej.2009.08.012</w:t>
        </w:r>
      </w:hyperlink>
    </w:p>
    <w:p>
      <w:pPr>
        <w:spacing w:line="256" w:lineRule="auto" w:before="176"/>
        <w:ind w:left="553" w:right="52" w:hanging="356"/>
        <w:jc w:val="both"/>
        <w:rPr>
          <w:sz w:val="18"/>
        </w:rPr>
      </w:pPr>
      <w:r>
        <w:rPr>
          <w:sz w:val="18"/>
        </w:rPr>
        <w:t>Álvarez, C., Espinel, E., &amp; Noriega, C. J. (2021). Study of different alternatives for dynamic simulation of a steam generator using MATLAB. </w:t>
      </w:r>
      <w:r>
        <w:rPr>
          <w:i/>
          <w:sz w:val="18"/>
        </w:rPr>
        <w:t>Fluids, 6</w:t>
      </w:r>
      <w:r>
        <w:rPr>
          <w:sz w:val="18"/>
        </w:rPr>
        <w:t>(5), 175. </w:t>
      </w:r>
      <w:hyperlink r:id="rId17">
        <w:r>
          <w:rPr>
            <w:sz w:val="18"/>
          </w:rPr>
          <w:t>https://doi.org/10.3390/fluids6050175</w:t>
        </w:r>
      </w:hyperlink>
    </w:p>
    <w:p>
      <w:pPr>
        <w:spacing w:line="256" w:lineRule="auto" w:before="176"/>
        <w:ind w:left="553" w:right="52" w:hanging="355"/>
        <w:jc w:val="both"/>
        <w:rPr>
          <w:sz w:val="18"/>
        </w:rPr>
      </w:pPr>
      <w:r>
        <w:rPr>
          <w:sz w:val="18"/>
        </w:rPr>
        <w:t>Berton,</w:t>
      </w:r>
      <w:r>
        <w:rPr>
          <w:spacing w:val="-9"/>
          <w:sz w:val="18"/>
        </w:rPr>
        <w:t> </w:t>
      </w:r>
      <w:r>
        <w:rPr>
          <w:sz w:val="18"/>
        </w:rPr>
        <w:t>M.,</w:t>
      </w:r>
      <w:r>
        <w:rPr>
          <w:spacing w:val="-7"/>
          <w:sz w:val="18"/>
        </w:rPr>
        <w:t> </w:t>
      </w:r>
      <w:r>
        <w:rPr>
          <w:sz w:val="18"/>
        </w:rPr>
        <w:t>de</w:t>
      </w:r>
      <w:r>
        <w:rPr>
          <w:spacing w:val="-8"/>
          <w:sz w:val="18"/>
        </w:rPr>
        <w:t> </w:t>
      </w:r>
      <w:r>
        <w:rPr>
          <w:sz w:val="18"/>
        </w:rPr>
        <w:t>Souza,</w:t>
      </w:r>
      <w:r>
        <w:rPr>
          <w:spacing w:val="-12"/>
          <w:sz w:val="18"/>
        </w:rPr>
        <w:t> </w:t>
      </w:r>
      <w:r>
        <w:rPr>
          <w:sz w:val="18"/>
        </w:rPr>
        <w:t>J.</w:t>
      </w:r>
      <w:r>
        <w:rPr>
          <w:spacing w:val="-10"/>
          <w:sz w:val="18"/>
        </w:rPr>
        <w:t> </w:t>
      </w:r>
      <w:r>
        <w:rPr>
          <w:sz w:val="18"/>
        </w:rPr>
        <w:t>M.,</w:t>
      </w:r>
      <w:r>
        <w:rPr>
          <w:spacing w:val="-7"/>
          <w:sz w:val="18"/>
        </w:rPr>
        <w:t> </w:t>
      </w:r>
      <w:r>
        <w:rPr>
          <w:sz w:val="18"/>
        </w:rPr>
        <w:t>Abdiaj,</w:t>
      </w:r>
      <w:r>
        <w:rPr>
          <w:spacing w:val="-7"/>
          <w:sz w:val="18"/>
        </w:rPr>
        <w:t> </w:t>
      </w:r>
      <w:r>
        <w:rPr>
          <w:sz w:val="18"/>
        </w:rPr>
        <w:t>I.,</w:t>
      </w:r>
      <w:r>
        <w:rPr>
          <w:spacing w:val="-7"/>
          <w:sz w:val="18"/>
        </w:rPr>
        <w:t> </w:t>
      </w:r>
      <w:r>
        <w:rPr>
          <w:sz w:val="18"/>
        </w:rPr>
        <w:t>McQuade,</w:t>
      </w:r>
      <w:r>
        <w:rPr>
          <w:spacing w:val="-7"/>
          <w:sz w:val="18"/>
        </w:rPr>
        <w:t> </w:t>
      </w:r>
      <w:r>
        <w:rPr>
          <w:sz w:val="18"/>
        </w:rPr>
        <w:t>D.</w:t>
      </w:r>
      <w:r>
        <w:rPr>
          <w:spacing w:val="-7"/>
          <w:sz w:val="18"/>
        </w:rPr>
        <w:t> </w:t>
      </w:r>
      <w:r>
        <w:rPr>
          <w:sz w:val="18"/>
        </w:rPr>
        <w:t>T.,</w:t>
      </w:r>
      <w:r>
        <w:rPr>
          <w:spacing w:val="-7"/>
          <w:sz w:val="18"/>
        </w:rPr>
        <w:t> </w:t>
      </w:r>
      <w:r>
        <w:rPr>
          <w:sz w:val="18"/>
        </w:rPr>
        <w:t>&amp;</w:t>
      </w:r>
      <w:r>
        <w:rPr>
          <w:spacing w:val="-12"/>
          <w:sz w:val="18"/>
        </w:rPr>
        <w:t> </w:t>
      </w:r>
      <w:r>
        <w:rPr>
          <w:sz w:val="18"/>
        </w:rPr>
        <w:t>Snead,</w:t>
      </w:r>
      <w:r>
        <w:rPr>
          <w:spacing w:val="-6"/>
          <w:sz w:val="18"/>
        </w:rPr>
        <w:t> </w:t>
      </w:r>
      <w:r>
        <w:rPr>
          <w:sz w:val="18"/>
        </w:rPr>
        <w:t>D.</w:t>
      </w:r>
      <w:r>
        <w:rPr>
          <w:spacing w:val="-7"/>
          <w:sz w:val="18"/>
        </w:rPr>
        <w:t> </w:t>
      </w:r>
      <w:r>
        <w:rPr>
          <w:sz w:val="18"/>
        </w:rPr>
        <w:t>R.</w:t>
      </w:r>
      <w:r>
        <w:rPr>
          <w:spacing w:val="-11"/>
          <w:sz w:val="18"/>
        </w:rPr>
        <w:t> </w:t>
      </w:r>
      <w:r>
        <w:rPr>
          <w:sz w:val="18"/>
        </w:rPr>
        <w:t>(2020).</w:t>
      </w:r>
      <w:r>
        <w:rPr>
          <w:spacing w:val="-7"/>
          <w:sz w:val="18"/>
        </w:rPr>
        <w:t> </w:t>
      </w:r>
      <w:r>
        <w:rPr>
          <w:sz w:val="18"/>
        </w:rPr>
        <w:t>Scaling</w:t>
      </w:r>
      <w:r>
        <w:rPr>
          <w:spacing w:val="-9"/>
          <w:sz w:val="18"/>
        </w:rPr>
        <w:t> </w:t>
      </w:r>
      <w:r>
        <w:rPr>
          <w:sz w:val="18"/>
        </w:rPr>
        <w:t>continuous</w:t>
      </w:r>
      <w:r>
        <w:rPr>
          <w:spacing w:val="-8"/>
          <w:sz w:val="18"/>
        </w:rPr>
        <w:t> </w:t>
      </w:r>
      <w:r>
        <w:rPr>
          <w:sz w:val="18"/>
        </w:rPr>
        <w:t>API</w:t>
      </w:r>
      <w:r>
        <w:rPr>
          <w:spacing w:val="-12"/>
          <w:sz w:val="18"/>
        </w:rPr>
        <w:t> </w:t>
      </w:r>
      <w:r>
        <w:rPr>
          <w:sz w:val="18"/>
        </w:rPr>
        <w:t>synthesis</w:t>
      </w:r>
      <w:r>
        <w:rPr>
          <w:spacing w:val="-11"/>
          <w:sz w:val="18"/>
        </w:rPr>
        <w:t> </w:t>
      </w:r>
      <w:r>
        <w:rPr>
          <w:sz w:val="18"/>
        </w:rPr>
        <w:t>from milligram to kilogram: extending the enabling benefits of micro to the plant. </w:t>
      </w:r>
      <w:r>
        <w:rPr>
          <w:i/>
          <w:sz w:val="18"/>
        </w:rPr>
        <w:t>International Journal of Flow Chemistry, 10</w:t>
      </w:r>
      <w:r>
        <w:rPr>
          <w:sz w:val="18"/>
        </w:rPr>
        <w:t>(1), 73–92. </w:t>
      </w:r>
      <w:hyperlink r:id="rId18">
        <w:r>
          <w:rPr>
            <w:sz w:val="18"/>
          </w:rPr>
          <w:t>https://doi.org/10.1007/s41981-019-00060-x</w:t>
        </w:r>
      </w:hyperlink>
    </w:p>
    <w:p>
      <w:pPr>
        <w:spacing w:line="256" w:lineRule="auto" w:before="176"/>
        <w:ind w:left="553" w:right="52" w:hanging="356"/>
        <w:jc w:val="both"/>
        <w:rPr>
          <w:sz w:val="18"/>
        </w:rPr>
      </w:pPr>
      <w:r>
        <w:rPr>
          <w:sz w:val="18"/>
        </w:rPr>
        <w:t>Borovinskaya,</w:t>
      </w:r>
      <w:r>
        <w:rPr>
          <w:spacing w:val="-7"/>
          <w:sz w:val="18"/>
        </w:rPr>
        <w:t> </w:t>
      </w:r>
      <w:r>
        <w:rPr>
          <w:sz w:val="18"/>
        </w:rPr>
        <w:t>E.,</w:t>
      </w:r>
      <w:r>
        <w:rPr>
          <w:spacing w:val="-12"/>
          <w:sz w:val="18"/>
        </w:rPr>
        <w:t> </w:t>
      </w:r>
      <w:r>
        <w:rPr>
          <w:sz w:val="18"/>
        </w:rPr>
        <w:t>Khaydarov,</w:t>
      </w:r>
      <w:r>
        <w:rPr>
          <w:spacing w:val="-6"/>
          <w:sz w:val="18"/>
        </w:rPr>
        <w:t> </w:t>
      </w:r>
      <w:r>
        <w:rPr>
          <w:sz w:val="18"/>
        </w:rPr>
        <w:t>V.,</w:t>
      </w:r>
      <w:r>
        <w:rPr>
          <w:spacing w:val="-7"/>
          <w:sz w:val="18"/>
        </w:rPr>
        <w:t> </w:t>
      </w:r>
      <w:r>
        <w:rPr>
          <w:sz w:val="18"/>
        </w:rPr>
        <w:t>Strehle,</w:t>
      </w:r>
      <w:r>
        <w:rPr>
          <w:spacing w:val="-7"/>
          <w:sz w:val="18"/>
        </w:rPr>
        <w:t> </w:t>
      </w:r>
      <w:r>
        <w:rPr>
          <w:sz w:val="18"/>
        </w:rPr>
        <w:t>N.,</w:t>
      </w:r>
      <w:r>
        <w:rPr>
          <w:spacing w:val="-11"/>
          <w:sz w:val="18"/>
        </w:rPr>
        <w:t> </w:t>
      </w:r>
      <w:r>
        <w:rPr>
          <w:sz w:val="18"/>
        </w:rPr>
        <w:t>Musaev,</w:t>
      </w:r>
      <w:r>
        <w:rPr>
          <w:spacing w:val="-7"/>
          <w:sz w:val="18"/>
        </w:rPr>
        <w:t> </w:t>
      </w:r>
      <w:r>
        <w:rPr>
          <w:sz w:val="18"/>
        </w:rPr>
        <w:t>A.,</w:t>
      </w:r>
      <w:r>
        <w:rPr>
          <w:spacing w:val="-7"/>
          <w:sz w:val="18"/>
        </w:rPr>
        <w:t> </w:t>
      </w:r>
      <w:r>
        <w:rPr>
          <w:sz w:val="18"/>
        </w:rPr>
        <w:t>&amp;</w:t>
      </w:r>
      <w:r>
        <w:rPr>
          <w:spacing w:val="-12"/>
          <w:sz w:val="18"/>
        </w:rPr>
        <w:t> </w:t>
      </w:r>
      <w:r>
        <w:rPr>
          <w:sz w:val="18"/>
        </w:rPr>
        <w:t>Reschetilowski,</w:t>
      </w:r>
      <w:r>
        <w:rPr>
          <w:spacing w:val="-10"/>
          <w:sz w:val="18"/>
        </w:rPr>
        <w:t> </w:t>
      </w:r>
      <w:r>
        <w:rPr>
          <w:sz w:val="18"/>
        </w:rPr>
        <w:t>W.</w:t>
      </w:r>
      <w:r>
        <w:rPr>
          <w:spacing w:val="-12"/>
          <w:sz w:val="18"/>
        </w:rPr>
        <w:t> </w:t>
      </w:r>
      <w:r>
        <w:rPr>
          <w:sz w:val="18"/>
        </w:rPr>
        <w:t>(2019).</w:t>
      </w:r>
      <w:r>
        <w:rPr>
          <w:spacing w:val="-6"/>
          <w:sz w:val="18"/>
        </w:rPr>
        <w:t> </w:t>
      </w:r>
      <w:r>
        <w:rPr>
          <w:sz w:val="18"/>
        </w:rPr>
        <w:t>Experimental</w:t>
      </w:r>
      <w:r>
        <w:rPr>
          <w:spacing w:val="-7"/>
          <w:sz w:val="18"/>
        </w:rPr>
        <w:t> </w:t>
      </w:r>
      <w:r>
        <w:rPr>
          <w:sz w:val="18"/>
        </w:rPr>
        <w:t>studies</w:t>
      </w:r>
      <w:r>
        <w:rPr>
          <w:spacing w:val="-8"/>
          <w:sz w:val="18"/>
        </w:rPr>
        <w:t> </w:t>
      </w:r>
      <w:r>
        <w:rPr>
          <w:sz w:val="18"/>
        </w:rPr>
        <w:t>of</w:t>
      </w:r>
      <w:r>
        <w:rPr>
          <w:spacing w:val="-12"/>
          <w:sz w:val="18"/>
        </w:rPr>
        <w:t> </w:t>
      </w:r>
      <w:r>
        <w:rPr>
          <w:sz w:val="18"/>
        </w:rPr>
        <w:t>ethyl acetate</w:t>
      </w:r>
      <w:r>
        <w:rPr>
          <w:spacing w:val="-3"/>
          <w:sz w:val="18"/>
        </w:rPr>
        <w:t> </w:t>
      </w:r>
      <w:r>
        <w:rPr>
          <w:sz w:val="18"/>
        </w:rPr>
        <w:t>saponification</w:t>
      </w:r>
      <w:r>
        <w:rPr>
          <w:spacing w:val="-3"/>
          <w:sz w:val="18"/>
        </w:rPr>
        <w:t> </w:t>
      </w:r>
      <w:r>
        <w:rPr>
          <w:sz w:val="18"/>
        </w:rPr>
        <w:t>using</w:t>
      </w:r>
      <w:r>
        <w:rPr>
          <w:spacing w:val="-3"/>
          <w:sz w:val="18"/>
        </w:rPr>
        <w:t> </w:t>
      </w:r>
      <w:r>
        <w:rPr>
          <w:sz w:val="18"/>
        </w:rPr>
        <w:t>different</w:t>
      </w:r>
      <w:r>
        <w:rPr>
          <w:spacing w:val="-1"/>
          <w:sz w:val="18"/>
        </w:rPr>
        <w:t> </w:t>
      </w:r>
      <w:r>
        <w:rPr>
          <w:sz w:val="18"/>
        </w:rPr>
        <w:t>reactor</w:t>
      </w:r>
      <w:r>
        <w:rPr>
          <w:spacing w:val="-2"/>
          <w:sz w:val="18"/>
        </w:rPr>
        <w:t> </w:t>
      </w:r>
      <w:r>
        <w:rPr>
          <w:sz w:val="18"/>
        </w:rPr>
        <w:t>systems:</w:t>
      </w:r>
      <w:r>
        <w:rPr>
          <w:spacing w:val="-1"/>
          <w:sz w:val="18"/>
        </w:rPr>
        <w:t> </w:t>
      </w:r>
      <w:r>
        <w:rPr>
          <w:sz w:val="18"/>
        </w:rPr>
        <w:t>The</w:t>
      </w:r>
      <w:r>
        <w:rPr>
          <w:spacing w:val="-3"/>
          <w:sz w:val="18"/>
        </w:rPr>
        <w:t> </w:t>
      </w:r>
      <w:r>
        <w:rPr>
          <w:sz w:val="18"/>
        </w:rPr>
        <w:t>effect</w:t>
      </w:r>
      <w:r>
        <w:rPr>
          <w:spacing w:val="-1"/>
          <w:sz w:val="18"/>
        </w:rPr>
        <w:t> </w:t>
      </w:r>
      <w:r>
        <w:rPr>
          <w:sz w:val="18"/>
        </w:rPr>
        <w:t>of</w:t>
      </w:r>
      <w:r>
        <w:rPr>
          <w:spacing w:val="-2"/>
          <w:sz w:val="18"/>
        </w:rPr>
        <w:t> </w:t>
      </w:r>
      <w:r>
        <w:rPr>
          <w:sz w:val="18"/>
        </w:rPr>
        <w:t>volume</w:t>
      </w:r>
      <w:r>
        <w:rPr>
          <w:spacing w:val="-3"/>
          <w:sz w:val="18"/>
        </w:rPr>
        <w:t> </w:t>
      </w:r>
      <w:r>
        <w:rPr>
          <w:sz w:val="18"/>
        </w:rPr>
        <w:t>flow</w:t>
      </w:r>
      <w:r>
        <w:rPr>
          <w:spacing w:val="-5"/>
          <w:sz w:val="18"/>
        </w:rPr>
        <w:t> </w:t>
      </w:r>
      <w:r>
        <w:rPr>
          <w:sz w:val="18"/>
        </w:rPr>
        <w:t>rate</w:t>
      </w:r>
      <w:r>
        <w:rPr>
          <w:spacing w:val="-3"/>
          <w:sz w:val="18"/>
        </w:rPr>
        <w:t> </w:t>
      </w:r>
      <w:r>
        <w:rPr>
          <w:sz w:val="18"/>
        </w:rPr>
        <w:t>on</w:t>
      </w:r>
      <w:r>
        <w:rPr>
          <w:spacing w:val="-3"/>
          <w:sz w:val="18"/>
        </w:rPr>
        <w:t> </w:t>
      </w:r>
      <w:r>
        <w:rPr>
          <w:sz w:val="18"/>
        </w:rPr>
        <w:t>reactor</w:t>
      </w:r>
      <w:r>
        <w:rPr>
          <w:spacing w:val="-2"/>
          <w:sz w:val="18"/>
        </w:rPr>
        <w:t> </w:t>
      </w:r>
      <w:r>
        <w:rPr>
          <w:sz w:val="18"/>
        </w:rPr>
        <w:t>performance</w:t>
      </w:r>
      <w:r>
        <w:rPr>
          <w:spacing w:val="-3"/>
          <w:sz w:val="18"/>
        </w:rPr>
        <w:t> </w:t>
      </w:r>
      <w:r>
        <w:rPr>
          <w:sz w:val="18"/>
        </w:rPr>
        <w:t>and pressure drop. </w:t>
      </w:r>
      <w:r>
        <w:rPr>
          <w:i/>
          <w:sz w:val="18"/>
        </w:rPr>
        <w:t>Applied Sciences, 9</w:t>
      </w:r>
      <w:r>
        <w:rPr>
          <w:sz w:val="18"/>
        </w:rPr>
        <w:t>(3), 532. </w:t>
      </w:r>
      <w:hyperlink r:id="rId19">
        <w:r>
          <w:rPr>
            <w:sz w:val="18"/>
          </w:rPr>
          <w:t>https://doi.org/10.3390/app9030532</w:t>
        </w:r>
      </w:hyperlink>
    </w:p>
    <w:p>
      <w:pPr>
        <w:spacing w:line="256" w:lineRule="auto" w:before="175"/>
        <w:ind w:left="553" w:right="50" w:hanging="356"/>
        <w:jc w:val="both"/>
        <w:rPr>
          <w:sz w:val="18"/>
        </w:rPr>
      </w:pPr>
      <w:r>
        <w:rPr>
          <w:sz w:val="18"/>
        </w:rPr>
        <w:t>Cherkasov, N., Adams, S. J., Bainbridge, E. G. A., &amp; Thornton, J. A. M. (2022). Continuous stirred tank reactors in fine</w:t>
      </w:r>
      <w:r>
        <w:rPr>
          <w:spacing w:val="-12"/>
          <w:sz w:val="18"/>
        </w:rPr>
        <w:t> </w:t>
      </w:r>
      <w:r>
        <w:rPr>
          <w:sz w:val="18"/>
        </w:rPr>
        <w:t>chemical</w:t>
      </w:r>
      <w:r>
        <w:rPr>
          <w:spacing w:val="-11"/>
          <w:sz w:val="18"/>
        </w:rPr>
        <w:t> </w:t>
      </w:r>
      <w:r>
        <w:rPr>
          <w:sz w:val="18"/>
        </w:rPr>
        <w:t>synthesis</w:t>
      </w:r>
      <w:r>
        <w:rPr>
          <w:spacing w:val="-11"/>
          <w:sz w:val="18"/>
        </w:rPr>
        <w:t> </w:t>
      </w:r>
      <w:r>
        <w:rPr>
          <w:sz w:val="18"/>
        </w:rPr>
        <w:t>for</w:t>
      </w:r>
      <w:r>
        <w:rPr>
          <w:spacing w:val="-11"/>
          <w:sz w:val="18"/>
        </w:rPr>
        <w:t> </w:t>
      </w:r>
      <w:r>
        <w:rPr>
          <w:sz w:val="18"/>
        </w:rPr>
        <w:t>efficient</w:t>
      </w:r>
      <w:r>
        <w:rPr>
          <w:spacing w:val="-12"/>
          <w:sz w:val="18"/>
        </w:rPr>
        <w:t> </w:t>
      </w:r>
      <w:r>
        <w:rPr>
          <w:sz w:val="18"/>
        </w:rPr>
        <w:t>mixing,</w:t>
      </w:r>
      <w:r>
        <w:rPr>
          <w:spacing w:val="-11"/>
          <w:sz w:val="18"/>
        </w:rPr>
        <w:t> </w:t>
      </w:r>
      <w:r>
        <w:rPr>
          <w:sz w:val="18"/>
        </w:rPr>
        <w:t>solids-handling,</w:t>
      </w:r>
      <w:r>
        <w:rPr>
          <w:spacing w:val="-11"/>
          <w:sz w:val="18"/>
        </w:rPr>
        <w:t> </w:t>
      </w:r>
      <w:r>
        <w:rPr>
          <w:sz w:val="18"/>
        </w:rPr>
        <w:t>and</w:t>
      </w:r>
      <w:r>
        <w:rPr>
          <w:spacing w:val="-11"/>
          <w:sz w:val="18"/>
        </w:rPr>
        <w:t> </w:t>
      </w:r>
      <w:r>
        <w:rPr>
          <w:sz w:val="18"/>
        </w:rPr>
        <w:t>rapid</w:t>
      </w:r>
      <w:r>
        <w:rPr>
          <w:spacing w:val="-12"/>
          <w:sz w:val="18"/>
        </w:rPr>
        <w:t> </w:t>
      </w:r>
      <w:r>
        <w:rPr>
          <w:sz w:val="18"/>
        </w:rPr>
        <w:t>scale-up.</w:t>
      </w:r>
      <w:r>
        <w:rPr>
          <w:spacing w:val="-11"/>
          <w:sz w:val="18"/>
        </w:rPr>
        <w:t> </w:t>
      </w:r>
      <w:r>
        <w:rPr>
          <w:i/>
          <w:sz w:val="18"/>
        </w:rPr>
        <w:t>International</w:t>
      </w:r>
      <w:r>
        <w:rPr>
          <w:i/>
          <w:spacing w:val="-10"/>
          <w:sz w:val="18"/>
        </w:rPr>
        <w:t> </w:t>
      </w:r>
      <w:r>
        <w:rPr>
          <w:i/>
          <w:sz w:val="18"/>
        </w:rPr>
        <w:t>Reaction</w:t>
      </w:r>
      <w:r>
        <w:rPr>
          <w:i/>
          <w:spacing w:val="-9"/>
          <w:sz w:val="18"/>
        </w:rPr>
        <w:t> </w:t>
      </w:r>
      <w:r>
        <w:rPr>
          <w:i/>
          <w:sz w:val="18"/>
        </w:rPr>
        <w:t>Chemistry and Engineering</w:t>
      </w:r>
      <w:r>
        <w:rPr>
          <w:sz w:val="18"/>
        </w:rPr>
        <w:t>, </w:t>
      </w:r>
      <w:r>
        <w:rPr>
          <w:i/>
          <w:sz w:val="18"/>
        </w:rPr>
        <w:t>8</w:t>
      </w:r>
      <w:r>
        <w:rPr>
          <w:sz w:val="18"/>
        </w:rPr>
        <w:t>(2), 266–277. </w:t>
      </w:r>
      <w:hyperlink r:id="rId20">
        <w:r>
          <w:rPr>
            <w:sz w:val="18"/>
          </w:rPr>
          <w:t>https://doi.org/10.1039/d2re00232a</w:t>
        </w:r>
      </w:hyperlink>
    </w:p>
    <w:p>
      <w:pPr>
        <w:spacing w:line="256" w:lineRule="auto" w:before="176"/>
        <w:ind w:left="553" w:right="55" w:hanging="356"/>
        <w:jc w:val="both"/>
        <w:rPr>
          <w:sz w:val="18"/>
        </w:rPr>
      </w:pPr>
      <w:r>
        <w:rPr>
          <w:sz w:val="18"/>
        </w:rPr>
        <w:t>Danish, M., Khaloofah, M., Mesfer, A., Rashid, M., &amp; Al Mesfer, M. K. (2015). Effect of operating conditions on CSTR performance: An experimental study. </w:t>
      </w:r>
      <w:r>
        <w:rPr>
          <w:i/>
          <w:sz w:val="18"/>
        </w:rPr>
        <w:t>International Journal of Engineering Research and Applications, 5</w:t>
      </w:r>
      <w:r>
        <w:rPr>
          <w:sz w:val="18"/>
        </w:rPr>
        <w:t>(2), 74–78.</w:t>
      </w:r>
    </w:p>
    <w:p>
      <w:pPr>
        <w:spacing w:line="256" w:lineRule="auto" w:before="176"/>
        <w:ind w:left="553" w:right="52" w:hanging="356"/>
        <w:jc w:val="both"/>
        <w:rPr>
          <w:sz w:val="18"/>
        </w:rPr>
      </w:pPr>
      <w:r>
        <w:rPr>
          <w:sz w:val="18"/>
        </w:rPr>
        <w:t>Das, K., Sahoo, P., Sai Baba, M., Murali, N., &amp; Swaminathan, P. (2011). Kinetic studies on saponification of ethyl acetate using an innovative</w:t>
      </w:r>
      <w:r>
        <w:rPr>
          <w:spacing w:val="-4"/>
          <w:sz w:val="18"/>
        </w:rPr>
        <w:t> </w:t>
      </w:r>
      <w:r>
        <w:rPr>
          <w:sz w:val="18"/>
        </w:rPr>
        <w:t>conductivity-monitoring instrument with a pulsating sensor.</w:t>
      </w:r>
      <w:r>
        <w:rPr>
          <w:spacing w:val="-7"/>
          <w:sz w:val="18"/>
        </w:rPr>
        <w:t> </w:t>
      </w:r>
      <w:r>
        <w:rPr>
          <w:i/>
          <w:sz w:val="18"/>
        </w:rPr>
        <w:t>International Journal of Chemical Kinetics</w:t>
      </w:r>
      <w:r>
        <w:rPr>
          <w:sz w:val="18"/>
        </w:rPr>
        <w:t>, </w:t>
      </w:r>
      <w:r>
        <w:rPr>
          <w:i/>
          <w:sz w:val="18"/>
        </w:rPr>
        <w:t>43</w:t>
      </w:r>
      <w:r>
        <w:rPr>
          <w:sz w:val="18"/>
        </w:rPr>
        <w:t>(11), 648–656. </w:t>
      </w:r>
      <w:hyperlink r:id="rId21">
        <w:r>
          <w:rPr>
            <w:sz w:val="18"/>
          </w:rPr>
          <w:t>https://doi.org/10.1002/kin.20597</w:t>
        </w:r>
      </w:hyperlink>
    </w:p>
    <w:p>
      <w:pPr>
        <w:spacing w:line="256" w:lineRule="auto" w:before="176"/>
        <w:ind w:left="553" w:right="55" w:hanging="356"/>
        <w:jc w:val="both"/>
        <w:rPr>
          <w:sz w:val="18"/>
        </w:rPr>
      </w:pPr>
      <w:r>
        <w:rPr>
          <w:sz w:val="18"/>
        </w:rPr>
        <w:t>Florez-Orrego, D., Sharma, S., &amp; Navabi, S. (2022). Editorial: Integration and optimization in the chemical process industry. </w:t>
      </w:r>
      <w:r>
        <w:rPr>
          <w:i/>
          <w:sz w:val="18"/>
        </w:rPr>
        <w:t>Frontiers in Chemical Engineering, 4,</w:t>
      </w:r>
      <w:r>
        <w:rPr>
          <w:i/>
          <w:spacing w:val="40"/>
          <w:sz w:val="18"/>
        </w:rPr>
        <w:t> </w:t>
      </w:r>
      <w:r>
        <w:rPr>
          <w:sz w:val="18"/>
        </w:rPr>
        <w:t>961022. </w:t>
      </w:r>
      <w:hyperlink r:id="rId22">
        <w:r>
          <w:rPr>
            <w:sz w:val="18"/>
          </w:rPr>
          <w:t>https://doi.org/10.3389/fceng.2022.961022</w:t>
        </w:r>
      </w:hyperlink>
      <w:r>
        <w:rPr>
          <w:sz w:val="18"/>
        </w:rPr>
        <w:t>.</w:t>
      </w:r>
    </w:p>
    <w:p>
      <w:pPr>
        <w:spacing w:line="256" w:lineRule="auto" w:before="176"/>
        <w:ind w:left="553" w:right="57" w:hanging="355"/>
        <w:jc w:val="both"/>
        <w:rPr>
          <w:sz w:val="18"/>
        </w:rPr>
      </w:pPr>
      <w:r>
        <w:rPr>
          <w:sz w:val="18"/>
        </w:rPr>
        <w:t>Harmon Ray, W. &amp; Villa, C. (2000). Nonlinear dynamics found in polymerization processes — A</w:t>
      </w:r>
      <w:r>
        <w:rPr>
          <w:spacing w:val="-2"/>
          <w:sz w:val="18"/>
        </w:rPr>
        <w:t> </w:t>
      </w:r>
      <w:r>
        <w:rPr>
          <w:sz w:val="18"/>
        </w:rPr>
        <w:t>review. </w:t>
      </w:r>
      <w:r>
        <w:rPr>
          <w:i/>
          <w:sz w:val="18"/>
        </w:rPr>
        <w:t>Chemical Engineering Science</w:t>
      </w:r>
      <w:r>
        <w:rPr>
          <w:sz w:val="18"/>
        </w:rPr>
        <w:t>, </w:t>
      </w:r>
      <w:r>
        <w:rPr>
          <w:i/>
          <w:sz w:val="18"/>
        </w:rPr>
        <w:t>55</w:t>
      </w:r>
      <w:r>
        <w:rPr>
          <w:sz w:val="18"/>
        </w:rPr>
        <w:t>(2), 275–290. </w:t>
      </w:r>
      <w:hyperlink r:id="rId23">
        <w:r>
          <w:rPr>
            <w:sz w:val="18"/>
          </w:rPr>
          <w:t>https://doi.org/10.1016/s0009-2509(99)00323-1</w:t>
        </w:r>
      </w:hyperlink>
      <w:r>
        <w:rPr>
          <w:sz w:val="18"/>
        </w:rPr>
        <w:t>.</w:t>
      </w:r>
    </w:p>
    <w:p>
      <w:pPr>
        <w:spacing w:line="256" w:lineRule="auto" w:before="181"/>
        <w:ind w:left="553" w:right="60" w:hanging="356"/>
        <w:jc w:val="both"/>
        <w:rPr>
          <w:sz w:val="18"/>
        </w:rPr>
      </w:pPr>
      <w:r>
        <w:rPr>
          <w:sz w:val="18"/>
        </w:rPr>
        <w:t>He, Z. (2023). Optimization of chemical environmental protection and energy sustainable development.</w:t>
      </w:r>
      <w:r>
        <w:rPr>
          <w:spacing w:val="-2"/>
          <w:sz w:val="18"/>
        </w:rPr>
        <w:t> </w:t>
      </w:r>
      <w:r>
        <w:rPr>
          <w:i/>
          <w:sz w:val="18"/>
        </w:rPr>
        <w:t>Applied and Computational Engineering</w:t>
      </w:r>
      <w:r>
        <w:rPr>
          <w:sz w:val="18"/>
        </w:rPr>
        <w:t>, </w:t>
      </w:r>
      <w:r>
        <w:rPr>
          <w:i/>
          <w:sz w:val="18"/>
        </w:rPr>
        <w:t>3</w:t>
      </w:r>
      <w:r>
        <w:rPr>
          <w:sz w:val="18"/>
        </w:rPr>
        <w:t>(1), 211–215. </w:t>
      </w:r>
      <w:hyperlink r:id="rId24">
        <w:r>
          <w:rPr>
            <w:sz w:val="18"/>
          </w:rPr>
          <w:t>https://doi.org/10.54254/2755-2721/3/20230414</w:t>
        </w:r>
      </w:hyperlink>
    </w:p>
    <w:p>
      <w:pPr>
        <w:spacing w:line="256" w:lineRule="auto" w:before="176"/>
        <w:ind w:left="553" w:right="58" w:hanging="356"/>
        <w:jc w:val="both"/>
        <w:rPr>
          <w:sz w:val="18"/>
        </w:rPr>
      </w:pPr>
      <w:r>
        <w:rPr>
          <w:sz w:val="18"/>
        </w:rPr>
        <w:t>Hu, C. (2021). Reactor design and selection for effective continuous manufacturing of pharmaceuticals. </w:t>
      </w:r>
      <w:r>
        <w:rPr>
          <w:i/>
          <w:sz w:val="18"/>
        </w:rPr>
        <w:t>Journal of Flow Chemistry, 11</w:t>
      </w:r>
      <w:r>
        <w:rPr>
          <w:sz w:val="18"/>
        </w:rPr>
        <w:t>, 242–262. </w:t>
      </w:r>
      <w:hyperlink r:id="rId25">
        <w:r>
          <w:rPr>
            <w:sz w:val="18"/>
          </w:rPr>
          <w:t>https://doi.org/10.1007/s41981-021-00164-3</w:t>
        </w:r>
      </w:hyperlink>
    </w:p>
    <w:p>
      <w:pPr>
        <w:spacing w:line="256" w:lineRule="auto" w:before="177"/>
        <w:ind w:left="553" w:right="54" w:hanging="355"/>
        <w:jc w:val="both"/>
        <w:rPr>
          <w:sz w:val="18"/>
        </w:rPr>
      </w:pPr>
      <w:r>
        <w:rPr>
          <w:sz w:val="18"/>
        </w:rPr>
        <w:t>Ihsanullah,</w:t>
      </w:r>
      <w:r>
        <w:rPr>
          <w:spacing w:val="-3"/>
          <w:sz w:val="18"/>
        </w:rPr>
        <w:t> </w:t>
      </w:r>
      <w:r>
        <w:rPr>
          <w:sz w:val="18"/>
        </w:rPr>
        <w:t>I.,</w:t>
      </w:r>
      <w:r>
        <w:rPr>
          <w:spacing w:val="-3"/>
          <w:sz w:val="18"/>
        </w:rPr>
        <w:t> </w:t>
      </w:r>
      <w:r>
        <w:rPr>
          <w:sz w:val="18"/>
        </w:rPr>
        <w:t>Ahmad,</w:t>
      </w:r>
      <w:r>
        <w:rPr>
          <w:spacing w:val="-3"/>
          <w:sz w:val="18"/>
        </w:rPr>
        <w:t> </w:t>
      </w:r>
      <w:r>
        <w:rPr>
          <w:sz w:val="18"/>
        </w:rPr>
        <w:t>M.</w:t>
      </w:r>
      <w:r>
        <w:rPr>
          <w:spacing w:val="-3"/>
          <w:sz w:val="18"/>
        </w:rPr>
        <w:t> </w:t>
      </w:r>
      <w:r>
        <w:rPr>
          <w:sz w:val="18"/>
        </w:rPr>
        <w:t>I.,</w:t>
      </w:r>
      <w:r>
        <w:rPr>
          <w:spacing w:val="-3"/>
          <w:sz w:val="18"/>
        </w:rPr>
        <w:t> </w:t>
      </w:r>
      <w:r>
        <w:rPr>
          <w:sz w:val="18"/>
        </w:rPr>
        <w:t>Ullah, I.,</w:t>
      </w:r>
      <w:r>
        <w:rPr>
          <w:spacing w:val="-3"/>
          <w:sz w:val="18"/>
        </w:rPr>
        <w:t> </w:t>
      </w:r>
      <w:r>
        <w:rPr>
          <w:sz w:val="18"/>
        </w:rPr>
        <w:t>Ahmad,</w:t>
      </w:r>
      <w:r>
        <w:rPr>
          <w:spacing w:val="-3"/>
          <w:sz w:val="18"/>
        </w:rPr>
        <w:t> </w:t>
      </w:r>
      <w:r>
        <w:rPr>
          <w:sz w:val="18"/>
        </w:rPr>
        <w:t>M.</w:t>
      </w:r>
      <w:r>
        <w:rPr>
          <w:spacing w:val="-3"/>
          <w:sz w:val="18"/>
        </w:rPr>
        <w:t> </w:t>
      </w:r>
      <w:r>
        <w:rPr>
          <w:sz w:val="18"/>
        </w:rPr>
        <w:t>I., &amp;</w:t>
      </w:r>
      <w:r>
        <w:rPr>
          <w:spacing w:val="-7"/>
          <w:sz w:val="18"/>
        </w:rPr>
        <w:t> </w:t>
      </w:r>
      <w:r>
        <w:rPr>
          <w:sz w:val="18"/>
        </w:rPr>
        <w:t>Younas,</w:t>
      </w:r>
      <w:r>
        <w:rPr>
          <w:spacing w:val="-3"/>
          <w:sz w:val="18"/>
        </w:rPr>
        <w:t> </w:t>
      </w:r>
      <w:r>
        <w:rPr>
          <w:sz w:val="18"/>
        </w:rPr>
        <w:t>M.</w:t>
      </w:r>
      <w:r>
        <w:rPr>
          <w:spacing w:val="-3"/>
          <w:sz w:val="18"/>
        </w:rPr>
        <w:t> </w:t>
      </w:r>
      <w:r>
        <w:rPr>
          <w:sz w:val="18"/>
        </w:rPr>
        <w:t>(2015).</w:t>
      </w:r>
      <w:r>
        <w:rPr>
          <w:spacing w:val="-3"/>
          <w:sz w:val="18"/>
        </w:rPr>
        <w:t> </w:t>
      </w:r>
      <w:r>
        <w:rPr>
          <w:sz w:val="18"/>
        </w:rPr>
        <w:t>Optimization</w:t>
      </w:r>
      <w:r>
        <w:rPr>
          <w:spacing w:val="-5"/>
          <w:sz w:val="18"/>
        </w:rPr>
        <w:t> </w:t>
      </w:r>
      <w:r>
        <w:rPr>
          <w:sz w:val="18"/>
        </w:rPr>
        <w:t>of</w:t>
      </w:r>
      <w:r>
        <w:rPr>
          <w:spacing w:val="-4"/>
          <w:sz w:val="18"/>
        </w:rPr>
        <w:t> </w:t>
      </w:r>
      <w:r>
        <w:rPr>
          <w:sz w:val="18"/>
        </w:rPr>
        <w:t>saponification</w:t>
      </w:r>
      <w:r>
        <w:rPr>
          <w:spacing w:val="-5"/>
          <w:sz w:val="18"/>
        </w:rPr>
        <w:t> </w:t>
      </w:r>
      <w:r>
        <w:rPr>
          <w:sz w:val="18"/>
        </w:rPr>
        <w:t>reaction</w:t>
      </w:r>
      <w:r>
        <w:rPr>
          <w:spacing w:val="-5"/>
          <w:sz w:val="18"/>
        </w:rPr>
        <w:t> </w:t>
      </w:r>
      <w:r>
        <w:rPr>
          <w:sz w:val="18"/>
        </w:rPr>
        <w:t>in a continuous stirred tank reactor (CSTR) using design of experiments. </w:t>
      </w:r>
      <w:r>
        <w:rPr>
          <w:i/>
          <w:sz w:val="18"/>
        </w:rPr>
        <w:t>Pakistan Journal of Engineering and Applied Sciences, 16</w:t>
      </w:r>
      <w:r>
        <w:rPr>
          <w:sz w:val="18"/>
        </w:rPr>
        <w:t>. </w:t>
      </w:r>
      <w:hyperlink r:id="rId26">
        <w:r>
          <w:rPr>
            <w:sz w:val="18"/>
          </w:rPr>
          <w:t>https://www.researchgate.net/publication/274635862</w:t>
        </w:r>
      </w:hyperlink>
    </w:p>
    <w:p>
      <w:pPr>
        <w:spacing w:line="256" w:lineRule="auto" w:before="175"/>
        <w:ind w:left="553" w:right="52" w:hanging="356"/>
        <w:jc w:val="both"/>
        <w:rPr>
          <w:sz w:val="18"/>
        </w:rPr>
      </w:pPr>
      <w:r>
        <w:rPr>
          <w:sz w:val="18"/>
        </w:rPr>
        <w:t>Leveneur, S. (2023). Kinetic modelling: Regression and validation stages, a compulsory tandem for kinetic model assessment.</w:t>
      </w:r>
      <w:r>
        <w:rPr>
          <w:spacing w:val="-11"/>
          <w:sz w:val="18"/>
        </w:rPr>
        <w:t> </w:t>
      </w:r>
      <w:r>
        <w:rPr>
          <w:i/>
          <w:sz w:val="18"/>
        </w:rPr>
        <w:t>Canadian</w:t>
      </w:r>
      <w:r>
        <w:rPr>
          <w:i/>
          <w:spacing w:val="-12"/>
          <w:sz w:val="18"/>
        </w:rPr>
        <w:t> </w:t>
      </w:r>
      <w:r>
        <w:rPr>
          <w:i/>
          <w:sz w:val="18"/>
        </w:rPr>
        <w:t>Journal</w:t>
      </w:r>
      <w:r>
        <w:rPr>
          <w:i/>
          <w:spacing w:val="-10"/>
          <w:sz w:val="18"/>
        </w:rPr>
        <w:t> </w:t>
      </w:r>
      <w:r>
        <w:rPr>
          <w:i/>
          <w:sz w:val="18"/>
        </w:rPr>
        <w:t>of</w:t>
      </w:r>
      <w:r>
        <w:rPr>
          <w:i/>
          <w:spacing w:val="-10"/>
          <w:sz w:val="18"/>
        </w:rPr>
        <w:t> </w:t>
      </w:r>
      <w:r>
        <w:rPr>
          <w:i/>
          <w:sz w:val="18"/>
        </w:rPr>
        <w:t>Chemical</w:t>
      </w:r>
      <w:r>
        <w:rPr>
          <w:i/>
          <w:spacing w:val="-10"/>
          <w:sz w:val="18"/>
        </w:rPr>
        <w:t> </w:t>
      </w:r>
      <w:r>
        <w:rPr>
          <w:i/>
          <w:sz w:val="18"/>
        </w:rPr>
        <w:t>Engineering,</w:t>
      </w:r>
      <w:r>
        <w:rPr>
          <w:i/>
          <w:spacing w:val="-11"/>
          <w:sz w:val="18"/>
        </w:rPr>
        <w:t> </w:t>
      </w:r>
      <w:r>
        <w:rPr>
          <w:i/>
          <w:sz w:val="18"/>
        </w:rPr>
        <w:t>101</w:t>
      </w:r>
      <w:r>
        <w:rPr>
          <w:sz w:val="18"/>
        </w:rPr>
        <w:t>(12),</w:t>
      </w:r>
      <w:r>
        <w:rPr>
          <w:spacing w:val="-10"/>
          <w:sz w:val="18"/>
        </w:rPr>
        <w:t> </w:t>
      </w:r>
      <w:r>
        <w:rPr>
          <w:sz w:val="18"/>
        </w:rPr>
        <w:t>7078–7101.</w:t>
      </w:r>
      <w:r>
        <w:rPr>
          <w:spacing w:val="-10"/>
          <w:sz w:val="18"/>
        </w:rPr>
        <w:t> </w:t>
      </w:r>
      <w:hyperlink r:id="rId27">
        <w:r>
          <w:rPr>
            <w:spacing w:val="-2"/>
            <w:sz w:val="18"/>
          </w:rPr>
          <w:t>https://doi.org/10.1002/cjce.24956</w:t>
        </w:r>
      </w:hyperlink>
    </w:p>
    <w:p>
      <w:pPr>
        <w:spacing w:before="177"/>
        <w:ind w:left="198" w:right="0" w:firstLine="0"/>
        <w:jc w:val="left"/>
        <w:rPr>
          <w:sz w:val="18"/>
        </w:rPr>
      </w:pPr>
      <w:r>
        <w:rPr>
          <w:sz w:val="18"/>
        </w:rPr>
        <w:t>Levenspiel,</w:t>
      </w:r>
      <w:r>
        <w:rPr>
          <w:spacing w:val="-5"/>
          <w:sz w:val="18"/>
        </w:rPr>
        <w:t> </w:t>
      </w:r>
      <w:r>
        <w:rPr>
          <w:sz w:val="18"/>
        </w:rPr>
        <w:t>O.</w:t>
      </w:r>
      <w:r>
        <w:rPr>
          <w:spacing w:val="-4"/>
          <w:sz w:val="18"/>
        </w:rPr>
        <w:t> </w:t>
      </w:r>
      <w:r>
        <w:rPr>
          <w:sz w:val="18"/>
        </w:rPr>
        <w:t>(1999). Chemical Reaction</w:t>
      </w:r>
      <w:r>
        <w:rPr>
          <w:spacing w:val="-6"/>
          <w:sz w:val="18"/>
        </w:rPr>
        <w:t> </w:t>
      </w:r>
      <w:r>
        <w:rPr>
          <w:sz w:val="18"/>
        </w:rPr>
        <w:t>Engineering</w:t>
      </w:r>
      <w:r>
        <w:rPr>
          <w:spacing w:val="-6"/>
          <w:sz w:val="18"/>
        </w:rPr>
        <w:t> </w:t>
      </w:r>
      <w:r>
        <w:rPr>
          <w:sz w:val="18"/>
        </w:rPr>
        <w:t>(3rd</w:t>
      </w:r>
      <w:r>
        <w:rPr>
          <w:spacing w:val="-6"/>
          <w:sz w:val="18"/>
        </w:rPr>
        <w:t> </w:t>
      </w:r>
      <w:r>
        <w:rPr>
          <w:sz w:val="18"/>
        </w:rPr>
        <w:t>ed.).</w:t>
      </w:r>
      <w:r>
        <w:rPr>
          <w:spacing w:val="-9"/>
          <w:sz w:val="18"/>
        </w:rPr>
        <w:t> </w:t>
      </w:r>
      <w:r>
        <w:rPr>
          <w:sz w:val="18"/>
        </w:rPr>
        <w:t>Wiley</w:t>
      </w:r>
      <w:r>
        <w:rPr>
          <w:spacing w:val="-1"/>
          <w:sz w:val="18"/>
        </w:rPr>
        <w:t> </w:t>
      </w:r>
      <w:r>
        <w:rPr>
          <w:spacing w:val="-2"/>
          <w:sz w:val="18"/>
        </w:rPr>
        <w:t>India.</w:t>
      </w:r>
    </w:p>
    <w:p>
      <w:pPr>
        <w:spacing w:line="256" w:lineRule="auto" w:before="191"/>
        <w:ind w:left="553" w:right="53" w:hanging="356"/>
        <w:jc w:val="both"/>
        <w:rPr>
          <w:sz w:val="18"/>
        </w:rPr>
      </w:pPr>
      <w:r>
        <w:rPr>
          <w:sz w:val="18"/>
        </w:rPr>
        <w:t>Mesfer, M. K. A. (2018). Experimental study of batch reactor performance for ethyl acetate saponification. </w:t>
      </w:r>
      <w:r>
        <w:rPr>
          <w:i/>
          <w:sz w:val="18"/>
        </w:rPr>
        <w:t>International Journal of Chemical Reactor Engineering, 16</w:t>
      </w:r>
      <w:r>
        <w:rPr>
          <w:sz w:val="18"/>
        </w:rPr>
        <w:t>(1), 20160174. </w:t>
      </w:r>
      <w:hyperlink r:id="rId28">
        <w:r>
          <w:rPr>
            <w:sz w:val="18"/>
          </w:rPr>
          <w:t>https://doi.org/10.1515/ijcre-2016-</w:t>
        </w:r>
      </w:hyperlink>
      <w:hyperlink r:id="rId28">
        <w:r>
          <w:rPr>
            <w:spacing w:val="-4"/>
            <w:sz w:val="18"/>
          </w:rPr>
          <w:t>0174</w:t>
        </w:r>
      </w:hyperlink>
    </w:p>
    <w:p>
      <w:pPr>
        <w:spacing w:after="0" w:line="256" w:lineRule="auto"/>
        <w:jc w:val="both"/>
        <w:rPr>
          <w:sz w:val="18"/>
        </w:rPr>
        <w:sectPr>
          <w:pgSz w:w="10890" w:h="14860"/>
          <w:pgMar w:header="1010" w:footer="1649" w:top="1320" w:bottom="1840" w:left="992" w:right="1133"/>
        </w:sectPr>
      </w:pPr>
    </w:p>
    <w:p>
      <w:pPr>
        <w:spacing w:line="256" w:lineRule="auto" w:before="123"/>
        <w:ind w:left="553" w:right="55" w:hanging="356"/>
        <w:jc w:val="both"/>
        <w:rPr>
          <w:sz w:val="18"/>
        </w:rPr>
      </w:pPr>
      <w:r>
        <w:rPr>
          <w:sz w:val="18"/>
        </w:rPr>
        <w:t>Mukhtar,</w:t>
      </w:r>
      <w:r>
        <w:rPr>
          <w:spacing w:val="-12"/>
          <w:sz w:val="18"/>
        </w:rPr>
        <w:t> </w:t>
      </w:r>
      <w:r>
        <w:rPr>
          <w:sz w:val="18"/>
        </w:rPr>
        <w:t>A.,</w:t>
      </w:r>
      <w:r>
        <w:rPr>
          <w:spacing w:val="-11"/>
          <w:sz w:val="18"/>
        </w:rPr>
        <w:t> </w:t>
      </w:r>
      <w:r>
        <w:rPr>
          <w:sz w:val="18"/>
        </w:rPr>
        <w:t>Shafiq,</w:t>
      </w:r>
      <w:r>
        <w:rPr>
          <w:spacing w:val="-11"/>
          <w:sz w:val="18"/>
        </w:rPr>
        <w:t> </w:t>
      </w:r>
      <w:r>
        <w:rPr>
          <w:sz w:val="18"/>
        </w:rPr>
        <w:t>U.,</w:t>
      </w:r>
      <w:r>
        <w:rPr>
          <w:spacing w:val="-11"/>
          <w:sz w:val="18"/>
        </w:rPr>
        <w:t> </w:t>
      </w:r>
      <w:r>
        <w:rPr>
          <w:sz w:val="18"/>
        </w:rPr>
        <w:t>Qazi,</w:t>
      </w:r>
      <w:r>
        <w:rPr>
          <w:spacing w:val="-12"/>
          <w:sz w:val="18"/>
        </w:rPr>
        <w:t> </w:t>
      </w:r>
      <w:r>
        <w:rPr>
          <w:sz w:val="18"/>
        </w:rPr>
        <w:t>M.</w:t>
      </w:r>
      <w:r>
        <w:rPr>
          <w:spacing w:val="-11"/>
          <w:sz w:val="18"/>
        </w:rPr>
        <w:t> </w:t>
      </w:r>
      <w:r>
        <w:rPr>
          <w:sz w:val="18"/>
        </w:rPr>
        <w:t>O.,</w:t>
      </w:r>
      <w:r>
        <w:rPr>
          <w:spacing w:val="-11"/>
          <w:sz w:val="18"/>
        </w:rPr>
        <w:t> </w:t>
      </w:r>
      <w:r>
        <w:rPr>
          <w:sz w:val="18"/>
        </w:rPr>
        <w:t>Qadir,</w:t>
      </w:r>
      <w:r>
        <w:rPr>
          <w:spacing w:val="-11"/>
          <w:sz w:val="18"/>
        </w:rPr>
        <w:t> </w:t>
      </w:r>
      <w:r>
        <w:rPr>
          <w:sz w:val="18"/>
        </w:rPr>
        <w:t>H.</w:t>
      </w:r>
      <w:r>
        <w:rPr>
          <w:spacing w:val="-12"/>
          <w:sz w:val="18"/>
        </w:rPr>
        <w:t> </w:t>
      </w:r>
      <w:r>
        <w:rPr>
          <w:sz w:val="18"/>
        </w:rPr>
        <w:t>A.,</w:t>
      </w:r>
      <w:r>
        <w:rPr>
          <w:spacing w:val="-11"/>
          <w:sz w:val="18"/>
        </w:rPr>
        <w:t> </w:t>
      </w:r>
      <w:r>
        <w:rPr>
          <w:sz w:val="18"/>
        </w:rPr>
        <w:t>Qizilbash,</w:t>
      </w:r>
      <w:r>
        <w:rPr>
          <w:spacing w:val="-11"/>
          <w:sz w:val="18"/>
        </w:rPr>
        <w:t> </w:t>
      </w:r>
      <w:r>
        <w:rPr>
          <w:sz w:val="18"/>
        </w:rPr>
        <w:t>M.,</w:t>
      </w:r>
      <w:r>
        <w:rPr>
          <w:spacing w:val="-11"/>
          <w:sz w:val="18"/>
        </w:rPr>
        <w:t> </w:t>
      </w:r>
      <w:r>
        <w:rPr>
          <w:sz w:val="18"/>
        </w:rPr>
        <w:t>&amp;</w:t>
      </w:r>
      <w:r>
        <w:rPr>
          <w:spacing w:val="-12"/>
          <w:sz w:val="18"/>
        </w:rPr>
        <w:t> </w:t>
      </w:r>
      <w:r>
        <w:rPr>
          <w:sz w:val="18"/>
        </w:rPr>
        <w:t>Awan,</w:t>
      </w:r>
      <w:r>
        <w:rPr>
          <w:spacing w:val="-11"/>
          <w:sz w:val="18"/>
        </w:rPr>
        <w:t> </w:t>
      </w:r>
      <w:r>
        <w:rPr>
          <w:sz w:val="18"/>
        </w:rPr>
        <w:t>B.</w:t>
      </w:r>
      <w:r>
        <w:rPr>
          <w:spacing w:val="-11"/>
          <w:sz w:val="18"/>
        </w:rPr>
        <w:t> </w:t>
      </w:r>
      <w:r>
        <w:rPr>
          <w:sz w:val="18"/>
        </w:rPr>
        <w:t>A.</w:t>
      </w:r>
      <w:r>
        <w:rPr>
          <w:spacing w:val="-11"/>
          <w:sz w:val="18"/>
        </w:rPr>
        <w:t> </w:t>
      </w:r>
      <w:r>
        <w:rPr>
          <w:sz w:val="18"/>
        </w:rPr>
        <w:t>(2017).</w:t>
      </w:r>
      <w:r>
        <w:rPr>
          <w:spacing w:val="-12"/>
          <w:sz w:val="18"/>
        </w:rPr>
        <w:t> </w:t>
      </w:r>
      <w:r>
        <w:rPr>
          <w:sz w:val="18"/>
        </w:rPr>
        <w:t>Kinetics</w:t>
      </w:r>
      <w:r>
        <w:rPr>
          <w:spacing w:val="-11"/>
          <w:sz w:val="18"/>
        </w:rPr>
        <w:t> </w:t>
      </w:r>
      <w:r>
        <w:rPr>
          <w:sz w:val="18"/>
        </w:rPr>
        <w:t>of</w:t>
      </w:r>
      <w:r>
        <w:rPr>
          <w:spacing w:val="-11"/>
          <w:sz w:val="18"/>
        </w:rPr>
        <w:t> </w:t>
      </w:r>
      <w:r>
        <w:rPr>
          <w:sz w:val="18"/>
        </w:rPr>
        <w:t>alkaline</w:t>
      </w:r>
      <w:r>
        <w:rPr>
          <w:spacing w:val="-11"/>
          <w:sz w:val="18"/>
        </w:rPr>
        <w:t> </w:t>
      </w:r>
      <w:r>
        <w:rPr>
          <w:sz w:val="18"/>
        </w:rPr>
        <w:t>hydrolysis of ethyl acetate by conductometric measurement approach over temperature ranges (298.15–343.15 K). </w:t>
      </w:r>
      <w:r>
        <w:rPr>
          <w:i/>
          <w:sz w:val="18"/>
        </w:rPr>
        <w:t>Austin Chemical Engineering</w:t>
      </w:r>
      <w:r>
        <w:rPr>
          <w:sz w:val="18"/>
        </w:rPr>
        <w:t>, </w:t>
      </w:r>
      <w:r>
        <w:rPr>
          <w:i/>
          <w:sz w:val="18"/>
        </w:rPr>
        <w:t>4</w:t>
      </w:r>
      <w:r>
        <w:rPr>
          <w:sz w:val="18"/>
        </w:rPr>
        <w:t>(1), 1046.</w:t>
      </w:r>
    </w:p>
    <w:p>
      <w:pPr>
        <w:spacing w:line="256" w:lineRule="auto" w:before="176"/>
        <w:ind w:left="553" w:right="52" w:hanging="356"/>
        <w:jc w:val="both"/>
        <w:rPr>
          <w:sz w:val="18"/>
        </w:rPr>
      </w:pPr>
      <w:r>
        <w:rPr>
          <w:sz w:val="18"/>
        </w:rPr>
        <w:t>Muktar, A., Shafiq, U., Khan, A., Qizilbash, M., &amp; Abdul Qadir, H. (2015). Estimation of parameters of Arrhenius equation for ethyl acetate saponification reaction. </w:t>
      </w:r>
      <w:r>
        <w:rPr>
          <w:i/>
          <w:sz w:val="18"/>
        </w:rPr>
        <w:t>Research Journal of Chemical Sciences</w:t>
      </w:r>
      <w:r>
        <w:rPr>
          <w:sz w:val="18"/>
        </w:rPr>
        <w:t>, </w:t>
      </w:r>
      <w:r>
        <w:rPr>
          <w:i/>
          <w:sz w:val="18"/>
        </w:rPr>
        <w:t>5</w:t>
      </w:r>
      <w:r>
        <w:rPr>
          <w:sz w:val="18"/>
        </w:rPr>
        <w:t>(11), 46–50.</w:t>
      </w:r>
    </w:p>
    <w:p>
      <w:pPr>
        <w:spacing w:before="176"/>
        <w:ind w:left="198" w:right="0" w:firstLine="0"/>
        <w:jc w:val="left"/>
        <w:rPr>
          <w:sz w:val="18"/>
        </w:rPr>
      </w:pPr>
      <w:r>
        <w:rPr>
          <w:sz w:val="18"/>
        </w:rPr>
        <w:t>Nauman,</w:t>
      </w:r>
      <w:r>
        <w:rPr>
          <w:spacing w:val="2"/>
          <w:sz w:val="18"/>
        </w:rPr>
        <w:t> </w:t>
      </w:r>
      <w:r>
        <w:rPr>
          <w:sz w:val="18"/>
        </w:rPr>
        <w:t>E.</w:t>
      </w:r>
      <w:r>
        <w:rPr>
          <w:spacing w:val="-1"/>
          <w:sz w:val="18"/>
        </w:rPr>
        <w:t> </w:t>
      </w:r>
      <w:r>
        <w:rPr>
          <w:sz w:val="18"/>
        </w:rPr>
        <w:t>B.</w:t>
      </w:r>
      <w:r>
        <w:rPr>
          <w:spacing w:val="-2"/>
          <w:sz w:val="18"/>
        </w:rPr>
        <w:t> </w:t>
      </w:r>
      <w:r>
        <w:rPr>
          <w:sz w:val="18"/>
        </w:rPr>
        <w:t>(2008).</w:t>
      </w:r>
      <w:r>
        <w:rPr>
          <w:spacing w:val="-2"/>
          <w:sz w:val="18"/>
        </w:rPr>
        <w:t> </w:t>
      </w:r>
      <w:r>
        <w:rPr>
          <w:i/>
          <w:sz w:val="18"/>
        </w:rPr>
        <w:t>Chemical</w:t>
      </w:r>
      <w:r>
        <w:rPr>
          <w:i/>
          <w:spacing w:val="-2"/>
          <w:sz w:val="18"/>
        </w:rPr>
        <w:t> </w:t>
      </w:r>
      <w:r>
        <w:rPr>
          <w:i/>
          <w:sz w:val="18"/>
        </w:rPr>
        <w:t>reactor</w:t>
      </w:r>
      <w:r>
        <w:rPr>
          <w:i/>
          <w:spacing w:val="-3"/>
          <w:sz w:val="18"/>
        </w:rPr>
        <w:t> </w:t>
      </w:r>
      <w:r>
        <w:rPr>
          <w:i/>
          <w:sz w:val="18"/>
        </w:rPr>
        <w:t>design,</w:t>
      </w:r>
      <w:r>
        <w:rPr>
          <w:i/>
          <w:spacing w:val="-2"/>
          <w:sz w:val="18"/>
        </w:rPr>
        <w:t> </w:t>
      </w:r>
      <w:r>
        <w:rPr>
          <w:i/>
          <w:sz w:val="18"/>
        </w:rPr>
        <w:t>optimization,</w:t>
      </w:r>
      <w:r>
        <w:rPr>
          <w:i/>
          <w:spacing w:val="-2"/>
          <w:sz w:val="18"/>
        </w:rPr>
        <w:t> </w:t>
      </w:r>
      <w:r>
        <w:rPr>
          <w:i/>
          <w:sz w:val="18"/>
        </w:rPr>
        <w:t>and</w:t>
      </w:r>
      <w:r>
        <w:rPr>
          <w:i/>
          <w:spacing w:val="-8"/>
          <w:sz w:val="18"/>
        </w:rPr>
        <w:t> </w:t>
      </w:r>
      <w:r>
        <w:rPr>
          <w:i/>
          <w:sz w:val="18"/>
        </w:rPr>
        <w:t>scaleup</w:t>
      </w:r>
      <w:r>
        <w:rPr>
          <w:i/>
          <w:spacing w:val="-9"/>
          <w:sz w:val="18"/>
        </w:rPr>
        <w:t> </w:t>
      </w:r>
      <w:r>
        <w:rPr>
          <w:sz w:val="18"/>
        </w:rPr>
        <w:t>(First</w:t>
      </w:r>
      <w:r>
        <w:rPr>
          <w:spacing w:val="-2"/>
          <w:sz w:val="18"/>
        </w:rPr>
        <w:t> </w:t>
      </w:r>
      <w:r>
        <w:rPr>
          <w:sz w:val="18"/>
        </w:rPr>
        <w:t>edition).</w:t>
      </w:r>
      <w:r>
        <w:rPr>
          <w:spacing w:val="-6"/>
          <w:sz w:val="18"/>
        </w:rPr>
        <w:t> </w:t>
      </w:r>
      <w:r>
        <w:rPr>
          <w:sz w:val="18"/>
        </w:rPr>
        <w:t>Wiley</w:t>
      </w:r>
      <w:r>
        <w:rPr>
          <w:spacing w:val="-4"/>
          <w:sz w:val="18"/>
        </w:rPr>
        <w:t> </w:t>
      </w:r>
      <w:r>
        <w:rPr>
          <w:sz w:val="18"/>
        </w:rPr>
        <w:t>&amp;</w:t>
      </w:r>
      <w:r>
        <w:rPr>
          <w:spacing w:val="-7"/>
          <w:sz w:val="18"/>
        </w:rPr>
        <w:t> </w:t>
      </w:r>
      <w:r>
        <w:rPr>
          <w:sz w:val="18"/>
        </w:rPr>
        <w:t>Sons,</w:t>
      </w:r>
      <w:r>
        <w:rPr>
          <w:spacing w:val="-2"/>
          <w:sz w:val="18"/>
        </w:rPr>
        <w:t> </w:t>
      </w:r>
      <w:r>
        <w:rPr>
          <w:spacing w:val="-4"/>
          <w:sz w:val="18"/>
        </w:rPr>
        <w:t>Inc.</w:t>
      </w:r>
    </w:p>
    <w:p>
      <w:pPr>
        <w:spacing w:line="256" w:lineRule="auto" w:before="196"/>
        <w:ind w:left="553" w:right="57" w:hanging="356"/>
        <w:jc w:val="both"/>
        <w:rPr>
          <w:sz w:val="18"/>
        </w:rPr>
      </w:pPr>
      <w:r>
        <w:rPr>
          <w:sz w:val="18"/>
        </w:rPr>
        <w:t>Petek, A., &amp;</w:t>
      </w:r>
      <w:r>
        <w:rPr>
          <w:spacing w:val="-6"/>
          <w:sz w:val="18"/>
        </w:rPr>
        <w:t> </w:t>
      </w:r>
      <w:r>
        <w:rPr>
          <w:sz w:val="18"/>
        </w:rPr>
        <w:t>Krajnc,</w:t>
      </w:r>
      <w:r>
        <w:rPr>
          <w:spacing w:val="-1"/>
          <w:sz w:val="18"/>
        </w:rPr>
        <w:t> </w:t>
      </w:r>
      <w:r>
        <w:rPr>
          <w:sz w:val="18"/>
        </w:rPr>
        <w:t>M.</w:t>
      </w:r>
      <w:r>
        <w:rPr>
          <w:spacing w:val="-1"/>
          <w:sz w:val="18"/>
        </w:rPr>
        <w:t> </w:t>
      </w:r>
      <w:r>
        <w:rPr>
          <w:sz w:val="18"/>
        </w:rPr>
        <w:t>(2012). The enthalpy and entropy of activation for ethyl acetate saponification.</w:t>
      </w:r>
      <w:r>
        <w:rPr>
          <w:spacing w:val="-1"/>
          <w:sz w:val="18"/>
        </w:rPr>
        <w:t> </w:t>
      </w:r>
      <w:r>
        <w:rPr>
          <w:i/>
          <w:sz w:val="18"/>
        </w:rPr>
        <w:t>International Journal of Chemical Kinetics</w:t>
      </w:r>
      <w:r>
        <w:rPr>
          <w:sz w:val="18"/>
        </w:rPr>
        <w:t>, </w:t>
      </w:r>
      <w:r>
        <w:rPr>
          <w:i/>
          <w:sz w:val="18"/>
        </w:rPr>
        <w:t>44</w:t>
      </w:r>
      <w:r>
        <w:rPr>
          <w:sz w:val="18"/>
        </w:rPr>
        <w:t>(10), 692–698. </w:t>
      </w:r>
      <w:hyperlink r:id="rId29">
        <w:r>
          <w:rPr>
            <w:sz w:val="18"/>
          </w:rPr>
          <w:t>https://doi.org/10.1002/kin.20712</w:t>
        </w:r>
      </w:hyperlink>
    </w:p>
    <w:p>
      <w:pPr>
        <w:spacing w:line="256" w:lineRule="auto" w:before="176"/>
        <w:ind w:left="553" w:right="51" w:hanging="356"/>
        <w:jc w:val="both"/>
        <w:rPr>
          <w:sz w:val="18"/>
        </w:rPr>
      </w:pPr>
      <w:r>
        <w:rPr>
          <w:sz w:val="18"/>
        </w:rPr>
        <w:t>Scott,</w:t>
      </w:r>
      <w:r>
        <w:rPr>
          <w:spacing w:val="-12"/>
          <w:sz w:val="18"/>
        </w:rPr>
        <w:t> </w:t>
      </w:r>
      <w:r>
        <w:rPr>
          <w:sz w:val="18"/>
        </w:rPr>
        <w:t>K.</w:t>
      </w:r>
      <w:r>
        <w:rPr>
          <w:spacing w:val="-11"/>
          <w:sz w:val="18"/>
        </w:rPr>
        <w:t> </w:t>
      </w:r>
      <w:r>
        <w:rPr>
          <w:sz w:val="18"/>
        </w:rPr>
        <w:t>(1991).</w:t>
      </w:r>
      <w:r>
        <w:rPr>
          <w:spacing w:val="-11"/>
          <w:sz w:val="18"/>
        </w:rPr>
        <w:t> </w:t>
      </w:r>
      <w:r>
        <w:rPr>
          <w:sz w:val="18"/>
        </w:rPr>
        <w:t>The</w:t>
      </w:r>
      <w:r>
        <w:rPr>
          <w:spacing w:val="-11"/>
          <w:sz w:val="18"/>
        </w:rPr>
        <w:t> </w:t>
      </w:r>
      <w:r>
        <w:rPr>
          <w:sz w:val="18"/>
        </w:rPr>
        <w:t>continuous</w:t>
      </w:r>
      <w:r>
        <w:rPr>
          <w:spacing w:val="-12"/>
          <w:sz w:val="18"/>
        </w:rPr>
        <w:t> </w:t>
      </w:r>
      <w:r>
        <w:rPr>
          <w:sz w:val="18"/>
        </w:rPr>
        <w:t>stirred</w:t>
      </w:r>
      <w:r>
        <w:rPr>
          <w:spacing w:val="-11"/>
          <w:sz w:val="18"/>
        </w:rPr>
        <w:t> </w:t>
      </w:r>
      <w:r>
        <w:rPr>
          <w:sz w:val="18"/>
        </w:rPr>
        <w:t>tank</w:t>
      </w:r>
      <w:r>
        <w:rPr>
          <w:spacing w:val="-11"/>
          <w:sz w:val="18"/>
        </w:rPr>
        <w:t> </w:t>
      </w:r>
      <w:r>
        <w:rPr>
          <w:sz w:val="18"/>
        </w:rPr>
        <w:t>electrochemical</w:t>
      </w:r>
      <w:r>
        <w:rPr>
          <w:spacing w:val="-11"/>
          <w:sz w:val="18"/>
        </w:rPr>
        <w:t> </w:t>
      </w:r>
      <w:r>
        <w:rPr>
          <w:sz w:val="18"/>
        </w:rPr>
        <w:t>reactor.</w:t>
      </w:r>
      <w:r>
        <w:rPr>
          <w:spacing w:val="-8"/>
          <w:sz w:val="18"/>
        </w:rPr>
        <w:t> </w:t>
      </w:r>
      <w:r>
        <w:rPr>
          <w:sz w:val="18"/>
        </w:rPr>
        <w:t>An</w:t>
      </w:r>
      <w:r>
        <w:rPr>
          <w:spacing w:val="-11"/>
          <w:sz w:val="18"/>
        </w:rPr>
        <w:t> </w:t>
      </w:r>
      <w:r>
        <w:rPr>
          <w:sz w:val="18"/>
        </w:rPr>
        <w:t>overview</w:t>
      </w:r>
      <w:r>
        <w:rPr>
          <w:spacing w:val="-11"/>
          <w:sz w:val="18"/>
        </w:rPr>
        <w:t> </w:t>
      </w:r>
      <w:r>
        <w:rPr>
          <w:sz w:val="18"/>
        </w:rPr>
        <w:t>of</w:t>
      </w:r>
      <w:r>
        <w:rPr>
          <w:spacing w:val="-6"/>
          <w:sz w:val="18"/>
        </w:rPr>
        <w:t> </w:t>
      </w:r>
      <w:r>
        <w:rPr>
          <w:sz w:val="18"/>
        </w:rPr>
        <w:t>dynamic</w:t>
      </w:r>
      <w:r>
        <w:rPr>
          <w:spacing w:val="-12"/>
          <w:sz w:val="18"/>
        </w:rPr>
        <w:t> </w:t>
      </w:r>
      <w:r>
        <w:rPr>
          <w:sz w:val="18"/>
        </w:rPr>
        <w:t>and</w:t>
      </w:r>
      <w:r>
        <w:rPr>
          <w:spacing w:val="-11"/>
          <w:sz w:val="18"/>
        </w:rPr>
        <w:t> </w:t>
      </w:r>
      <w:r>
        <w:rPr>
          <w:sz w:val="18"/>
        </w:rPr>
        <w:t>steady</w:t>
      </w:r>
      <w:r>
        <w:rPr>
          <w:spacing w:val="-11"/>
          <w:sz w:val="18"/>
        </w:rPr>
        <w:t> </w:t>
      </w:r>
      <w:r>
        <w:rPr>
          <w:sz w:val="18"/>
        </w:rPr>
        <w:t>state</w:t>
      </w:r>
      <w:r>
        <w:rPr>
          <w:spacing w:val="-11"/>
          <w:sz w:val="18"/>
        </w:rPr>
        <w:t> </w:t>
      </w:r>
      <w:r>
        <w:rPr>
          <w:sz w:val="18"/>
        </w:rPr>
        <w:t>analysis for design and modelling. </w:t>
      </w:r>
      <w:r>
        <w:rPr>
          <w:i/>
          <w:sz w:val="18"/>
        </w:rPr>
        <w:t>Journal of Applied Electrochemistry, 21</w:t>
      </w:r>
      <w:r>
        <w:rPr>
          <w:sz w:val="18"/>
        </w:rPr>
        <w:t>(11), 945–960. </w:t>
      </w:r>
      <w:hyperlink r:id="rId30">
        <w:r>
          <w:rPr>
            <w:spacing w:val="-2"/>
            <w:sz w:val="18"/>
          </w:rPr>
          <w:t>https://doi.org/10.1007/BF01077579</w:t>
        </w:r>
      </w:hyperlink>
    </w:p>
    <w:p>
      <w:pPr>
        <w:spacing w:line="256" w:lineRule="auto" w:before="176"/>
        <w:ind w:left="553" w:right="55" w:hanging="356"/>
        <w:jc w:val="both"/>
        <w:rPr>
          <w:sz w:val="18"/>
        </w:rPr>
      </w:pPr>
      <w:r>
        <w:rPr>
          <w:sz w:val="18"/>
        </w:rPr>
        <w:t>Sultan,</w:t>
      </w:r>
      <w:r>
        <w:rPr>
          <w:spacing w:val="-10"/>
          <w:sz w:val="18"/>
        </w:rPr>
        <w:t> </w:t>
      </w:r>
      <w:r>
        <w:rPr>
          <w:sz w:val="18"/>
        </w:rPr>
        <w:t>F.,</w:t>
      </w:r>
      <w:r>
        <w:rPr>
          <w:spacing w:val="-11"/>
          <w:sz w:val="18"/>
        </w:rPr>
        <w:t> </w:t>
      </w:r>
      <w:r>
        <w:rPr>
          <w:sz w:val="18"/>
        </w:rPr>
        <w:t>Lodhi,</w:t>
      </w:r>
      <w:r>
        <w:rPr>
          <w:spacing w:val="-10"/>
          <w:sz w:val="18"/>
        </w:rPr>
        <w:t> </w:t>
      </w:r>
      <w:r>
        <w:rPr>
          <w:sz w:val="18"/>
        </w:rPr>
        <w:t>M.</w:t>
      </w:r>
      <w:r>
        <w:rPr>
          <w:spacing w:val="-11"/>
          <w:sz w:val="18"/>
        </w:rPr>
        <w:t> </w:t>
      </w:r>
      <w:r>
        <w:rPr>
          <w:sz w:val="18"/>
        </w:rPr>
        <w:t>W.,</w:t>
      </w:r>
      <w:r>
        <w:rPr>
          <w:spacing w:val="-10"/>
          <w:sz w:val="18"/>
        </w:rPr>
        <w:t> </w:t>
      </w:r>
      <w:r>
        <w:rPr>
          <w:sz w:val="18"/>
        </w:rPr>
        <w:t>Fatima,</w:t>
      </w:r>
      <w:r>
        <w:rPr>
          <w:spacing w:val="-7"/>
          <w:sz w:val="18"/>
        </w:rPr>
        <w:t> </w:t>
      </w:r>
      <w:r>
        <w:rPr>
          <w:sz w:val="18"/>
        </w:rPr>
        <w:t>R.,</w:t>
      </w:r>
      <w:r>
        <w:rPr>
          <w:spacing w:val="-11"/>
          <w:sz w:val="18"/>
        </w:rPr>
        <w:t> </w:t>
      </w:r>
      <w:r>
        <w:rPr>
          <w:sz w:val="18"/>
        </w:rPr>
        <w:t>Ishaq,</w:t>
      </w:r>
      <w:r>
        <w:rPr>
          <w:spacing w:val="-10"/>
          <w:sz w:val="18"/>
        </w:rPr>
        <w:t> </w:t>
      </w:r>
      <w:r>
        <w:rPr>
          <w:sz w:val="18"/>
        </w:rPr>
        <w:t>M.</w:t>
      </w:r>
      <w:r>
        <w:rPr>
          <w:spacing w:val="-10"/>
          <w:sz w:val="18"/>
        </w:rPr>
        <w:t> </w:t>
      </w:r>
      <w:r>
        <w:rPr>
          <w:sz w:val="18"/>
        </w:rPr>
        <w:t>S.,</w:t>
      </w:r>
      <w:r>
        <w:rPr>
          <w:spacing w:val="-7"/>
          <w:sz w:val="18"/>
        </w:rPr>
        <w:t> </w:t>
      </w:r>
      <w:r>
        <w:rPr>
          <w:sz w:val="18"/>
        </w:rPr>
        <w:t>&amp;</w:t>
      </w:r>
      <w:r>
        <w:rPr>
          <w:spacing w:val="-11"/>
          <w:sz w:val="18"/>
        </w:rPr>
        <w:t> </w:t>
      </w:r>
      <w:r>
        <w:rPr>
          <w:sz w:val="18"/>
        </w:rPr>
        <w:t>Chambashi,</w:t>
      </w:r>
      <w:r>
        <w:rPr>
          <w:spacing w:val="-7"/>
          <w:sz w:val="18"/>
        </w:rPr>
        <w:t> </w:t>
      </w:r>
      <w:r>
        <w:rPr>
          <w:sz w:val="18"/>
        </w:rPr>
        <w:t>G.</w:t>
      </w:r>
      <w:r>
        <w:rPr>
          <w:spacing w:val="-10"/>
          <w:sz w:val="18"/>
        </w:rPr>
        <w:t> </w:t>
      </w:r>
      <w:r>
        <w:rPr>
          <w:sz w:val="18"/>
        </w:rPr>
        <w:t>(2024).</w:t>
      </w:r>
      <w:r>
        <w:rPr>
          <w:spacing w:val="-7"/>
          <w:sz w:val="18"/>
        </w:rPr>
        <w:t> </w:t>
      </w:r>
      <w:r>
        <w:rPr>
          <w:sz w:val="18"/>
        </w:rPr>
        <w:t>Computing</w:t>
      </w:r>
      <w:r>
        <w:rPr>
          <w:spacing w:val="-12"/>
          <w:sz w:val="18"/>
        </w:rPr>
        <w:t> </w:t>
      </w:r>
      <w:r>
        <w:rPr>
          <w:sz w:val="18"/>
        </w:rPr>
        <w:t>the</w:t>
      </w:r>
      <w:r>
        <w:rPr>
          <w:spacing w:val="-7"/>
          <w:sz w:val="18"/>
        </w:rPr>
        <w:t> </w:t>
      </w:r>
      <w:r>
        <w:rPr>
          <w:sz w:val="18"/>
        </w:rPr>
        <w:t>solution</w:t>
      </w:r>
      <w:r>
        <w:rPr>
          <w:spacing w:val="-12"/>
          <w:sz w:val="18"/>
        </w:rPr>
        <w:t> </w:t>
      </w:r>
      <w:r>
        <w:rPr>
          <w:sz w:val="18"/>
        </w:rPr>
        <w:t>trajectories,</w:t>
      </w:r>
      <w:r>
        <w:rPr>
          <w:spacing w:val="-10"/>
          <w:sz w:val="18"/>
        </w:rPr>
        <w:t> </w:t>
      </w:r>
      <w:r>
        <w:rPr>
          <w:sz w:val="18"/>
        </w:rPr>
        <w:t>steady state approximation, and sensitivity analysis in complex chemical reaction mechanism.</w:t>
      </w:r>
      <w:r>
        <w:rPr>
          <w:spacing w:val="-1"/>
          <w:sz w:val="18"/>
        </w:rPr>
        <w:t> </w:t>
      </w:r>
      <w:r>
        <w:rPr>
          <w:i/>
          <w:sz w:val="18"/>
        </w:rPr>
        <w:t>AIP Advances</w:t>
      </w:r>
      <w:r>
        <w:rPr>
          <w:sz w:val="18"/>
        </w:rPr>
        <w:t>,</w:t>
      </w:r>
      <w:r>
        <w:rPr>
          <w:spacing w:val="-1"/>
          <w:sz w:val="18"/>
        </w:rPr>
        <w:t> </w:t>
      </w:r>
      <w:r>
        <w:rPr>
          <w:i/>
          <w:sz w:val="18"/>
        </w:rPr>
        <w:t>14</w:t>
      </w:r>
      <w:r>
        <w:rPr>
          <w:sz w:val="18"/>
        </w:rPr>
        <w:t>(4). 045027. </w:t>
      </w:r>
      <w:hyperlink r:id="rId31">
        <w:r>
          <w:rPr>
            <w:sz w:val="18"/>
          </w:rPr>
          <w:t>https://doi.org/10.1063/5.0203877</w:t>
        </w:r>
      </w:hyperlink>
    </w:p>
    <w:p>
      <w:pPr>
        <w:spacing w:line="256" w:lineRule="auto" w:before="176"/>
        <w:ind w:left="553" w:right="62" w:hanging="356"/>
        <w:jc w:val="both"/>
        <w:rPr>
          <w:sz w:val="18"/>
        </w:rPr>
      </w:pPr>
      <w:r>
        <w:rPr>
          <w:sz w:val="18"/>
        </w:rPr>
        <w:t>Sysoev, A. (2023). Sensitivity analysis of mathematical models. </w:t>
      </w:r>
      <w:r>
        <w:rPr>
          <w:i/>
          <w:sz w:val="18"/>
        </w:rPr>
        <w:t>Computation (Basel), 11</w:t>
      </w:r>
      <w:r>
        <w:rPr>
          <w:sz w:val="18"/>
        </w:rPr>
        <w:t>(8), 159. </w:t>
      </w:r>
      <w:hyperlink r:id="rId32">
        <w:r>
          <w:rPr>
            <w:spacing w:val="-2"/>
            <w:sz w:val="18"/>
          </w:rPr>
          <w:t>https://doi.org/10.3390/computation11080159.</w:t>
        </w:r>
      </w:hyperlink>
    </w:p>
    <w:p>
      <w:pPr>
        <w:spacing w:line="256" w:lineRule="auto" w:before="176"/>
        <w:ind w:left="554" w:right="57" w:hanging="356"/>
        <w:jc w:val="both"/>
        <w:rPr>
          <w:sz w:val="18"/>
        </w:rPr>
      </w:pPr>
      <w:r>
        <w:rPr>
          <w:sz w:val="18"/>
        </w:rPr>
        <w:t>Temizel, B., &amp; Soylu, E. N. (2025). Modeling of diatom indices (Bdı, Tdı and Gdı) based on the physico-chemical structure</w:t>
      </w:r>
      <w:r>
        <w:rPr>
          <w:spacing w:val="-12"/>
          <w:sz w:val="18"/>
        </w:rPr>
        <w:t> </w:t>
      </w:r>
      <w:r>
        <w:rPr>
          <w:sz w:val="18"/>
        </w:rPr>
        <w:t>of</w:t>
      </w:r>
      <w:r>
        <w:rPr>
          <w:spacing w:val="-11"/>
          <w:sz w:val="18"/>
        </w:rPr>
        <w:t> </w:t>
      </w:r>
      <w:r>
        <w:rPr>
          <w:sz w:val="18"/>
        </w:rPr>
        <w:t>the</w:t>
      </w:r>
      <w:r>
        <w:rPr>
          <w:spacing w:val="-11"/>
          <w:sz w:val="18"/>
        </w:rPr>
        <w:t> </w:t>
      </w:r>
      <w:r>
        <w:rPr>
          <w:sz w:val="18"/>
        </w:rPr>
        <w:t>river</w:t>
      </w:r>
      <w:r>
        <w:rPr>
          <w:spacing w:val="-11"/>
          <w:sz w:val="18"/>
        </w:rPr>
        <w:t> </w:t>
      </w:r>
      <w:r>
        <w:rPr>
          <w:sz w:val="18"/>
        </w:rPr>
        <w:t>ecosystem</w:t>
      </w:r>
      <w:r>
        <w:rPr>
          <w:spacing w:val="-12"/>
          <w:sz w:val="18"/>
        </w:rPr>
        <w:t> </w:t>
      </w:r>
      <w:r>
        <w:rPr>
          <w:sz w:val="18"/>
        </w:rPr>
        <w:t>with</w:t>
      </w:r>
      <w:r>
        <w:rPr>
          <w:spacing w:val="-11"/>
          <w:sz w:val="18"/>
        </w:rPr>
        <w:t> </w:t>
      </w:r>
      <w:r>
        <w:rPr>
          <w:sz w:val="18"/>
        </w:rPr>
        <w:t>machine</w:t>
      </w:r>
      <w:r>
        <w:rPr>
          <w:spacing w:val="-11"/>
          <w:sz w:val="18"/>
        </w:rPr>
        <w:t> </w:t>
      </w:r>
      <w:r>
        <w:rPr>
          <w:sz w:val="18"/>
        </w:rPr>
        <w:t>learning</w:t>
      </w:r>
      <w:r>
        <w:rPr>
          <w:spacing w:val="-11"/>
          <w:sz w:val="18"/>
        </w:rPr>
        <w:t> </w:t>
      </w:r>
      <w:r>
        <w:rPr>
          <w:sz w:val="18"/>
        </w:rPr>
        <w:t>and</w:t>
      </w:r>
      <w:r>
        <w:rPr>
          <w:spacing w:val="-12"/>
          <w:sz w:val="18"/>
        </w:rPr>
        <w:t> </w:t>
      </w:r>
      <w:r>
        <w:rPr>
          <w:sz w:val="18"/>
        </w:rPr>
        <w:t>artificial</w:t>
      </w:r>
      <w:r>
        <w:rPr>
          <w:spacing w:val="-11"/>
          <w:sz w:val="18"/>
        </w:rPr>
        <w:t> </w:t>
      </w:r>
      <w:r>
        <w:rPr>
          <w:sz w:val="18"/>
        </w:rPr>
        <w:t>intelligence</w:t>
      </w:r>
      <w:r>
        <w:rPr>
          <w:spacing w:val="-11"/>
          <w:sz w:val="18"/>
        </w:rPr>
        <w:t> </w:t>
      </w:r>
      <w:r>
        <w:rPr>
          <w:sz w:val="18"/>
        </w:rPr>
        <w:t>methods;</w:t>
      </w:r>
      <w:r>
        <w:rPr>
          <w:spacing w:val="-11"/>
          <w:sz w:val="18"/>
        </w:rPr>
        <w:t> </w:t>
      </w:r>
      <w:r>
        <w:rPr>
          <w:sz w:val="18"/>
        </w:rPr>
        <w:t>A</w:t>
      </w:r>
      <w:r>
        <w:rPr>
          <w:spacing w:val="-12"/>
          <w:sz w:val="18"/>
        </w:rPr>
        <w:t> </w:t>
      </w:r>
      <w:r>
        <w:rPr>
          <w:sz w:val="18"/>
        </w:rPr>
        <w:t>comparative</w:t>
      </w:r>
      <w:r>
        <w:rPr>
          <w:spacing w:val="-11"/>
          <w:sz w:val="18"/>
        </w:rPr>
        <w:t> </w:t>
      </w:r>
      <w:r>
        <w:rPr>
          <w:sz w:val="18"/>
        </w:rPr>
        <w:t>example. </w:t>
      </w:r>
      <w:r>
        <w:rPr>
          <w:i/>
          <w:sz w:val="18"/>
        </w:rPr>
        <w:t>Environment, Development and Sustainability</w:t>
      </w:r>
      <w:r>
        <w:rPr>
          <w:sz w:val="18"/>
        </w:rPr>
        <w:t>, 1–29. </w:t>
      </w:r>
      <w:hyperlink r:id="rId33">
        <w:r>
          <w:rPr>
            <w:sz w:val="18"/>
          </w:rPr>
          <w:t>https://doi.org/10.1007/s10668-025-06186-4</w:t>
        </w:r>
      </w:hyperlink>
    </w:p>
    <w:p>
      <w:pPr>
        <w:spacing w:line="256" w:lineRule="auto" w:before="176"/>
        <w:ind w:left="554" w:right="60" w:hanging="356"/>
        <w:jc w:val="both"/>
        <w:rPr>
          <w:sz w:val="18"/>
        </w:rPr>
      </w:pPr>
      <w:r>
        <w:rPr>
          <w:sz w:val="18"/>
        </w:rPr>
        <w:t>Wang, Z., Zhang, Y., &amp; Li, D. (2020). Temperature Optimization Control of CSTR. </w:t>
      </w:r>
      <w:r>
        <w:rPr>
          <w:i/>
          <w:sz w:val="18"/>
        </w:rPr>
        <w:t>2020 IEEE International Conference on Information Technology, Big Data and Artificial Intelligence (ICIBA), 1</w:t>
      </w:r>
      <w:r>
        <w:rPr>
          <w:sz w:val="18"/>
        </w:rPr>
        <w:t>, 1040–1043. </w:t>
      </w:r>
      <w:hyperlink r:id="rId34">
        <w:r>
          <w:rPr>
            <w:spacing w:val="-2"/>
            <w:sz w:val="18"/>
          </w:rPr>
          <w:t>https://doi.org/10.1109/ICIBA50161.2020.9276793</w:t>
        </w:r>
      </w:hyperlink>
    </w:p>
    <w:p>
      <w:pPr>
        <w:spacing w:line="256" w:lineRule="auto" w:before="176"/>
        <w:ind w:left="554" w:right="54" w:hanging="356"/>
        <w:jc w:val="both"/>
        <w:rPr>
          <w:sz w:val="18"/>
        </w:rPr>
      </w:pPr>
      <w:r>
        <w:rPr>
          <w:sz w:val="18"/>
        </w:rPr>
        <w:t>Wijayarathne,</w:t>
      </w:r>
      <w:r>
        <w:rPr>
          <w:spacing w:val="-2"/>
          <w:sz w:val="18"/>
        </w:rPr>
        <w:t> </w:t>
      </w:r>
      <w:r>
        <w:rPr>
          <w:sz w:val="18"/>
        </w:rPr>
        <w:t>U.,</w:t>
      </w:r>
      <w:r>
        <w:rPr>
          <w:spacing w:val="-7"/>
          <w:sz w:val="18"/>
        </w:rPr>
        <w:t> </w:t>
      </w:r>
      <w:r>
        <w:rPr>
          <w:sz w:val="18"/>
        </w:rPr>
        <w:t>&amp;</w:t>
      </w:r>
      <w:r>
        <w:rPr>
          <w:spacing w:val="-7"/>
          <w:sz w:val="18"/>
        </w:rPr>
        <w:t> </w:t>
      </w:r>
      <w:r>
        <w:rPr>
          <w:sz w:val="18"/>
        </w:rPr>
        <w:t>Wasalathilake,</w:t>
      </w:r>
      <w:r>
        <w:rPr>
          <w:spacing w:val="-7"/>
          <w:sz w:val="18"/>
        </w:rPr>
        <w:t> </w:t>
      </w:r>
      <w:r>
        <w:rPr>
          <w:sz w:val="18"/>
        </w:rPr>
        <w:t>K.</w:t>
      </w:r>
      <w:r>
        <w:rPr>
          <w:spacing w:val="-7"/>
          <w:sz w:val="18"/>
        </w:rPr>
        <w:t> </w:t>
      </w:r>
      <w:r>
        <w:rPr>
          <w:sz w:val="18"/>
        </w:rPr>
        <w:t>(2014).</w:t>
      </w:r>
      <w:r>
        <w:rPr>
          <w:spacing w:val="-2"/>
          <w:sz w:val="18"/>
        </w:rPr>
        <w:t> </w:t>
      </w:r>
      <w:r>
        <w:rPr>
          <w:sz w:val="18"/>
        </w:rPr>
        <w:t>Aspen</w:t>
      </w:r>
      <w:r>
        <w:rPr>
          <w:spacing w:val="-9"/>
          <w:sz w:val="18"/>
        </w:rPr>
        <w:t> </w:t>
      </w:r>
      <w:r>
        <w:rPr>
          <w:sz w:val="18"/>
        </w:rPr>
        <w:t>Plus</w:t>
      </w:r>
      <w:r>
        <w:rPr>
          <w:spacing w:val="-8"/>
          <w:sz w:val="18"/>
        </w:rPr>
        <w:t> </w:t>
      </w:r>
      <w:r>
        <w:rPr>
          <w:sz w:val="18"/>
        </w:rPr>
        <w:t>simulation</w:t>
      </w:r>
      <w:r>
        <w:rPr>
          <w:spacing w:val="-4"/>
          <w:sz w:val="18"/>
        </w:rPr>
        <w:t> </w:t>
      </w:r>
      <w:r>
        <w:rPr>
          <w:sz w:val="18"/>
        </w:rPr>
        <w:t>of</w:t>
      </w:r>
      <w:r>
        <w:rPr>
          <w:spacing w:val="-7"/>
          <w:sz w:val="18"/>
        </w:rPr>
        <w:t> </w:t>
      </w:r>
      <w:r>
        <w:rPr>
          <w:sz w:val="18"/>
        </w:rPr>
        <w:t>saponification</w:t>
      </w:r>
      <w:r>
        <w:rPr>
          <w:spacing w:val="-9"/>
          <w:sz w:val="18"/>
        </w:rPr>
        <w:t> </w:t>
      </w:r>
      <w:r>
        <w:rPr>
          <w:sz w:val="18"/>
        </w:rPr>
        <w:t>of</w:t>
      </w:r>
      <w:r>
        <w:rPr>
          <w:spacing w:val="-7"/>
          <w:sz w:val="18"/>
        </w:rPr>
        <w:t> </w:t>
      </w:r>
      <w:r>
        <w:rPr>
          <w:sz w:val="18"/>
        </w:rPr>
        <w:t>ethyl</w:t>
      </w:r>
      <w:r>
        <w:rPr>
          <w:spacing w:val="-2"/>
          <w:sz w:val="18"/>
        </w:rPr>
        <w:t> </w:t>
      </w:r>
      <w:r>
        <w:rPr>
          <w:sz w:val="18"/>
        </w:rPr>
        <w:t>acetate</w:t>
      </w:r>
      <w:r>
        <w:rPr>
          <w:spacing w:val="-8"/>
          <w:sz w:val="18"/>
        </w:rPr>
        <w:t> </w:t>
      </w:r>
      <w:r>
        <w:rPr>
          <w:sz w:val="18"/>
        </w:rPr>
        <w:t>in</w:t>
      </w:r>
      <w:r>
        <w:rPr>
          <w:spacing w:val="-9"/>
          <w:sz w:val="18"/>
        </w:rPr>
        <w:t> </w:t>
      </w:r>
      <w:r>
        <w:rPr>
          <w:sz w:val="18"/>
        </w:rPr>
        <w:t>the</w:t>
      </w:r>
      <w:r>
        <w:rPr>
          <w:spacing w:val="-4"/>
          <w:sz w:val="18"/>
        </w:rPr>
        <w:t> </w:t>
      </w:r>
      <w:r>
        <w:rPr>
          <w:sz w:val="18"/>
        </w:rPr>
        <w:t>presence of sodium hydroxide in a plug flow</w:t>
      </w:r>
      <w:r>
        <w:rPr>
          <w:spacing w:val="-1"/>
          <w:sz w:val="18"/>
        </w:rPr>
        <w:t> </w:t>
      </w:r>
      <w:r>
        <w:rPr>
          <w:sz w:val="18"/>
        </w:rPr>
        <w:t>reactor.</w:t>
      </w:r>
      <w:r>
        <w:rPr>
          <w:spacing w:val="-1"/>
          <w:sz w:val="18"/>
        </w:rPr>
        <w:t> </w:t>
      </w:r>
      <w:r>
        <w:rPr>
          <w:i/>
          <w:sz w:val="18"/>
        </w:rPr>
        <w:t>Journal of Chemical Engineering &amp; Process Technology</w:t>
      </w:r>
      <w:r>
        <w:rPr>
          <w:sz w:val="18"/>
        </w:rPr>
        <w:t>,</w:t>
      </w:r>
      <w:r>
        <w:rPr>
          <w:spacing w:val="-1"/>
          <w:sz w:val="18"/>
        </w:rPr>
        <w:t> </w:t>
      </w:r>
      <w:r>
        <w:rPr>
          <w:i/>
          <w:sz w:val="18"/>
        </w:rPr>
        <w:t>5</w:t>
      </w:r>
      <w:r>
        <w:rPr>
          <w:sz w:val="18"/>
        </w:rPr>
        <w:t>(6), 205. </w:t>
      </w:r>
      <w:hyperlink r:id="rId35">
        <w:r>
          <w:rPr>
            <w:spacing w:val="-2"/>
            <w:sz w:val="18"/>
          </w:rPr>
          <w:t>http://dx.doi.org/10.4172/2157-7048.1000205</w:t>
        </w:r>
      </w:hyperlink>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2"/>
        <w:rPr>
          <w:sz w:val="18"/>
        </w:rPr>
      </w:pPr>
    </w:p>
    <w:p>
      <w:pPr>
        <w:spacing w:line="242" w:lineRule="auto" w:before="1"/>
        <w:ind w:left="2180" w:right="170" w:hanging="168"/>
        <w:jc w:val="both"/>
        <w:rPr>
          <w:sz w:val="18"/>
        </w:rPr>
      </w:pPr>
      <w:r>
        <w:rPr>
          <w:sz w:val="18"/>
        </w:rPr>
        <w:drawing>
          <wp:anchor distT="0" distB="0" distL="0" distR="0" allowOverlap="1" layoutInCell="1" locked="0" behindDoc="0" simplePos="0" relativeHeight="15741440">
            <wp:simplePos x="0" y="0"/>
            <wp:positionH relativeFrom="page">
              <wp:posOffset>846456</wp:posOffset>
            </wp:positionH>
            <wp:positionV relativeFrom="paragraph">
              <wp:posOffset>-4304</wp:posOffset>
            </wp:positionV>
            <wp:extent cx="923923" cy="330196"/>
            <wp:effectExtent l="0" t="0" r="0" b="0"/>
            <wp:wrapNone/>
            <wp:docPr id="58" name="Image 58" descr="A picture containing text, clipart  Description automatically generated "/>
            <wp:cNvGraphicFramePr>
              <a:graphicFrameLocks/>
            </wp:cNvGraphicFramePr>
            <a:graphic>
              <a:graphicData uri="http://schemas.openxmlformats.org/drawingml/2006/picture">
                <pic:pic>
                  <pic:nvPicPr>
                    <pic:cNvPr id="58" name="Image 58" descr="A picture containing text, clipart  Description automatically generated "/>
                    <pic:cNvPicPr/>
                  </pic:nvPicPr>
                  <pic:blipFill>
                    <a:blip r:embed="rId36" cstate="print"/>
                    <a:stretch>
                      <a:fillRect/>
                    </a:stretch>
                  </pic:blipFill>
                  <pic:spPr>
                    <a:xfrm>
                      <a:off x="0" y="0"/>
                      <a:ext cx="923923" cy="330196"/>
                    </a:xfrm>
                    <a:prstGeom prst="rect">
                      <a:avLst/>
                    </a:prstGeom>
                  </pic:spPr>
                </pic:pic>
              </a:graphicData>
            </a:graphic>
          </wp:anchor>
        </w:drawing>
      </w:r>
      <w:r>
        <w:rPr>
          <w:sz w:val="18"/>
        </w:rPr>
        <w:t>© 2025 by the</w:t>
      </w:r>
      <w:r>
        <w:rPr>
          <w:spacing w:val="-3"/>
          <w:sz w:val="18"/>
        </w:rPr>
        <w:t> </w:t>
      </w:r>
      <w:r>
        <w:rPr>
          <w:sz w:val="18"/>
        </w:rPr>
        <w:t>authors. Submitted</w:t>
      </w:r>
      <w:r>
        <w:rPr>
          <w:spacing w:val="-3"/>
          <w:sz w:val="18"/>
        </w:rPr>
        <w:t> </w:t>
      </w:r>
      <w:r>
        <w:rPr>
          <w:sz w:val="18"/>
        </w:rPr>
        <w:t>for</w:t>
      </w:r>
      <w:r>
        <w:rPr>
          <w:spacing w:val="-2"/>
          <w:sz w:val="18"/>
        </w:rPr>
        <w:t> </w:t>
      </w:r>
      <w:r>
        <w:rPr>
          <w:sz w:val="18"/>
        </w:rPr>
        <w:t>possible open</w:t>
      </w:r>
      <w:r>
        <w:rPr>
          <w:spacing w:val="-3"/>
          <w:sz w:val="18"/>
        </w:rPr>
        <w:t> </w:t>
      </w:r>
      <w:r>
        <w:rPr>
          <w:sz w:val="18"/>
        </w:rPr>
        <w:t>access publication</w:t>
      </w:r>
      <w:r>
        <w:rPr>
          <w:spacing w:val="-3"/>
          <w:sz w:val="18"/>
        </w:rPr>
        <w:t> </w:t>
      </w:r>
      <w:r>
        <w:rPr>
          <w:sz w:val="18"/>
        </w:rPr>
        <w:t>under</w:t>
      </w:r>
      <w:r>
        <w:rPr>
          <w:spacing w:val="-2"/>
          <w:sz w:val="18"/>
        </w:rPr>
        <w:t> </w:t>
      </w:r>
      <w:r>
        <w:rPr>
          <w:sz w:val="18"/>
        </w:rPr>
        <w:t>the</w:t>
      </w:r>
      <w:r>
        <w:rPr>
          <w:spacing w:val="-3"/>
          <w:sz w:val="18"/>
        </w:rPr>
        <w:t> </w:t>
      </w:r>
      <w:r>
        <w:rPr>
          <w:sz w:val="18"/>
        </w:rPr>
        <w:t>terms</w:t>
      </w:r>
      <w:r>
        <w:rPr>
          <w:spacing w:val="-2"/>
          <w:sz w:val="18"/>
        </w:rPr>
        <w:t> </w:t>
      </w:r>
      <w:r>
        <w:rPr>
          <w:sz w:val="18"/>
        </w:rPr>
        <w:t>and conditions of the Creative Commons Attribution (CC BY) license </w:t>
      </w:r>
      <w:r>
        <w:rPr>
          <w:spacing w:val="-2"/>
          <w:sz w:val="18"/>
        </w:rPr>
        <w:t>(</w:t>
      </w:r>
      <w:hyperlink r:id="rId37">
        <w:r>
          <w:rPr>
            <w:spacing w:val="-2"/>
            <w:sz w:val="18"/>
          </w:rPr>
          <w:t>http://creativecommons.org/licenses/by/4.0/</w:t>
        </w:r>
      </w:hyperlink>
      <w:r>
        <w:rPr>
          <w:spacing w:val="-2"/>
          <w:sz w:val="18"/>
        </w:rPr>
        <w:t>).</w:t>
      </w:r>
    </w:p>
    <w:p>
      <w:pPr>
        <w:spacing w:after="0" w:line="242" w:lineRule="auto"/>
        <w:jc w:val="both"/>
        <w:rPr>
          <w:sz w:val="18"/>
        </w:rPr>
        <w:sectPr>
          <w:pgSz w:w="10890" w:h="14860"/>
          <w:pgMar w:header="1010" w:footer="1649" w:top="1320" w:bottom="1840" w:left="992" w:right="1133"/>
        </w:sectPr>
      </w:pPr>
    </w:p>
    <w:p>
      <w:pPr>
        <w:spacing w:before="113"/>
        <w:ind w:left="198" w:right="0" w:firstLine="0"/>
        <w:jc w:val="left"/>
        <w:rPr>
          <w:b/>
          <w:sz w:val="18"/>
        </w:rPr>
      </w:pPr>
      <w:r>
        <w:rPr>
          <w:b/>
          <w:spacing w:val="-2"/>
          <w:sz w:val="18"/>
        </w:rPr>
        <w:t>SUPPLYMENTARY</w:t>
      </w:r>
      <w:r>
        <w:rPr>
          <w:b/>
          <w:spacing w:val="12"/>
          <w:sz w:val="18"/>
        </w:rPr>
        <w:t> </w:t>
      </w:r>
      <w:r>
        <w:rPr>
          <w:b/>
          <w:spacing w:val="-2"/>
          <w:sz w:val="18"/>
        </w:rPr>
        <w:t>MATERIALS</w:t>
      </w:r>
    </w:p>
    <w:p>
      <w:pPr>
        <w:pStyle w:val="BodyText"/>
        <w:spacing w:before="19"/>
        <w:rPr>
          <w:b/>
          <w:sz w:val="18"/>
        </w:rPr>
      </w:pPr>
    </w:p>
    <w:p>
      <w:pPr>
        <w:pStyle w:val="ListParagraph"/>
        <w:numPr>
          <w:ilvl w:val="0"/>
          <w:numId w:val="2"/>
        </w:numPr>
        <w:tabs>
          <w:tab w:pos="918" w:val="left" w:leader="none"/>
        </w:tabs>
        <w:spacing w:line="240" w:lineRule="auto" w:before="0" w:after="0"/>
        <w:ind w:left="918" w:right="0" w:hanging="720"/>
        <w:jc w:val="left"/>
        <w:rPr>
          <w:sz w:val="20"/>
        </w:rPr>
      </w:pPr>
      <w:r>
        <w:rPr>
          <w:sz w:val="20"/>
        </w:rPr>
        <w:t>Data</w:t>
      </w:r>
      <w:r>
        <w:rPr>
          <w:spacing w:val="-7"/>
          <w:sz w:val="20"/>
        </w:rPr>
        <w:t> </w:t>
      </w:r>
      <w:r>
        <w:rPr>
          <w:sz w:val="20"/>
        </w:rPr>
        <w:t>conversion</w:t>
      </w:r>
      <w:r>
        <w:rPr>
          <w:spacing w:val="-8"/>
          <w:sz w:val="20"/>
        </w:rPr>
        <w:t> </w:t>
      </w:r>
      <w:r>
        <w:rPr>
          <w:sz w:val="20"/>
        </w:rPr>
        <w:t>comparison</w:t>
      </w:r>
      <w:r>
        <w:rPr>
          <w:spacing w:val="-7"/>
          <w:sz w:val="20"/>
        </w:rPr>
        <w:t> </w:t>
      </w:r>
      <w:r>
        <w:rPr>
          <w:sz w:val="20"/>
        </w:rPr>
        <w:t>and</w:t>
      </w:r>
      <w:r>
        <w:rPr>
          <w:spacing w:val="-8"/>
          <w:sz w:val="20"/>
        </w:rPr>
        <w:t> </w:t>
      </w:r>
      <w:r>
        <w:rPr>
          <w:sz w:val="20"/>
        </w:rPr>
        <w:t>model</w:t>
      </w:r>
      <w:r>
        <w:rPr>
          <w:spacing w:val="-7"/>
          <w:sz w:val="20"/>
        </w:rPr>
        <w:t> </w:t>
      </w:r>
      <w:r>
        <w:rPr>
          <w:sz w:val="20"/>
        </w:rPr>
        <w:t>validation</w:t>
      </w:r>
      <w:r>
        <w:rPr>
          <w:spacing w:val="-7"/>
          <w:sz w:val="20"/>
        </w:rPr>
        <w:t> </w:t>
      </w:r>
      <w:r>
        <w:rPr>
          <w:spacing w:val="-2"/>
          <w:sz w:val="20"/>
        </w:rPr>
        <w:t>metrics:</w:t>
      </w:r>
    </w:p>
    <w:p>
      <w:pPr>
        <w:pStyle w:val="BodyText"/>
        <w:spacing w:before="19"/>
      </w:pPr>
    </w:p>
    <w:p>
      <w:pPr>
        <w:pStyle w:val="ListParagraph"/>
        <w:numPr>
          <w:ilvl w:val="1"/>
          <w:numId w:val="2"/>
        </w:numPr>
        <w:tabs>
          <w:tab w:pos="918" w:val="left" w:leader="none"/>
        </w:tabs>
        <w:spacing w:line="240" w:lineRule="auto" w:before="0" w:after="0"/>
        <w:ind w:left="918" w:right="0" w:hanging="720"/>
        <w:jc w:val="left"/>
        <w:rPr>
          <w:sz w:val="16"/>
        </w:rPr>
      </w:pPr>
      <w:r>
        <w:rPr>
          <w:sz w:val="16"/>
        </w:rPr>
        <w:t>Model</w:t>
      </w:r>
      <w:r>
        <w:rPr>
          <w:spacing w:val="-5"/>
          <w:sz w:val="16"/>
        </w:rPr>
        <w:t> </w:t>
      </w:r>
      <w:r>
        <w:rPr>
          <w:sz w:val="16"/>
        </w:rPr>
        <w:t>validation</w:t>
      </w:r>
      <w:r>
        <w:rPr>
          <w:spacing w:val="-2"/>
          <w:sz w:val="16"/>
        </w:rPr>
        <w:t> </w:t>
      </w:r>
      <w:r>
        <w:rPr>
          <w:sz w:val="16"/>
        </w:rPr>
        <w:t>metrics</w:t>
      </w:r>
      <w:r>
        <w:rPr>
          <w:spacing w:val="-2"/>
          <w:sz w:val="16"/>
        </w:rPr>
        <w:t> </w:t>
      </w:r>
      <w:r>
        <w:rPr>
          <w:sz w:val="16"/>
        </w:rPr>
        <w:t>for</w:t>
      </w:r>
      <w:r>
        <w:rPr>
          <w:spacing w:val="-4"/>
          <w:sz w:val="16"/>
        </w:rPr>
        <w:t> </w:t>
      </w:r>
      <w:r>
        <w:rPr>
          <w:sz w:val="16"/>
        </w:rPr>
        <w:t>CSTR</w:t>
      </w:r>
      <w:r>
        <w:rPr>
          <w:spacing w:val="2"/>
          <w:sz w:val="16"/>
        </w:rPr>
        <w:t> </w:t>
      </w:r>
      <w:r>
        <w:rPr>
          <w:sz w:val="16"/>
        </w:rPr>
        <w:t>Saponification</w:t>
      </w:r>
      <w:r>
        <w:rPr>
          <w:spacing w:val="-2"/>
          <w:sz w:val="16"/>
        </w:rPr>
        <w:t> </w:t>
      </w:r>
      <w:r>
        <w:rPr>
          <w:sz w:val="16"/>
        </w:rPr>
        <w:t>kinetic</w:t>
      </w:r>
      <w:r>
        <w:rPr>
          <w:spacing w:val="-2"/>
          <w:sz w:val="16"/>
        </w:rPr>
        <w:t> </w:t>
      </w:r>
      <w:r>
        <w:rPr>
          <w:sz w:val="16"/>
        </w:rPr>
        <w:t>model</w:t>
      </w:r>
      <w:r>
        <w:rPr>
          <w:spacing w:val="-4"/>
          <w:sz w:val="16"/>
        </w:rPr>
        <w:t> </w:t>
      </w:r>
      <w:r>
        <w:rPr>
          <w:sz w:val="16"/>
        </w:rPr>
        <w:t>at</w:t>
      </w:r>
      <w:r>
        <w:rPr>
          <w:spacing w:val="-5"/>
          <w:sz w:val="16"/>
        </w:rPr>
        <w:t> </w:t>
      </w:r>
      <w:r>
        <w:rPr>
          <w:sz w:val="16"/>
        </w:rPr>
        <w:t>different</w:t>
      </w:r>
      <w:r>
        <w:rPr>
          <w:spacing w:val="-4"/>
          <w:sz w:val="16"/>
        </w:rPr>
        <w:t> </w:t>
      </w:r>
      <w:r>
        <w:rPr>
          <w:spacing w:val="-2"/>
          <w:sz w:val="16"/>
        </w:rPr>
        <w:t>temperatures</w:t>
      </w:r>
    </w:p>
    <w:p>
      <w:pPr>
        <w:pStyle w:val="BodyText"/>
        <w:spacing w:before="8" w:after="1"/>
        <w:rPr>
          <w:sz w:val="10"/>
        </w:rPr>
      </w:pPr>
    </w:p>
    <w:tbl>
      <w:tblPr>
        <w:tblW w:w="0" w:type="auto"/>
        <w:jc w:val="left"/>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897"/>
        <w:gridCol w:w="983"/>
        <w:gridCol w:w="1632"/>
        <w:gridCol w:w="1656"/>
      </w:tblGrid>
      <w:tr>
        <w:trPr>
          <w:trHeight w:val="254" w:hRule="atLeast"/>
        </w:trPr>
        <w:tc>
          <w:tcPr>
            <w:tcW w:w="1536" w:type="dxa"/>
            <w:tcBorders>
              <w:top w:val="single" w:sz="4" w:space="0" w:color="000000"/>
              <w:bottom w:val="single" w:sz="4" w:space="0" w:color="000000"/>
            </w:tcBorders>
          </w:tcPr>
          <w:p>
            <w:pPr>
              <w:pStyle w:val="TableParagraph"/>
              <w:spacing w:before="37"/>
              <w:ind w:left="117"/>
              <w:jc w:val="left"/>
              <w:rPr>
                <w:b/>
                <w:sz w:val="16"/>
              </w:rPr>
            </w:pPr>
            <w:r>
              <w:rPr>
                <w:b/>
                <w:sz w:val="16"/>
              </w:rPr>
              <w:t>Temperature</w:t>
            </w:r>
            <w:r>
              <w:rPr>
                <w:b/>
                <w:spacing w:val="-7"/>
                <w:sz w:val="16"/>
              </w:rPr>
              <w:t> </w:t>
            </w:r>
            <w:r>
              <w:rPr>
                <w:b/>
                <w:spacing w:val="-4"/>
                <w:sz w:val="16"/>
              </w:rPr>
              <w:t>(°C)</w:t>
            </w:r>
          </w:p>
        </w:tc>
        <w:tc>
          <w:tcPr>
            <w:tcW w:w="897" w:type="dxa"/>
            <w:tcBorders>
              <w:top w:val="single" w:sz="4" w:space="0" w:color="000000"/>
              <w:bottom w:val="single" w:sz="4" w:space="0" w:color="000000"/>
            </w:tcBorders>
          </w:tcPr>
          <w:p>
            <w:pPr>
              <w:pStyle w:val="TableParagraph"/>
              <w:spacing w:before="37"/>
              <w:ind w:left="8" w:right="69"/>
              <w:rPr>
                <w:b/>
                <w:sz w:val="16"/>
              </w:rPr>
            </w:pPr>
            <w:r>
              <w:rPr>
                <w:b/>
                <w:spacing w:val="-4"/>
                <w:sz w:val="16"/>
              </w:rPr>
              <w:t>RMSE</w:t>
            </w:r>
          </w:p>
        </w:tc>
        <w:tc>
          <w:tcPr>
            <w:tcW w:w="983" w:type="dxa"/>
            <w:tcBorders>
              <w:top w:val="single" w:sz="4" w:space="0" w:color="000000"/>
              <w:bottom w:val="single" w:sz="4" w:space="0" w:color="000000"/>
            </w:tcBorders>
          </w:tcPr>
          <w:p>
            <w:pPr>
              <w:pStyle w:val="TableParagraph"/>
              <w:spacing w:before="37"/>
              <w:ind w:left="252"/>
              <w:jc w:val="left"/>
              <w:rPr>
                <w:b/>
                <w:sz w:val="16"/>
              </w:rPr>
            </w:pPr>
            <w:r>
              <w:rPr>
                <w:b/>
                <w:spacing w:val="-5"/>
                <w:sz w:val="16"/>
              </w:rPr>
              <w:t>R²</w:t>
            </w:r>
          </w:p>
        </w:tc>
        <w:tc>
          <w:tcPr>
            <w:tcW w:w="1632" w:type="dxa"/>
            <w:tcBorders>
              <w:top w:val="single" w:sz="4" w:space="0" w:color="000000"/>
              <w:bottom w:val="single" w:sz="4" w:space="0" w:color="000000"/>
            </w:tcBorders>
          </w:tcPr>
          <w:p>
            <w:pPr>
              <w:pStyle w:val="TableParagraph"/>
              <w:spacing w:before="37"/>
              <w:ind w:left="282"/>
              <w:jc w:val="left"/>
              <w:rPr>
                <w:b/>
                <w:sz w:val="16"/>
              </w:rPr>
            </w:pPr>
            <w:r>
              <w:rPr>
                <w:b/>
                <w:sz w:val="16"/>
              </w:rPr>
              <w:t>Error</w:t>
            </w:r>
            <w:r>
              <w:rPr>
                <w:b/>
                <w:spacing w:val="-2"/>
                <w:sz w:val="16"/>
              </w:rPr>
              <w:t> </w:t>
            </w:r>
            <w:r>
              <w:rPr>
                <w:b/>
                <w:sz w:val="16"/>
              </w:rPr>
              <w:t>Range</w:t>
            </w:r>
            <w:r>
              <w:rPr>
                <w:b/>
                <w:spacing w:val="-2"/>
                <w:sz w:val="16"/>
              </w:rPr>
              <w:t> </w:t>
            </w:r>
            <w:r>
              <w:rPr>
                <w:b/>
                <w:spacing w:val="-5"/>
                <w:sz w:val="16"/>
              </w:rPr>
              <w:t>(%)</w:t>
            </w:r>
          </w:p>
        </w:tc>
        <w:tc>
          <w:tcPr>
            <w:tcW w:w="1656" w:type="dxa"/>
            <w:tcBorders>
              <w:top w:val="single" w:sz="4" w:space="0" w:color="000000"/>
              <w:bottom w:val="single" w:sz="4" w:space="0" w:color="000000"/>
            </w:tcBorders>
          </w:tcPr>
          <w:p>
            <w:pPr>
              <w:pStyle w:val="TableParagraph"/>
              <w:spacing w:before="37"/>
              <w:ind w:left="167"/>
              <w:jc w:val="left"/>
              <w:rPr>
                <w:b/>
                <w:sz w:val="16"/>
              </w:rPr>
            </w:pPr>
            <w:r>
              <w:rPr>
                <w:b/>
                <w:sz w:val="16"/>
              </w:rPr>
              <w:t>Max</w:t>
            </w:r>
            <w:r>
              <w:rPr>
                <w:b/>
                <w:spacing w:val="-2"/>
                <w:sz w:val="16"/>
              </w:rPr>
              <w:t> </w:t>
            </w:r>
            <w:r>
              <w:rPr>
                <w:b/>
                <w:sz w:val="16"/>
              </w:rPr>
              <w:t>Error</w:t>
            </w:r>
            <w:r>
              <w:rPr>
                <w:b/>
                <w:spacing w:val="-1"/>
                <w:sz w:val="16"/>
              </w:rPr>
              <w:t> </w:t>
            </w:r>
            <w:r>
              <w:rPr>
                <w:b/>
                <w:spacing w:val="-5"/>
                <w:sz w:val="16"/>
              </w:rPr>
              <w:t>(%)</w:t>
            </w:r>
          </w:p>
        </w:tc>
      </w:tr>
      <w:tr>
        <w:trPr>
          <w:trHeight w:val="260" w:hRule="atLeast"/>
        </w:trPr>
        <w:tc>
          <w:tcPr>
            <w:tcW w:w="1536" w:type="dxa"/>
            <w:tcBorders>
              <w:top w:val="single" w:sz="4" w:space="0" w:color="000000"/>
            </w:tcBorders>
          </w:tcPr>
          <w:p>
            <w:pPr>
              <w:pStyle w:val="TableParagraph"/>
              <w:spacing w:before="37"/>
              <w:ind w:left="117"/>
              <w:jc w:val="left"/>
              <w:rPr>
                <w:sz w:val="16"/>
              </w:rPr>
            </w:pPr>
            <w:r>
              <w:rPr>
                <w:spacing w:val="-5"/>
                <w:sz w:val="16"/>
              </w:rPr>
              <w:t>30</w:t>
            </w:r>
          </w:p>
        </w:tc>
        <w:tc>
          <w:tcPr>
            <w:tcW w:w="897" w:type="dxa"/>
            <w:tcBorders>
              <w:top w:val="single" w:sz="4" w:space="0" w:color="000000"/>
            </w:tcBorders>
          </w:tcPr>
          <w:p>
            <w:pPr>
              <w:pStyle w:val="TableParagraph"/>
              <w:spacing w:before="37"/>
              <w:ind w:left="0" w:right="69"/>
              <w:rPr>
                <w:sz w:val="16"/>
              </w:rPr>
            </w:pPr>
            <w:r>
              <w:rPr>
                <w:spacing w:val="-2"/>
                <w:sz w:val="16"/>
              </w:rPr>
              <w:t>0.0012</w:t>
            </w:r>
          </w:p>
        </w:tc>
        <w:tc>
          <w:tcPr>
            <w:tcW w:w="983" w:type="dxa"/>
            <w:tcBorders>
              <w:top w:val="single" w:sz="4" w:space="0" w:color="000000"/>
            </w:tcBorders>
          </w:tcPr>
          <w:p>
            <w:pPr>
              <w:pStyle w:val="TableParagraph"/>
              <w:spacing w:before="37"/>
              <w:ind w:left="252"/>
              <w:jc w:val="left"/>
              <w:rPr>
                <w:sz w:val="16"/>
              </w:rPr>
            </w:pPr>
            <w:r>
              <w:rPr>
                <w:spacing w:val="-2"/>
                <w:sz w:val="16"/>
              </w:rPr>
              <w:t>0.9998</w:t>
            </w:r>
          </w:p>
        </w:tc>
        <w:tc>
          <w:tcPr>
            <w:tcW w:w="1632" w:type="dxa"/>
            <w:tcBorders>
              <w:top w:val="single" w:sz="4" w:space="0" w:color="000000"/>
            </w:tcBorders>
          </w:tcPr>
          <w:p>
            <w:pPr>
              <w:pStyle w:val="TableParagraph"/>
              <w:spacing w:before="37"/>
              <w:ind w:left="282"/>
              <w:jc w:val="left"/>
              <w:rPr>
                <w:sz w:val="16"/>
              </w:rPr>
            </w:pPr>
            <w:r>
              <w:rPr>
                <w:sz w:val="16"/>
              </w:rPr>
              <w:t>0.05–</w:t>
            </w:r>
            <w:r>
              <w:rPr>
                <w:spacing w:val="-4"/>
                <w:sz w:val="16"/>
              </w:rPr>
              <w:t>0.53</w:t>
            </w:r>
          </w:p>
        </w:tc>
        <w:tc>
          <w:tcPr>
            <w:tcW w:w="1656" w:type="dxa"/>
            <w:tcBorders>
              <w:top w:val="single" w:sz="4" w:space="0" w:color="000000"/>
            </w:tcBorders>
          </w:tcPr>
          <w:p>
            <w:pPr>
              <w:pStyle w:val="TableParagraph"/>
              <w:spacing w:before="37"/>
              <w:ind w:left="167"/>
              <w:jc w:val="left"/>
              <w:rPr>
                <w:sz w:val="16"/>
              </w:rPr>
            </w:pPr>
            <w:r>
              <w:rPr>
                <w:spacing w:val="-4"/>
                <w:sz w:val="16"/>
              </w:rPr>
              <w:t>0.53</w:t>
            </w:r>
          </w:p>
        </w:tc>
      </w:tr>
      <w:tr>
        <w:trPr>
          <w:trHeight w:val="254" w:hRule="atLeast"/>
        </w:trPr>
        <w:tc>
          <w:tcPr>
            <w:tcW w:w="1536" w:type="dxa"/>
          </w:tcPr>
          <w:p>
            <w:pPr>
              <w:pStyle w:val="TableParagraph"/>
              <w:spacing w:before="31"/>
              <w:ind w:left="117"/>
              <w:jc w:val="left"/>
              <w:rPr>
                <w:sz w:val="16"/>
              </w:rPr>
            </w:pPr>
            <w:r>
              <w:rPr>
                <w:spacing w:val="-5"/>
                <w:sz w:val="16"/>
              </w:rPr>
              <w:t>40</w:t>
            </w:r>
          </w:p>
        </w:tc>
        <w:tc>
          <w:tcPr>
            <w:tcW w:w="897" w:type="dxa"/>
          </w:tcPr>
          <w:p>
            <w:pPr>
              <w:pStyle w:val="TableParagraph"/>
              <w:spacing w:before="31"/>
              <w:ind w:left="0" w:right="69"/>
              <w:rPr>
                <w:sz w:val="16"/>
              </w:rPr>
            </w:pPr>
            <w:r>
              <w:rPr>
                <w:spacing w:val="-2"/>
                <w:sz w:val="16"/>
              </w:rPr>
              <w:t>0.0007</w:t>
            </w:r>
          </w:p>
        </w:tc>
        <w:tc>
          <w:tcPr>
            <w:tcW w:w="983" w:type="dxa"/>
          </w:tcPr>
          <w:p>
            <w:pPr>
              <w:pStyle w:val="TableParagraph"/>
              <w:spacing w:before="31"/>
              <w:ind w:left="252"/>
              <w:jc w:val="left"/>
              <w:rPr>
                <w:sz w:val="16"/>
              </w:rPr>
            </w:pPr>
            <w:r>
              <w:rPr>
                <w:spacing w:val="-2"/>
                <w:sz w:val="16"/>
              </w:rPr>
              <w:t>0.9999</w:t>
            </w:r>
          </w:p>
        </w:tc>
        <w:tc>
          <w:tcPr>
            <w:tcW w:w="1632" w:type="dxa"/>
          </w:tcPr>
          <w:p>
            <w:pPr>
              <w:pStyle w:val="TableParagraph"/>
              <w:spacing w:before="31"/>
              <w:ind w:left="282"/>
              <w:jc w:val="left"/>
              <w:rPr>
                <w:sz w:val="16"/>
              </w:rPr>
            </w:pPr>
            <w:r>
              <w:rPr>
                <w:sz w:val="16"/>
              </w:rPr>
              <w:t>0.03–</w:t>
            </w:r>
            <w:r>
              <w:rPr>
                <w:spacing w:val="-4"/>
                <w:sz w:val="16"/>
              </w:rPr>
              <w:t>0.29</w:t>
            </w:r>
          </w:p>
        </w:tc>
        <w:tc>
          <w:tcPr>
            <w:tcW w:w="1656" w:type="dxa"/>
          </w:tcPr>
          <w:p>
            <w:pPr>
              <w:pStyle w:val="TableParagraph"/>
              <w:spacing w:before="31"/>
              <w:ind w:left="167"/>
              <w:jc w:val="left"/>
              <w:rPr>
                <w:sz w:val="16"/>
              </w:rPr>
            </w:pPr>
            <w:r>
              <w:rPr>
                <w:spacing w:val="-4"/>
                <w:sz w:val="16"/>
              </w:rPr>
              <w:t>0.29</w:t>
            </w:r>
          </w:p>
        </w:tc>
      </w:tr>
      <w:tr>
        <w:trPr>
          <w:trHeight w:val="254" w:hRule="atLeast"/>
        </w:trPr>
        <w:tc>
          <w:tcPr>
            <w:tcW w:w="1536" w:type="dxa"/>
          </w:tcPr>
          <w:p>
            <w:pPr>
              <w:pStyle w:val="TableParagraph"/>
              <w:spacing w:before="31"/>
              <w:ind w:left="117"/>
              <w:jc w:val="left"/>
              <w:rPr>
                <w:sz w:val="16"/>
              </w:rPr>
            </w:pPr>
            <w:r>
              <w:rPr>
                <w:spacing w:val="-5"/>
                <w:sz w:val="16"/>
              </w:rPr>
              <w:t>50</w:t>
            </w:r>
          </w:p>
        </w:tc>
        <w:tc>
          <w:tcPr>
            <w:tcW w:w="897" w:type="dxa"/>
          </w:tcPr>
          <w:p>
            <w:pPr>
              <w:pStyle w:val="TableParagraph"/>
              <w:spacing w:before="31"/>
              <w:ind w:left="1" w:right="69"/>
              <w:rPr>
                <w:sz w:val="16"/>
              </w:rPr>
            </w:pPr>
            <w:r>
              <w:rPr>
                <w:spacing w:val="-2"/>
                <w:sz w:val="16"/>
              </w:rPr>
              <w:t>0.0013</w:t>
            </w:r>
          </w:p>
        </w:tc>
        <w:tc>
          <w:tcPr>
            <w:tcW w:w="983" w:type="dxa"/>
          </w:tcPr>
          <w:p>
            <w:pPr>
              <w:pStyle w:val="TableParagraph"/>
              <w:spacing w:before="31"/>
              <w:ind w:left="253"/>
              <w:jc w:val="left"/>
              <w:rPr>
                <w:sz w:val="16"/>
              </w:rPr>
            </w:pPr>
            <w:r>
              <w:rPr>
                <w:spacing w:val="-2"/>
                <w:sz w:val="16"/>
              </w:rPr>
              <w:t>0.9997</w:t>
            </w:r>
          </w:p>
        </w:tc>
        <w:tc>
          <w:tcPr>
            <w:tcW w:w="1632" w:type="dxa"/>
          </w:tcPr>
          <w:p>
            <w:pPr>
              <w:pStyle w:val="TableParagraph"/>
              <w:spacing w:before="31"/>
              <w:ind w:left="282"/>
              <w:jc w:val="left"/>
              <w:rPr>
                <w:sz w:val="16"/>
              </w:rPr>
            </w:pPr>
            <w:r>
              <w:rPr>
                <w:sz w:val="16"/>
              </w:rPr>
              <w:t>0.06–</w:t>
            </w:r>
            <w:r>
              <w:rPr>
                <w:spacing w:val="-4"/>
                <w:sz w:val="16"/>
              </w:rPr>
              <w:t>0.59</w:t>
            </w:r>
          </w:p>
        </w:tc>
        <w:tc>
          <w:tcPr>
            <w:tcW w:w="1656" w:type="dxa"/>
          </w:tcPr>
          <w:p>
            <w:pPr>
              <w:pStyle w:val="TableParagraph"/>
              <w:spacing w:before="31"/>
              <w:ind w:left="167"/>
              <w:jc w:val="left"/>
              <w:rPr>
                <w:sz w:val="16"/>
              </w:rPr>
            </w:pPr>
            <w:r>
              <w:rPr>
                <w:spacing w:val="-4"/>
                <w:sz w:val="16"/>
              </w:rPr>
              <w:t>0.59</w:t>
            </w:r>
          </w:p>
        </w:tc>
      </w:tr>
      <w:tr>
        <w:trPr>
          <w:trHeight w:val="252" w:hRule="atLeast"/>
        </w:trPr>
        <w:tc>
          <w:tcPr>
            <w:tcW w:w="1536" w:type="dxa"/>
            <w:tcBorders>
              <w:bottom w:val="single" w:sz="4" w:space="0" w:color="000000"/>
            </w:tcBorders>
          </w:tcPr>
          <w:p>
            <w:pPr>
              <w:pStyle w:val="TableParagraph"/>
              <w:spacing w:before="31"/>
              <w:ind w:left="118"/>
              <w:jc w:val="left"/>
              <w:rPr>
                <w:sz w:val="16"/>
              </w:rPr>
            </w:pPr>
            <w:r>
              <w:rPr>
                <w:spacing w:val="-5"/>
                <w:sz w:val="16"/>
              </w:rPr>
              <w:t>60</w:t>
            </w:r>
          </w:p>
        </w:tc>
        <w:tc>
          <w:tcPr>
            <w:tcW w:w="897" w:type="dxa"/>
            <w:tcBorders>
              <w:bottom w:val="single" w:sz="4" w:space="0" w:color="000000"/>
            </w:tcBorders>
          </w:tcPr>
          <w:p>
            <w:pPr>
              <w:pStyle w:val="TableParagraph"/>
              <w:spacing w:before="31"/>
              <w:ind w:left="1" w:right="69"/>
              <w:rPr>
                <w:sz w:val="16"/>
              </w:rPr>
            </w:pPr>
            <w:r>
              <w:rPr>
                <w:spacing w:val="-2"/>
                <w:sz w:val="16"/>
              </w:rPr>
              <w:t>0.0012</w:t>
            </w:r>
          </w:p>
        </w:tc>
        <w:tc>
          <w:tcPr>
            <w:tcW w:w="983" w:type="dxa"/>
            <w:tcBorders>
              <w:bottom w:val="single" w:sz="4" w:space="0" w:color="000000"/>
            </w:tcBorders>
          </w:tcPr>
          <w:p>
            <w:pPr>
              <w:pStyle w:val="TableParagraph"/>
              <w:spacing w:before="31"/>
              <w:ind w:left="253"/>
              <w:jc w:val="left"/>
              <w:rPr>
                <w:sz w:val="16"/>
              </w:rPr>
            </w:pPr>
            <w:r>
              <w:rPr>
                <w:spacing w:val="-2"/>
                <w:sz w:val="16"/>
              </w:rPr>
              <w:t>0.9996</w:t>
            </w:r>
          </w:p>
        </w:tc>
        <w:tc>
          <w:tcPr>
            <w:tcW w:w="1632" w:type="dxa"/>
            <w:tcBorders>
              <w:bottom w:val="single" w:sz="4" w:space="0" w:color="000000"/>
            </w:tcBorders>
          </w:tcPr>
          <w:p>
            <w:pPr>
              <w:pStyle w:val="TableParagraph"/>
              <w:spacing w:before="31"/>
              <w:ind w:left="283"/>
              <w:jc w:val="left"/>
              <w:rPr>
                <w:sz w:val="16"/>
              </w:rPr>
            </w:pPr>
            <w:r>
              <w:rPr>
                <w:spacing w:val="-2"/>
                <w:sz w:val="16"/>
              </w:rPr>
              <w:t>0.0002–</w:t>
            </w:r>
            <w:r>
              <w:rPr>
                <w:spacing w:val="-4"/>
                <w:sz w:val="16"/>
              </w:rPr>
              <w:t>0.56</w:t>
            </w:r>
          </w:p>
        </w:tc>
        <w:tc>
          <w:tcPr>
            <w:tcW w:w="1656" w:type="dxa"/>
            <w:tcBorders>
              <w:bottom w:val="single" w:sz="4" w:space="0" w:color="000000"/>
            </w:tcBorders>
          </w:tcPr>
          <w:p>
            <w:pPr>
              <w:pStyle w:val="TableParagraph"/>
              <w:spacing w:before="31"/>
              <w:ind w:left="168"/>
              <w:jc w:val="left"/>
              <w:rPr>
                <w:sz w:val="16"/>
              </w:rPr>
            </w:pPr>
            <w:r>
              <w:rPr>
                <w:spacing w:val="-4"/>
                <w:sz w:val="16"/>
              </w:rPr>
              <w:t>0.56</w:t>
            </w:r>
          </w:p>
        </w:tc>
      </w:tr>
    </w:tbl>
    <w:p>
      <w:pPr>
        <w:pStyle w:val="ListParagraph"/>
        <w:numPr>
          <w:ilvl w:val="1"/>
          <w:numId w:val="2"/>
        </w:numPr>
        <w:tabs>
          <w:tab w:pos="918" w:val="left" w:leader="none"/>
        </w:tabs>
        <w:spacing w:line="240" w:lineRule="auto" w:before="135" w:after="0"/>
        <w:ind w:left="918" w:right="0" w:hanging="720"/>
        <w:jc w:val="left"/>
        <w:rPr>
          <w:sz w:val="16"/>
        </w:rPr>
      </w:pPr>
      <w:r>
        <w:rPr>
          <w:sz w:val="16"/>
        </w:rPr>
        <w:t>Experimental</w:t>
      </w:r>
      <w:r>
        <w:rPr>
          <w:spacing w:val="-5"/>
          <w:sz w:val="16"/>
        </w:rPr>
        <w:t> </w:t>
      </w:r>
      <w:r>
        <w:rPr>
          <w:sz w:val="16"/>
        </w:rPr>
        <w:t>and</w:t>
      </w:r>
      <w:r>
        <w:rPr>
          <w:spacing w:val="-3"/>
          <w:sz w:val="16"/>
        </w:rPr>
        <w:t> </w:t>
      </w:r>
      <w:r>
        <w:rPr>
          <w:sz w:val="16"/>
        </w:rPr>
        <w:t>Simulated</w:t>
      </w:r>
      <w:r>
        <w:rPr>
          <w:spacing w:val="-2"/>
          <w:sz w:val="16"/>
        </w:rPr>
        <w:t> </w:t>
      </w:r>
      <w:r>
        <w:rPr>
          <w:sz w:val="16"/>
        </w:rPr>
        <w:t>Conversion</w:t>
      </w:r>
      <w:r>
        <w:rPr>
          <w:spacing w:val="-2"/>
          <w:sz w:val="16"/>
        </w:rPr>
        <w:t> </w:t>
      </w:r>
      <w:r>
        <w:rPr>
          <w:sz w:val="16"/>
        </w:rPr>
        <w:t>at</w:t>
      </w:r>
      <w:r>
        <w:rPr>
          <w:spacing w:val="-5"/>
          <w:sz w:val="16"/>
        </w:rPr>
        <w:t> </w:t>
      </w:r>
      <w:r>
        <w:rPr>
          <w:sz w:val="16"/>
        </w:rPr>
        <w:t>30</w:t>
      </w:r>
      <w:r>
        <w:rPr>
          <w:spacing w:val="-2"/>
          <w:sz w:val="16"/>
        </w:rPr>
        <w:t> </w:t>
      </w:r>
      <w:r>
        <w:rPr>
          <w:spacing w:val="-5"/>
          <w:sz w:val="16"/>
        </w:rPr>
        <w:t>°C</w:t>
      </w:r>
    </w:p>
    <w:p>
      <w:pPr>
        <w:pStyle w:val="BodyText"/>
        <w:spacing w:before="9"/>
        <w:rPr>
          <w:sz w:val="10"/>
        </w:rPr>
      </w:pPr>
    </w:p>
    <w:tbl>
      <w:tblPr>
        <w:tblW w:w="0" w:type="auto"/>
        <w:jc w:val="left"/>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0"/>
        <w:gridCol w:w="2357"/>
        <w:gridCol w:w="2124"/>
        <w:gridCol w:w="1049"/>
      </w:tblGrid>
      <w:tr>
        <w:trPr>
          <w:trHeight w:val="205" w:hRule="atLeast"/>
        </w:trPr>
        <w:tc>
          <w:tcPr>
            <w:tcW w:w="1150" w:type="dxa"/>
            <w:tcBorders>
              <w:top w:val="single" w:sz="4" w:space="0" w:color="000000"/>
              <w:bottom w:val="single" w:sz="4" w:space="0" w:color="000000"/>
            </w:tcBorders>
          </w:tcPr>
          <w:p>
            <w:pPr>
              <w:pStyle w:val="TableParagraph"/>
              <w:spacing w:line="183" w:lineRule="exact" w:before="0"/>
              <w:ind w:left="45" w:right="5"/>
              <w:rPr>
                <w:b/>
                <w:sz w:val="16"/>
              </w:rPr>
            </w:pPr>
            <w:r>
              <w:rPr>
                <w:b/>
                <w:sz w:val="16"/>
              </w:rPr>
              <w:t>Time</w:t>
            </w:r>
            <w:r>
              <w:rPr>
                <w:b/>
                <w:spacing w:val="-4"/>
                <w:sz w:val="16"/>
              </w:rPr>
              <w:t> </w:t>
            </w:r>
            <w:r>
              <w:rPr>
                <w:b/>
                <w:spacing w:val="-2"/>
                <w:sz w:val="16"/>
              </w:rPr>
              <w:t>(min)</w:t>
            </w:r>
          </w:p>
        </w:tc>
        <w:tc>
          <w:tcPr>
            <w:tcW w:w="2357" w:type="dxa"/>
            <w:tcBorders>
              <w:top w:val="single" w:sz="4" w:space="0" w:color="000000"/>
              <w:bottom w:val="single" w:sz="4" w:space="0" w:color="000000"/>
            </w:tcBorders>
          </w:tcPr>
          <w:p>
            <w:pPr>
              <w:pStyle w:val="TableParagraph"/>
              <w:spacing w:line="183" w:lineRule="exact" w:before="0"/>
              <w:ind w:left="8" w:right="9"/>
              <w:rPr>
                <w:b/>
                <w:sz w:val="16"/>
              </w:rPr>
            </w:pPr>
            <w:r>
              <w:rPr>
                <w:b/>
                <w:sz w:val="16"/>
              </w:rPr>
              <w:t>Conversion</w:t>
            </w:r>
            <w:r>
              <w:rPr>
                <w:b/>
                <w:spacing w:val="-9"/>
                <w:sz w:val="16"/>
              </w:rPr>
              <w:t> </w:t>
            </w:r>
            <w:r>
              <w:rPr>
                <w:b/>
                <w:sz w:val="16"/>
              </w:rPr>
              <w:t>Experimental</w:t>
            </w:r>
            <w:r>
              <w:rPr>
                <w:b/>
                <w:spacing w:val="-8"/>
                <w:sz w:val="16"/>
              </w:rPr>
              <w:t> </w:t>
            </w:r>
            <w:r>
              <w:rPr>
                <w:b/>
                <w:spacing w:val="-5"/>
                <w:sz w:val="16"/>
              </w:rPr>
              <w:t>(X)</w:t>
            </w:r>
          </w:p>
        </w:tc>
        <w:tc>
          <w:tcPr>
            <w:tcW w:w="2124" w:type="dxa"/>
            <w:tcBorders>
              <w:top w:val="single" w:sz="4" w:space="0" w:color="000000"/>
              <w:bottom w:val="single" w:sz="4" w:space="0" w:color="000000"/>
            </w:tcBorders>
          </w:tcPr>
          <w:p>
            <w:pPr>
              <w:pStyle w:val="TableParagraph"/>
              <w:spacing w:line="183" w:lineRule="exact" w:before="0"/>
              <w:ind w:left="1" w:right="7"/>
              <w:rPr>
                <w:b/>
                <w:sz w:val="16"/>
              </w:rPr>
            </w:pPr>
            <w:r>
              <w:rPr>
                <w:b/>
                <w:sz w:val="16"/>
              </w:rPr>
              <w:t>Conversion</w:t>
            </w:r>
            <w:r>
              <w:rPr>
                <w:b/>
                <w:spacing w:val="-7"/>
                <w:sz w:val="16"/>
              </w:rPr>
              <w:t> </w:t>
            </w:r>
            <w:r>
              <w:rPr>
                <w:b/>
                <w:sz w:val="16"/>
              </w:rPr>
              <w:t>Simulated</w:t>
            </w:r>
            <w:r>
              <w:rPr>
                <w:b/>
                <w:spacing w:val="-7"/>
                <w:sz w:val="16"/>
              </w:rPr>
              <w:t> </w:t>
            </w:r>
            <w:r>
              <w:rPr>
                <w:b/>
                <w:spacing w:val="-5"/>
                <w:sz w:val="16"/>
              </w:rPr>
              <w:t>(X)</w:t>
            </w:r>
          </w:p>
        </w:tc>
        <w:tc>
          <w:tcPr>
            <w:tcW w:w="1049" w:type="dxa"/>
            <w:tcBorders>
              <w:top w:val="single" w:sz="4" w:space="0" w:color="000000"/>
              <w:bottom w:val="single" w:sz="4" w:space="0" w:color="000000"/>
            </w:tcBorders>
          </w:tcPr>
          <w:p>
            <w:pPr>
              <w:pStyle w:val="TableParagraph"/>
              <w:spacing w:line="183" w:lineRule="exact" w:before="0"/>
              <w:ind w:right="3"/>
              <w:rPr>
                <w:b/>
                <w:sz w:val="16"/>
              </w:rPr>
            </w:pPr>
            <w:r>
              <w:rPr>
                <w:b/>
                <w:sz w:val="16"/>
              </w:rPr>
              <w:t>Error </w:t>
            </w:r>
            <w:r>
              <w:rPr>
                <w:b/>
                <w:spacing w:val="-5"/>
                <w:sz w:val="16"/>
              </w:rPr>
              <w:t>(%)</w:t>
            </w:r>
          </w:p>
        </w:tc>
      </w:tr>
      <w:tr>
        <w:trPr>
          <w:trHeight w:val="241" w:hRule="atLeast"/>
        </w:trPr>
        <w:tc>
          <w:tcPr>
            <w:tcW w:w="1150" w:type="dxa"/>
            <w:tcBorders>
              <w:top w:val="single" w:sz="4" w:space="0" w:color="000000"/>
            </w:tcBorders>
          </w:tcPr>
          <w:p>
            <w:pPr>
              <w:pStyle w:val="TableParagraph"/>
              <w:spacing w:before="33"/>
              <w:ind w:left="45" w:right="7"/>
              <w:rPr>
                <w:sz w:val="16"/>
              </w:rPr>
            </w:pPr>
            <w:r>
              <w:rPr>
                <w:spacing w:val="-10"/>
                <w:sz w:val="16"/>
              </w:rPr>
              <w:t>1</w:t>
            </w:r>
          </w:p>
        </w:tc>
        <w:tc>
          <w:tcPr>
            <w:tcW w:w="2357" w:type="dxa"/>
            <w:tcBorders>
              <w:top w:val="single" w:sz="4" w:space="0" w:color="000000"/>
            </w:tcBorders>
          </w:tcPr>
          <w:p>
            <w:pPr>
              <w:pStyle w:val="TableParagraph"/>
              <w:spacing w:before="28"/>
              <w:ind w:left="9" w:right="1"/>
              <w:rPr>
                <w:sz w:val="16"/>
              </w:rPr>
            </w:pPr>
            <w:r>
              <w:rPr>
                <w:spacing w:val="-2"/>
                <w:sz w:val="16"/>
              </w:rPr>
              <w:t>0.1360</w:t>
            </w:r>
          </w:p>
        </w:tc>
        <w:tc>
          <w:tcPr>
            <w:tcW w:w="2124" w:type="dxa"/>
            <w:tcBorders>
              <w:top w:val="single" w:sz="4" w:space="0" w:color="000000"/>
            </w:tcBorders>
          </w:tcPr>
          <w:p>
            <w:pPr>
              <w:pStyle w:val="TableParagraph"/>
              <w:spacing w:before="28"/>
              <w:ind w:left="7" w:right="6"/>
              <w:rPr>
                <w:sz w:val="16"/>
              </w:rPr>
            </w:pPr>
            <w:r>
              <w:rPr>
                <w:spacing w:val="-2"/>
                <w:sz w:val="16"/>
              </w:rPr>
              <w:t>0.1358</w:t>
            </w:r>
          </w:p>
        </w:tc>
        <w:tc>
          <w:tcPr>
            <w:tcW w:w="1049" w:type="dxa"/>
            <w:tcBorders>
              <w:top w:val="single" w:sz="4" w:space="0" w:color="000000"/>
            </w:tcBorders>
          </w:tcPr>
          <w:p>
            <w:pPr>
              <w:pStyle w:val="TableParagraph"/>
              <w:spacing w:before="28"/>
              <w:ind w:right="3"/>
              <w:rPr>
                <w:sz w:val="16"/>
              </w:rPr>
            </w:pPr>
            <w:r>
              <w:rPr>
                <w:spacing w:val="-2"/>
                <w:sz w:val="16"/>
              </w:rPr>
              <w:t>0.1475</w:t>
            </w:r>
          </w:p>
        </w:tc>
      </w:tr>
      <w:tr>
        <w:trPr>
          <w:trHeight w:val="216" w:hRule="atLeast"/>
        </w:trPr>
        <w:tc>
          <w:tcPr>
            <w:tcW w:w="1150" w:type="dxa"/>
          </w:tcPr>
          <w:p>
            <w:pPr>
              <w:pStyle w:val="TableParagraph"/>
              <w:spacing w:line="179" w:lineRule="exact" w:before="17"/>
              <w:ind w:left="45" w:right="7"/>
              <w:rPr>
                <w:sz w:val="16"/>
              </w:rPr>
            </w:pPr>
            <w:r>
              <w:rPr>
                <w:spacing w:val="-10"/>
                <w:sz w:val="16"/>
              </w:rPr>
              <w:t>3</w:t>
            </w:r>
          </w:p>
        </w:tc>
        <w:tc>
          <w:tcPr>
            <w:tcW w:w="2357" w:type="dxa"/>
          </w:tcPr>
          <w:p>
            <w:pPr>
              <w:pStyle w:val="TableParagraph"/>
              <w:spacing w:line="179" w:lineRule="exact" w:before="17"/>
              <w:ind w:left="9" w:right="1"/>
              <w:rPr>
                <w:sz w:val="16"/>
              </w:rPr>
            </w:pPr>
            <w:r>
              <w:rPr>
                <w:spacing w:val="-2"/>
                <w:sz w:val="16"/>
              </w:rPr>
              <w:t>0.2800</w:t>
            </w:r>
          </w:p>
        </w:tc>
        <w:tc>
          <w:tcPr>
            <w:tcW w:w="2124" w:type="dxa"/>
          </w:tcPr>
          <w:p>
            <w:pPr>
              <w:pStyle w:val="TableParagraph"/>
              <w:spacing w:line="179" w:lineRule="exact" w:before="17"/>
              <w:ind w:left="7" w:right="6"/>
              <w:rPr>
                <w:sz w:val="16"/>
              </w:rPr>
            </w:pPr>
            <w:r>
              <w:rPr>
                <w:spacing w:val="-2"/>
                <w:sz w:val="16"/>
              </w:rPr>
              <w:t>0.2803</w:t>
            </w:r>
          </w:p>
        </w:tc>
        <w:tc>
          <w:tcPr>
            <w:tcW w:w="1049" w:type="dxa"/>
          </w:tcPr>
          <w:p>
            <w:pPr>
              <w:pStyle w:val="TableParagraph"/>
              <w:spacing w:line="179" w:lineRule="exact" w:before="17"/>
              <w:ind w:right="3"/>
              <w:rPr>
                <w:sz w:val="16"/>
              </w:rPr>
            </w:pPr>
            <w:r>
              <w:rPr>
                <w:spacing w:val="-2"/>
                <w:sz w:val="16"/>
              </w:rPr>
              <w:t>0.1022</w:t>
            </w:r>
          </w:p>
        </w:tc>
      </w:tr>
      <w:tr>
        <w:trPr>
          <w:trHeight w:val="206" w:hRule="atLeast"/>
        </w:trPr>
        <w:tc>
          <w:tcPr>
            <w:tcW w:w="1150" w:type="dxa"/>
          </w:tcPr>
          <w:p>
            <w:pPr>
              <w:pStyle w:val="TableParagraph"/>
              <w:spacing w:line="179" w:lineRule="exact" w:before="7"/>
              <w:ind w:left="45" w:right="7"/>
              <w:rPr>
                <w:sz w:val="16"/>
              </w:rPr>
            </w:pPr>
            <w:r>
              <w:rPr>
                <w:spacing w:val="-10"/>
                <w:sz w:val="16"/>
              </w:rPr>
              <w:t>6</w:t>
            </w:r>
          </w:p>
        </w:tc>
        <w:tc>
          <w:tcPr>
            <w:tcW w:w="2357" w:type="dxa"/>
          </w:tcPr>
          <w:p>
            <w:pPr>
              <w:pStyle w:val="TableParagraph"/>
              <w:spacing w:line="179" w:lineRule="exact" w:before="7"/>
              <w:ind w:left="9" w:right="1"/>
              <w:rPr>
                <w:sz w:val="16"/>
              </w:rPr>
            </w:pPr>
            <w:r>
              <w:rPr>
                <w:spacing w:val="-2"/>
                <w:sz w:val="16"/>
              </w:rPr>
              <w:t>0.3760</w:t>
            </w:r>
          </w:p>
        </w:tc>
        <w:tc>
          <w:tcPr>
            <w:tcW w:w="2124" w:type="dxa"/>
          </w:tcPr>
          <w:p>
            <w:pPr>
              <w:pStyle w:val="TableParagraph"/>
              <w:spacing w:line="179" w:lineRule="exact" w:before="7"/>
              <w:ind w:left="7" w:right="6"/>
              <w:rPr>
                <w:sz w:val="16"/>
              </w:rPr>
            </w:pPr>
            <w:r>
              <w:rPr>
                <w:spacing w:val="-2"/>
                <w:sz w:val="16"/>
              </w:rPr>
              <w:t>0.3740</w:t>
            </w:r>
          </w:p>
        </w:tc>
        <w:tc>
          <w:tcPr>
            <w:tcW w:w="1049" w:type="dxa"/>
          </w:tcPr>
          <w:p>
            <w:pPr>
              <w:pStyle w:val="TableParagraph"/>
              <w:spacing w:line="179" w:lineRule="exact" w:before="7"/>
              <w:ind w:right="3"/>
              <w:rPr>
                <w:sz w:val="16"/>
              </w:rPr>
            </w:pPr>
            <w:r>
              <w:rPr>
                <w:spacing w:val="-2"/>
                <w:sz w:val="16"/>
              </w:rPr>
              <w:t>0.5376</w:t>
            </w:r>
          </w:p>
        </w:tc>
      </w:tr>
      <w:tr>
        <w:trPr>
          <w:trHeight w:val="206" w:hRule="atLeast"/>
        </w:trPr>
        <w:tc>
          <w:tcPr>
            <w:tcW w:w="1150" w:type="dxa"/>
          </w:tcPr>
          <w:p>
            <w:pPr>
              <w:pStyle w:val="TableParagraph"/>
              <w:spacing w:line="179" w:lineRule="exact" w:before="7"/>
              <w:ind w:left="45" w:right="7"/>
              <w:rPr>
                <w:sz w:val="16"/>
              </w:rPr>
            </w:pPr>
            <w:r>
              <w:rPr>
                <w:spacing w:val="-10"/>
                <w:sz w:val="16"/>
              </w:rPr>
              <w:t>9</w:t>
            </w:r>
          </w:p>
        </w:tc>
        <w:tc>
          <w:tcPr>
            <w:tcW w:w="2357" w:type="dxa"/>
          </w:tcPr>
          <w:p>
            <w:pPr>
              <w:pStyle w:val="TableParagraph"/>
              <w:spacing w:line="179" w:lineRule="exact" w:before="7"/>
              <w:ind w:left="9" w:right="1"/>
              <w:rPr>
                <w:sz w:val="16"/>
              </w:rPr>
            </w:pPr>
            <w:r>
              <w:rPr>
                <w:spacing w:val="-2"/>
                <w:sz w:val="16"/>
              </w:rPr>
              <w:t>0.4140</w:t>
            </w:r>
          </w:p>
        </w:tc>
        <w:tc>
          <w:tcPr>
            <w:tcW w:w="2124" w:type="dxa"/>
          </w:tcPr>
          <w:p>
            <w:pPr>
              <w:pStyle w:val="TableParagraph"/>
              <w:spacing w:line="179" w:lineRule="exact" w:before="7"/>
              <w:ind w:left="7" w:right="6"/>
              <w:rPr>
                <w:sz w:val="16"/>
              </w:rPr>
            </w:pPr>
            <w:r>
              <w:rPr>
                <w:spacing w:val="-2"/>
                <w:sz w:val="16"/>
              </w:rPr>
              <w:t>0.4146</w:t>
            </w:r>
          </w:p>
        </w:tc>
        <w:tc>
          <w:tcPr>
            <w:tcW w:w="1049" w:type="dxa"/>
          </w:tcPr>
          <w:p>
            <w:pPr>
              <w:pStyle w:val="TableParagraph"/>
              <w:spacing w:line="179" w:lineRule="exact" w:before="7"/>
              <w:ind w:right="3"/>
              <w:rPr>
                <w:sz w:val="16"/>
              </w:rPr>
            </w:pPr>
            <w:r>
              <w:rPr>
                <w:spacing w:val="-2"/>
                <w:sz w:val="16"/>
              </w:rPr>
              <w:t>0.1514</w:t>
            </w:r>
          </w:p>
        </w:tc>
      </w:tr>
      <w:tr>
        <w:trPr>
          <w:trHeight w:val="206" w:hRule="atLeast"/>
        </w:trPr>
        <w:tc>
          <w:tcPr>
            <w:tcW w:w="1150" w:type="dxa"/>
          </w:tcPr>
          <w:p>
            <w:pPr>
              <w:pStyle w:val="TableParagraph"/>
              <w:spacing w:line="179" w:lineRule="exact" w:before="7"/>
              <w:ind w:left="45"/>
              <w:rPr>
                <w:sz w:val="16"/>
              </w:rPr>
            </w:pPr>
            <w:r>
              <w:rPr>
                <w:spacing w:val="-5"/>
                <w:sz w:val="16"/>
              </w:rPr>
              <w:t>12</w:t>
            </w:r>
          </w:p>
        </w:tc>
        <w:tc>
          <w:tcPr>
            <w:tcW w:w="2357" w:type="dxa"/>
          </w:tcPr>
          <w:p>
            <w:pPr>
              <w:pStyle w:val="TableParagraph"/>
              <w:spacing w:line="179" w:lineRule="exact" w:before="7"/>
              <w:ind w:left="9" w:right="1"/>
              <w:rPr>
                <w:sz w:val="16"/>
              </w:rPr>
            </w:pPr>
            <w:r>
              <w:rPr>
                <w:spacing w:val="-2"/>
                <w:sz w:val="16"/>
              </w:rPr>
              <w:t>0.4340</w:t>
            </w:r>
          </w:p>
        </w:tc>
        <w:tc>
          <w:tcPr>
            <w:tcW w:w="2124" w:type="dxa"/>
          </w:tcPr>
          <w:p>
            <w:pPr>
              <w:pStyle w:val="TableParagraph"/>
              <w:spacing w:line="179" w:lineRule="exact" w:before="7"/>
              <w:ind w:left="7" w:right="6"/>
              <w:rPr>
                <w:sz w:val="16"/>
              </w:rPr>
            </w:pPr>
            <w:r>
              <w:rPr>
                <w:spacing w:val="-2"/>
                <w:sz w:val="16"/>
              </w:rPr>
              <w:t>0.4342</w:t>
            </w:r>
          </w:p>
        </w:tc>
        <w:tc>
          <w:tcPr>
            <w:tcW w:w="1049" w:type="dxa"/>
          </w:tcPr>
          <w:p>
            <w:pPr>
              <w:pStyle w:val="TableParagraph"/>
              <w:spacing w:line="179" w:lineRule="exact" w:before="7"/>
              <w:ind w:right="3"/>
              <w:rPr>
                <w:sz w:val="16"/>
              </w:rPr>
            </w:pPr>
            <w:r>
              <w:rPr>
                <w:spacing w:val="-2"/>
                <w:sz w:val="16"/>
              </w:rPr>
              <w:t>0.0512</w:t>
            </w:r>
          </w:p>
        </w:tc>
      </w:tr>
      <w:tr>
        <w:trPr>
          <w:trHeight w:val="214" w:hRule="atLeast"/>
        </w:trPr>
        <w:tc>
          <w:tcPr>
            <w:tcW w:w="1150" w:type="dxa"/>
            <w:tcBorders>
              <w:bottom w:val="single" w:sz="4" w:space="0" w:color="000000"/>
            </w:tcBorders>
          </w:tcPr>
          <w:p>
            <w:pPr>
              <w:pStyle w:val="TableParagraph"/>
              <w:spacing w:before="7"/>
              <w:ind w:left="45"/>
              <w:rPr>
                <w:sz w:val="16"/>
              </w:rPr>
            </w:pPr>
            <w:r>
              <w:rPr>
                <w:spacing w:val="-5"/>
                <w:sz w:val="16"/>
              </w:rPr>
              <w:t>15</w:t>
            </w:r>
          </w:p>
        </w:tc>
        <w:tc>
          <w:tcPr>
            <w:tcW w:w="2357" w:type="dxa"/>
            <w:tcBorders>
              <w:bottom w:val="single" w:sz="4" w:space="0" w:color="000000"/>
            </w:tcBorders>
          </w:tcPr>
          <w:p>
            <w:pPr>
              <w:pStyle w:val="TableParagraph"/>
              <w:spacing w:before="7"/>
              <w:ind w:left="9" w:right="1"/>
              <w:rPr>
                <w:sz w:val="16"/>
              </w:rPr>
            </w:pPr>
            <w:r>
              <w:rPr>
                <w:spacing w:val="-2"/>
                <w:sz w:val="16"/>
              </w:rPr>
              <w:t>0.4420</w:t>
            </w:r>
          </w:p>
        </w:tc>
        <w:tc>
          <w:tcPr>
            <w:tcW w:w="2124" w:type="dxa"/>
            <w:tcBorders>
              <w:bottom w:val="single" w:sz="4" w:space="0" w:color="000000"/>
            </w:tcBorders>
          </w:tcPr>
          <w:p>
            <w:pPr>
              <w:pStyle w:val="TableParagraph"/>
              <w:spacing w:before="7"/>
              <w:ind w:left="7" w:right="6"/>
              <w:rPr>
                <w:sz w:val="16"/>
              </w:rPr>
            </w:pPr>
            <w:r>
              <w:rPr>
                <w:spacing w:val="-2"/>
                <w:sz w:val="16"/>
              </w:rPr>
              <w:t>0.4442</w:t>
            </w:r>
          </w:p>
        </w:tc>
        <w:tc>
          <w:tcPr>
            <w:tcW w:w="1049" w:type="dxa"/>
            <w:tcBorders>
              <w:bottom w:val="single" w:sz="4" w:space="0" w:color="000000"/>
            </w:tcBorders>
          </w:tcPr>
          <w:p>
            <w:pPr>
              <w:pStyle w:val="TableParagraph"/>
              <w:spacing w:before="7"/>
              <w:ind w:right="3"/>
              <w:rPr>
                <w:sz w:val="16"/>
              </w:rPr>
            </w:pPr>
            <w:r>
              <w:rPr>
                <w:spacing w:val="-2"/>
                <w:sz w:val="16"/>
              </w:rPr>
              <w:t>0.4864</w:t>
            </w:r>
          </w:p>
        </w:tc>
      </w:tr>
    </w:tbl>
    <w:p>
      <w:pPr>
        <w:pStyle w:val="ListParagraph"/>
        <w:numPr>
          <w:ilvl w:val="1"/>
          <w:numId w:val="2"/>
        </w:numPr>
        <w:tabs>
          <w:tab w:pos="918" w:val="left" w:leader="none"/>
        </w:tabs>
        <w:spacing w:line="240" w:lineRule="auto" w:before="136" w:after="0"/>
        <w:ind w:left="918" w:right="0" w:hanging="720"/>
        <w:jc w:val="left"/>
        <w:rPr>
          <w:sz w:val="16"/>
        </w:rPr>
      </w:pPr>
      <w:r>
        <w:rPr>
          <w:sz w:val="16"/>
        </w:rPr>
        <w:t>Experimental</w:t>
      </w:r>
      <w:r>
        <w:rPr>
          <w:spacing w:val="-5"/>
          <w:sz w:val="16"/>
        </w:rPr>
        <w:t> </w:t>
      </w:r>
      <w:r>
        <w:rPr>
          <w:sz w:val="16"/>
        </w:rPr>
        <w:t>and</w:t>
      </w:r>
      <w:r>
        <w:rPr>
          <w:spacing w:val="-3"/>
          <w:sz w:val="16"/>
        </w:rPr>
        <w:t> </w:t>
      </w:r>
      <w:r>
        <w:rPr>
          <w:sz w:val="16"/>
        </w:rPr>
        <w:t>Simulated</w:t>
      </w:r>
      <w:r>
        <w:rPr>
          <w:spacing w:val="-2"/>
          <w:sz w:val="16"/>
        </w:rPr>
        <w:t> </w:t>
      </w:r>
      <w:r>
        <w:rPr>
          <w:sz w:val="16"/>
        </w:rPr>
        <w:t>Conversion</w:t>
      </w:r>
      <w:r>
        <w:rPr>
          <w:spacing w:val="-2"/>
          <w:sz w:val="16"/>
        </w:rPr>
        <w:t> </w:t>
      </w:r>
      <w:r>
        <w:rPr>
          <w:sz w:val="16"/>
        </w:rPr>
        <w:t>at</w:t>
      </w:r>
      <w:r>
        <w:rPr>
          <w:spacing w:val="-5"/>
          <w:sz w:val="16"/>
        </w:rPr>
        <w:t> </w:t>
      </w:r>
      <w:r>
        <w:rPr>
          <w:sz w:val="16"/>
        </w:rPr>
        <w:t>40</w:t>
      </w:r>
      <w:r>
        <w:rPr>
          <w:spacing w:val="-2"/>
          <w:sz w:val="16"/>
        </w:rPr>
        <w:t> </w:t>
      </w:r>
      <w:r>
        <w:rPr>
          <w:spacing w:val="-5"/>
          <w:sz w:val="16"/>
        </w:rPr>
        <w:t>°C</w:t>
      </w:r>
    </w:p>
    <w:p>
      <w:pPr>
        <w:pStyle w:val="BodyText"/>
        <w:spacing w:before="9"/>
        <w:rPr>
          <w:sz w:val="10"/>
        </w:rPr>
      </w:pPr>
    </w:p>
    <w:tbl>
      <w:tblPr>
        <w:tblW w:w="0" w:type="auto"/>
        <w:jc w:val="left"/>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0"/>
        <w:gridCol w:w="2357"/>
        <w:gridCol w:w="2124"/>
        <w:gridCol w:w="1049"/>
      </w:tblGrid>
      <w:tr>
        <w:trPr>
          <w:trHeight w:val="210" w:hRule="atLeast"/>
        </w:trPr>
        <w:tc>
          <w:tcPr>
            <w:tcW w:w="1150" w:type="dxa"/>
            <w:tcBorders>
              <w:top w:val="single" w:sz="4" w:space="0" w:color="000000"/>
              <w:bottom w:val="single" w:sz="4" w:space="0" w:color="000000"/>
            </w:tcBorders>
          </w:tcPr>
          <w:p>
            <w:pPr>
              <w:pStyle w:val="TableParagraph"/>
              <w:spacing w:before="4"/>
              <w:ind w:left="45" w:right="5"/>
              <w:rPr>
                <w:b/>
                <w:sz w:val="16"/>
              </w:rPr>
            </w:pPr>
            <w:r>
              <w:rPr>
                <w:b/>
                <w:sz w:val="16"/>
              </w:rPr>
              <w:t>Time</w:t>
            </w:r>
            <w:r>
              <w:rPr>
                <w:b/>
                <w:spacing w:val="-4"/>
                <w:sz w:val="16"/>
              </w:rPr>
              <w:t> </w:t>
            </w:r>
            <w:r>
              <w:rPr>
                <w:b/>
                <w:spacing w:val="-2"/>
                <w:sz w:val="16"/>
              </w:rPr>
              <w:t>(min)</w:t>
            </w:r>
          </w:p>
        </w:tc>
        <w:tc>
          <w:tcPr>
            <w:tcW w:w="2357" w:type="dxa"/>
            <w:tcBorders>
              <w:top w:val="single" w:sz="4" w:space="0" w:color="000000"/>
              <w:bottom w:val="single" w:sz="4" w:space="0" w:color="000000"/>
            </w:tcBorders>
          </w:tcPr>
          <w:p>
            <w:pPr>
              <w:pStyle w:val="TableParagraph"/>
              <w:spacing w:before="4"/>
              <w:ind w:left="8" w:right="9"/>
              <w:rPr>
                <w:b/>
                <w:sz w:val="16"/>
              </w:rPr>
            </w:pPr>
            <w:r>
              <w:rPr>
                <w:b/>
                <w:sz w:val="16"/>
              </w:rPr>
              <w:t>Conversion</w:t>
            </w:r>
            <w:r>
              <w:rPr>
                <w:b/>
                <w:spacing w:val="-9"/>
                <w:sz w:val="16"/>
              </w:rPr>
              <w:t> </w:t>
            </w:r>
            <w:r>
              <w:rPr>
                <w:b/>
                <w:sz w:val="16"/>
              </w:rPr>
              <w:t>Experimental</w:t>
            </w:r>
            <w:r>
              <w:rPr>
                <w:b/>
                <w:spacing w:val="-8"/>
                <w:sz w:val="16"/>
              </w:rPr>
              <w:t> </w:t>
            </w:r>
            <w:r>
              <w:rPr>
                <w:b/>
                <w:spacing w:val="-5"/>
                <w:sz w:val="16"/>
              </w:rPr>
              <w:t>(X)</w:t>
            </w:r>
          </w:p>
        </w:tc>
        <w:tc>
          <w:tcPr>
            <w:tcW w:w="2124" w:type="dxa"/>
            <w:tcBorders>
              <w:top w:val="single" w:sz="4" w:space="0" w:color="000000"/>
              <w:bottom w:val="single" w:sz="4" w:space="0" w:color="000000"/>
            </w:tcBorders>
          </w:tcPr>
          <w:p>
            <w:pPr>
              <w:pStyle w:val="TableParagraph"/>
              <w:spacing w:before="4"/>
              <w:ind w:left="1" w:right="7"/>
              <w:rPr>
                <w:b/>
                <w:sz w:val="16"/>
              </w:rPr>
            </w:pPr>
            <w:r>
              <w:rPr>
                <w:b/>
                <w:sz w:val="16"/>
              </w:rPr>
              <w:t>Conversion</w:t>
            </w:r>
            <w:r>
              <w:rPr>
                <w:b/>
                <w:spacing w:val="-7"/>
                <w:sz w:val="16"/>
              </w:rPr>
              <w:t> </w:t>
            </w:r>
            <w:r>
              <w:rPr>
                <w:b/>
                <w:sz w:val="16"/>
              </w:rPr>
              <w:t>Simulated</w:t>
            </w:r>
            <w:r>
              <w:rPr>
                <w:b/>
                <w:spacing w:val="-7"/>
                <w:sz w:val="16"/>
              </w:rPr>
              <w:t> </w:t>
            </w:r>
            <w:r>
              <w:rPr>
                <w:b/>
                <w:spacing w:val="-5"/>
                <w:sz w:val="16"/>
              </w:rPr>
              <w:t>(X)</w:t>
            </w:r>
          </w:p>
        </w:tc>
        <w:tc>
          <w:tcPr>
            <w:tcW w:w="1049" w:type="dxa"/>
            <w:tcBorders>
              <w:top w:val="single" w:sz="4" w:space="0" w:color="000000"/>
              <w:bottom w:val="single" w:sz="4" w:space="0" w:color="000000"/>
            </w:tcBorders>
          </w:tcPr>
          <w:p>
            <w:pPr>
              <w:pStyle w:val="TableParagraph"/>
              <w:spacing w:before="4"/>
              <w:ind w:right="3"/>
              <w:rPr>
                <w:b/>
                <w:sz w:val="16"/>
              </w:rPr>
            </w:pPr>
            <w:r>
              <w:rPr>
                <w:b/>
                <w:sz w:val="16"/>
              </w:rPr>
              <w:t>Error </w:t>
            </w:r>
            <w:r>
              <w:rPr>
                <w:b/>
                <w:spacing w:val="-5"/>
                <w:sz w:val="16"/>
              </w:rPr>
              <w:t>(%)</w:t>
            </w:r>
          </w:p>
        </w:tc>
      </w:tr>
      <w:tr>
        <w:trPr>
          <w:trHeight w:val="205" w:hRule="atLeast"/>
        </w:trPr>
        <w:tc>
          <w:tcPr>
            <w:tcW w:w="1150" w:type="dxa"/>
            <w:tcBorders>
              <w:top w:val="single" w:sz="4" w:space="0" w:color="000000"/>
            </w:tcBorders>
          </w:tcPr>
          <w:p>
            <w:pPr>
              <w:pStyle w:val="TableParagraph"/>
              <w:spacing w:line="182" w:lineRule="exact" w:before="4"/>
              <w:ind w:left="45" w:right="7"/>
              <w:rPr>
                <w:sz w:val="16"/>
              </w:rPr>
            </w:pPr>
            <w:r>
              <w:rPr>
                <w:spacing w:val="-10"/>
                <w:sz w:val="16"/>
              </w:rPr>
              <w:t>1</w:t>
            </w:r>
          </w:p>
        </w:tc>
        <w:tc>
          <w:tcPr>
            <w:tcW w:w="2357" w:type="dxa"/>
            <w:tcBorders>
              <w:top w:val="single" w:sz="4" w:space="0" w:color="000000"/>
            </w:tcBorders>
          </w:tcPr>
          <w:p>
            <w:pPr>
              <w:pStyle w:val="TableParagraph"/>
              <w:spacing w:line="182" w:lineRule="exact" w:before="4"/>
              <w:ind w:left="9" w:right="1"/>
              <w:rPr>
                <w:sz w:val="16"/>
              </w:rPr>
            </w:pPr>
            <w:r>
              <w:rPr>
                <w:spacing w:val="-2"/>
                <w:sz w:val="16"/>
              </w:rPr>
              <w:t>0.1792</w:t>
            </w:r>
          </w:p>
        </w:tc>
        <w:tc>
          <w:tcPr>
            <w:tcW w:w="2124" w:type="dxa"/>
            <w:tcBorders>
              <w:top w:val="single" w:sz="4" w:space="0" w:color="000000"/>
            </w:tcBorders>
          </w:tcPr>
          <w:p>
            <w:pPr>
              <w:pStyle w:val="TableParagraph"/>
              <w:spacing w:line="182" w:lineRule="exact" w:before="4"/>
              <w:ind w:left="7" w:right="6"/>
              <w:rPr>
                <w:sz w:val="16"/>
              </w:rPr>
            </w:pPr>
            <w:r>
              <w:rPr>
                <w:spacing w:val="-2"/>
                <w:sz w:val="16"/>
              </w:rPr>
              <w:t>0.1789</w:t>
            </w:r>
          </w:p>
        </w:tc>
        <w:tc>
          <w:tcPr>
            <w:tcW w:w="1049" w:type="dxa"/>
            <w:tcBorders>
              <w:top w:val="single" w:sz="4" w:space="0" w:color="000000"/>
            </w:tcBorders>
          </w:tcPr>
          <w:p>
            <w:pPr>
              <w:pStyle w:val="TableParagraph"/>
              <w:spacing w:line="182" w:lineRule="exact" w:before="4"/>
              <w:ind w:right="3"/>
              <w:rPr>
                <w:sz w:val="16"/>
              </w:rPr>
            </w:pPr>
            <w:r>
              <w:rPr>
                <w:spacing w:val="-2"/>
                <w:sz w:val="16"/>
              </w:rPr>
              <w:t>0.1675</w:t>
            </w:r>
          </w:p>
        </w:tc>
      </w:tr>
      <w:tr>
        <w:trPr>
          <w:trHeight w:val="216" w:hRule="atLeast"/>
        </w:trPr>
        <w:tc>
          <w:tcPr>
            <w:tcW w:w="1150" w:type="dxa"/>
          </w:tcPr>
          <w:p>
            <w:pPr>
              <w:pStyle w:val="TableParagraph"/>
              <w:ind w:left="45" w:right="7"/>
              <w:rPr>
                <w:sz w:val="16"/>
              </w:rPr>
            </w:pPr>
            <w:r>
              <w:rPr>
                <w:spacing w:val="-10"/>
                <w:sz w:val="16"/>
              </w:rPr>
              <w:t>3</w:t>
            </w:r>
          </w:p>
        </w:tc>
        <w:tc>
          <w:tcPr>
            <w:tcW w:w="2357" w:type="dxa"/>
          </w:tcPr>
          <w:p>
            <w:pPr>
              <w:pStyle w:val="TableParagraph"/>
              <w:ind w:left="9" w:right="1"/>
              <w:rPr>
                <w:sz w:val="16"/>
              </w:rPr>
            </w:pPr>
            <w:r>
              <w:rPr>
                <w:spacing w:val="-2"/>
                <w:sz w:val="16"/>
              </w:rPr>
              <w:t>0.3340</w:t>
            </w:r>
          </w:p>
        </w:tc>
        <w:tc>
          <w:tcPr>
            <w:tcW w:w="2124" w:type="dxa"/>
          </w:tcPr>
          <w:p>
            <w:pPr>
              <w:pStyle w:val="TableParagraph"/>
              <w:ind w:left="7" w:right="6"/>
              <w:rPr>
                <w:sz w:val="16"/>
              </w:rPr>
            </w:pPr>
            <w:r>
              <w:rPr>
                <w:spacing w:val="-2"/>
                <w:sz w:val="16"/>
              </w:rPr>
              <w:t>0.3335</w:t>
            </w:r>
          </w:p>
        </w:tc>
        <w:tc>
          <w:tcPr>
            <w:tcW w:w="1049" w:type="dxa"/>
          </w:tcPr>
          <w:p>
            <w:pPr>
              <w:pStyle w:val="TableParagraph"/>
              <w:ind w:right="3"/>
              <w:rPr>
                <w:sz w:val="16"/>
              </w:rPr>
            </w:pPr>
            <w:r>
              <w:rPr>
                <w:spacing w:val="-2"/>
                <w:sz w:val="16"/>
              </w:rPr>
              <w:t>0.1463</w:t>
            </w:r>
          </w:p>
        </w:tc>
      </w:tr>
      <w:tr>
        <w:trPr>
          <w:trHeight w:val="218" w:hRule="atLeast"/>
        </w:trPr>
        <w:tc>
          <w:tcPr>
            <w:tcW w:w="1150" w:type="dxa"/>
          </w:tcPr>
          <w:p>
            <w:pPr>
              <w:pStyle w:val="TableParagraph"/>
              <w:spacing w:before="14"/>
              <w:ind w:left="45" w:right="7"/>
              <w:rPr>
                <w:sz w:val="16"/>
              </w:rPr>
            </w:pPr>
            <w:r>
              <w:rPr>
                <w:spacing w:val="-10"/>
                <w:sz w:val="16"/>
              </w:rPr>
              <w:t>6</w:t>
            </w:r>
          </w:p>
        </w:tc>
        <w:tc>
          <w:tcPr>
            <w:tcW w:w="2357" w:type="dxa"/>
          </w:tcPr>
          <w:p>
            <w:pPr>
              <w:pStyle w:val="TableParagraph"/>
              <w:spacing w:before="14"/>
              <w:ind w:left="9" w:right="1"/>
              <w:rPr>
                <w:sz w:val="16"/>
              </w:rPr>
            </w:pPr>
            <w:r>
              <w:rPr>
                <w:spacing w:val="-2"/>
                <w:sz w:val="16"/>
              </w:rPr>
              <w:t>0.4120</w:t>
            </w:r>
          </w:p>
        </w:tc>
        <w:tc>
          <w:tcPr>
            <w:tcW w:w="2124" w:type="dxa"/>
          </w:tcPr>
          <w:p>
            <w:pPr>
              <w:pStyle w:val="TableParagraph"/>
              <w:spacing w:before="14"/>
              <w:ind w:left="7" w:right="6"/>
              <w:rPr>
                <w:sz w:val="16"/>
              </w:rPr>
            </w:pPr>
            <w:r>
              <w:rPr>
                <w:spacing w:val="-2"/>
                <w:sz w:val="16"/>
              </w:rPr>
              <w:t>0.4122</w:t>
            </w:r>
          </w:p>
        </w:tc>
        <w:tc>
          <w:tcPr>
            <w:tcW w:w="1049" w:type="dxa"/>
          </w:tcPr>
          <w:p>
            <w:pPr>
              <w:pStyle w:val="TableParagraph"/>
              <w:spacing w:before="14"/>
              <w:ind w:right="3"/>
              <w:rPr>
                <w:sz w:val="16"/>
              </w:rPr>
            </w:pPr>
            <w:r>
              <w:rPr>
                <w:spacing w:val="-2"/>
                <w:sz w:val="16"/>
              </w:rPr>
              <w:t>0.0373</w:t>
            </w:r>
          </w:p>
        </w:tc>
      </w:tr>
      <w:tr>
        <w:trPr>
          <w:trHeight w:val="213" w:hRule="atLeast"/>
        </w:trPr>
        <w:tc>
          <w:tcPr>
            <w:tcW w:w="1150" w:type="dxa"/>
          </w:tcPr>
          <w:p>
            <w:pPr>
              <w:pStyle w:val="TableParagraph"/>
              <w:spacing w:line="182" w:lineRule="exact" w:before="12"/>
              <w:ind w:left="45" w:right="7"/>
              <w:rPr>
                <w:sz w:val="16"/>
              </w:rPr>
            </w:pPr>
            <w:r>
              <w:rPr>
                <w:spacing w:val="-10"/>
                <w:sz w:val="16"/>
              </w:rPr>
              <w:t>9</w:t>
            </w:r>
          </w:p>
        </w:tc>
        <w:tc>
          <w:tcPr>
            <w:tcW w:w="2357" w:type="dxa"/>
          </w:tcPr>
          <w:p>
            <w:pPr>
              <w:pStyle w:val="TableParagraph"/>
              <w:spacing w:line="182" w:lineRule="exact" w:before="12"/>
              <w:ind w:left="9" w:right="1"/>
              <w:rPr>
                <w:sz w:val="16"/>
              </w:rPr>
            </w:pPr>
            <w:r>
              <w:rPr>
                <w:spacing w:val="-2"/>
                <w:sz w:val="16"/>
              </w:rPr>
              <w:t>0.4380</w:t>
            </w:r>
          </w:p>
        </w:tc>
        <w:tc>
          <w:tcPr>
            <w:tcW w:w="2124" w:type="dxa"/>
          </w:tcPr>
          <w:p>
            <w:pPr>
              <w:pStyle w:val="TableParagraph"/>
              <w:spacing w:line="182" w:lineRule="exact" w:before="12"/>
              <w:ind w:left="7" w:right="6"/>
              <w:rPr>
                <w:sz w:val="16"/>
              </w:rPr>
            </w:pPr>
            <w:r>
              <w:rPr>
                <w:spacing w:val="-2"/>
                <w:sz w:val="16"/>
              </w:rPr>
              <w:t>0.4387</w:t>
            </w:r>
          </w:p>
        </w:tc>
        <w:tc>
          <w:tcPr>
            <w:tcW w:w="1049" w:type="dxa"/>
          </w:tcPr>
          <w:p>
            <w:pPr>
              <w:pStyle w:val="TableParagraph"/>
              <w:spacing w:line="182" w:lineRule="exact" w:before="12"/>
              <w:ind w:right="3"/>
              <w:rPr>
                <w:sz w:val="16"/>
              </w:rPr>
            </w:pPr>
            <w:r>
              <w:rPr>
                <w:spacing w:val="-2"/>
                <w:sz w:val="16"/>
              </w:rPr>
              <w:t>0.1537</w:t>
            </w:r>
          </w:p>
        </w:tc>
      </w:tr>
      <w:tr>
        <w:trPr>
          <w:trHeight w:val="213" w:hRule="atLeast"/>
        </w:trPr>
        <w:tc>
          <w:tcPr>
            <w:tcW w:w="1150" w:type="dxa"/>
          </w:tcPr>
          <w:p>
            <w:pPr>
              <w:pStyle w:val="TableParagraph"/>
              <w:ind w:left="45"/>
              <w:rPr>
                <w:sz w:val="16"/>
              </w:rPr>
            </w:pPr>
            <w:r>
              <w:rPr>
                <w:spacing w:val="-5"/>
                <w:sz w:val="16"/>
              </w:rPr>
              <w:t>12</w:t>
            </w:r>
          </w:p>
        </w:tc>
        <w:tc>
          <w:tcPr>
            <w:tcW w:w="2357" w:type="dxa"/>
          </w:tcPr>
          <w:p>
            <w:pPr>
              <w:pStyle w:val="TableParagraph"/>
              <w:ind w:left="9" w:right="1"/>
              <w:rPr>
                <w:sz w:val="16"/>
              </w:rPr>
            </w:pPr>
            <w:r>
              <w:rPr>
                <w:spacing w:val="-2"/>
                <w:sz w:val="16"/>
              </w:rPr>
              <w:t>0.4488</w:t>
            </w:r>
          </w:p>
        </w:tc>
        <w:tc>
          <w:tcPr>
            <w:tcW w:w="2124" w:type="dxa"/>
          </w:tcPr>
          <w:p>
            <w:pPr>
              <w:pStyle w:val="TableParagraph"/>
              <w:ind w:left="7" w:right="6"/>
              <w:rPr>
                <w:sz w:val="16"/>
              </w:rPr>
            </w:pPr>
            <w:r>
              <w:rPr>
                <w:spacing w:val="-2"/>
                <w:sz w:val="16"/>
              </w:rPr>
              <w:t>0.4486</w:t>
            </w:r>
          </w:p>
        </w:tc>
        <w:tc>
          <w:tcPr>
            <w:tcW w:w="1049" w:type="dxa"/>
          </w:tcPr>
          <w:p>
            <w:pPr>
              <w:pStyle w:val="TableParagraph"/>
              <w:ind w:right="3"/>
              <w:rPr>
                <w:sz w:val="16"/>
              </w:rPr>
            </w:pPr>
            <w:r>
              <w:rPr>
                <w:spacing w:val="-2"/>
                <w:sz w:val="16"/>
              </w:rPr>
              <w:t>0.0382</w:t>
            </w:r>
          </w:p>
        </w:tc>
      </w:tr>
      <w:tr>
        <w:trPr>
          <w:trHeight w:val="218" w:hRule="atLeast"/>
        </w:trPr>
        <w:tc>
          <w:tcPr>
            <w:tcW w:w="1150" w:type="dxa"/>
            <w:tcBorders>
              <w:bottom w:val="single" w:sz="4" w:space="0" w:color="000000"/>
            </w:tcBorders>
          </w:tcPr>
          <w:p>
            <w:pPr>
              <w:pStyle w:val="TableParagraph"/>
              <w:spacing w:before="12"/>
              <w:ind w:left="45"/>
              <w:rPr>
                <w:sz w:val="16"/>
              </w:rPr>
            </w:pPr>
            <w:r>
              <w:rPr>
                <w:spacing w:val="-5"/>
                <w:sz w:val="16"/>
              </w:rPr>
              <w:t>15</w:t>
            </w:r>
          </w:p>
        </w:tc>
        <w:tc>
          <w:tcPr>
            <w:tcW w:w="2357" w:type="dxa"/>
            <w:tcBorders>
              <w:bottom w:val="single" w:sz="4" w:space="0" w:color="000000"/>
            </w:tcBorders>
          </w:tcPr>
          <w:p>
            <w:pPr>
              <w:pStyle w:val="TableParagraph"/>
              <w:spacing w:before="12"/>
              <w:ind w:left="9" w:right="1"/>
              <w:rPr>
                <w:sz w:val="16"/>
              </w:rPr>
            </w:pPr>
            <w:r>
              <w:rPr>
                <w:spacing w:val="-2"/>
                <w:sz w:val="16"/>
              </w:rPr>
              <w:t>0.4512</w:t>
            </w:r>
          </w:p>
        </w:tc>
        <w:tc>
          <w:tcPr>
            <w:tcW w:w="2124" w:type="dxa"/>
            <w:tcBorders>
              <w:bottom w:val="single" w:sz="4" w:space="0" w:color="000000"/>
            </w:tcBorders>
          </w:tcPr>
          <w:p>
            <w:pPr>
              <w:pStyle w:val="TableParagraph"/>
              <w:spacing w:before="12"/>
              <w:ind w:left="7" w:right="6"/>
              <w:rPr>
                <w:sz w:val="16"/>
              </w:rPr>
            </w:pPr>
            <w:r>
              <w:rPr>
                <w:spacing w:val="-2"/>
                <w:sz w:val="16"/>
              </w:rPr>
              <w:t>0.4525</w:t>
            </w:r>
          </w:p>
        </w:tc>
        <w:tc>
          <w:tcPr>
            <w:tcW w:w="1049" w:type="dxa"/>
            <w:tcBorders>
              <w:bottom w:val="single" w:sz="4" w:space="0" w:color="000000"/>
            </w:tcBorders>
          </w:tcPr>
          <w:p>
            <w:pPr>
              <w:pStyle w:val="TableParagraph"/>
              <w:spacing w:before="12"/>
              <w:ind w:right="3"/>
              <w:rPr>
                <w:sz w:val="16"/>
              </w:rPr>
            </w:pPr>
            <w:r>
              <w:rPr>
                <w:spacing w:val="-2"/>
                <w:sz w:val="16"/>
              </w:rPr>
              <w:t>0.2915</w:t>
            </w:r>
          </w:p>
        </w:tc>
      </w:tr>
    </w:tbl>
    <w:p>
      <w:pPr>
        <w:pStyle w:val="ListParagraph"/>
        <w:numPr>
          <w:ilvl w:val="1"/>
          <w:numId w:val="2"/>
        </w:numPr>
        <w:tabs>
          <w:tab w:pos="918" w:val="left" w:leader="none"/>
        </w:tabs>
        <w:spacing w:line="240" w:lineRule="auto" w:before="137" w:after="0"/>
        <w:ind w:left="918" w:right="0" w:hanging="720"/>
        <w:jc w:val="left"/>
        <w:rPr>
          <w:sz w:val="16"/>
        </w:rPr>
      </w:pPr>
      <w:r>
        <w:rPr>
          <w:sz w:val="16"/>
        </w:rPr>
        <w:t>Experimental</w:t>
      </w:r>
      <w:r>
        <w:rPr>
          <w:spacing w:val="-5"/>
          <w:sz w:val="16"/>
        </w:rPr>
        <w:t> </w:t>
      </w:r>
      <w:r>
        <w:rPr>
          <w:sz w:val="16"/>
        </w:rPr>
        <w:t>and</w:t>
      </w:r>
      <w:r>
        <w:rPr>
          <w:spacing w:val="-3"/>
          <w:sz w:val="16"/>
        </w:rPr>
        <w:t> </w:t>
      </w:r>
      <w:r>
        <w:rPr>
          <w:sz w:val="16"/>
        </w:rPr>
        <w:t>Simulated</w:t>
      </w:r>
      <w:r>
        <w:rPr>
          <w:spacing w:val="-2"/>
          <w:sz w:val="16"/>
        </w:rPr>
        <w:t> </w:t>
      </w:r>
      <w:r>
        <w:rPr>
          <w:sz w:val="16"/>
        </w:rPr>
        <w:t>Conversion</w:t>
      </w:r>
      <w:r>
        <w:rPr>
          <w:spacing w:val="-2"/>
          <w:sz w:val="16"/>
        </w:rPr>
        <w:t> </w:t>
      </w:r>
      <w:r>
        <w:rPr>
          <w:sz w:val="16"/>
        </w:rPr>
        <w:t>at</w:t>
      </w:r>
      <w:r>
        <w:rPr>
          <w:spacing w:val="-5"/>
          <w:sz w:val="16"/>
        </w:rPr>
        <w:t> </w:t>
      </w:r>
      <w:r>
        <w:rPr>
          <w:sz w:val="16"/>
        </w:rPr>
        <w:t>50</w:t>
      </w:r>
      <w:r>
        <w:rPr>
          <w:spacing w:val="-2"/>
          <w:sz w:val="16"/>
        </w:rPr>
        <w:t> </w:t>
      </w:r>
      <w:r>
        <w:rPr>
          <w:spacing w:val="-5"/>
          <w:sz w:val="16"/>
        </w:rPr>
        <w:t>°C</w:t>
      </w:r>
    </w:p>
    <w:p>
      <w:pPr>
        <w:pStyle w:val="BodyText"/>
        <w:spacing w:before="9"/>
        <w:rPr>
          <w:sz w:val="10"/>
        </w:rPr>
      </w:pPr>
    </w:p>
    <w:tbl>
      <w:tblPr>
        <w:tblW w:w="0" w:type="auto"/>
        <w:jc w:val="left"/>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9"/>
        <w:gridCol w:w="2395"/>
        <w:gridCol w:w="2145"/>
        <w:gridCol w:w="1046"/>
      </w:tblGrid>
      <w:tr>
        <w:trPr>
          <w:trHeight w:val="210" w:hRule="atLeast"/>
        </w:trPr>
        <w:tc>
          <w:tcPr>
            <w:tcW w:w="1169" w:type="dxa"/>
            <w:tcBorders>
              <w:top w:val="single" w:sz="4" w:space="0" w:color="000000"/>
              <w:bottom w:val="single" w:sz="4" w:space="0" w:color="000000"/>
            </w:tcBorders>
          </w:tcPr>
          <w:p>
            <w:pPr>
              <w:pStyle w:val="TableParagraph"/>
              <w:spacing w:before="4"/>
              <w:ind w:left="26" w:right="5"/>
              <w:rPr>
                <w:b/>
                <w:sz w:val="16"/>
              </w:rPr>
            </w:pPr>
            <w:r>
              <w:rPr>
                <w:b/>
                <w:sz w:val="16"/>
              </w:rPr>
              <w:t>Time</w:t>
            </w:r>
            <w:r>
              <w:rPr>
                <w:b/>
                <w:spacing w:val="-4"/>
                <w:sz w:val="16"/>
              </w:rPr>
              <w:t> </w:t>
            </w:r>
            <w:r>
              <w:rPr>
                <w:b/>
                <w:spacing w:val="-2"/>
                <w:sz w:val="16"/>
              </w:rPr>
              <w:t>(min)</w:t>
            </w:r>
          </w:p>
        </w:tc>
        <w:tc>
          <w:tcPr>
            <w:tcW w:w="2395" w:type="dxa"/>
            <w:tcBorders>
              <w:top w:val="single" w:sz="4" w:space="0" w:color="000000"/>
              <w:bottom w:val="single" w:sz="4" w:space="0" w:color="000000"/>
            </w:tcBorders>
          </w:tcPr>
          <w:p>
            <w:pPr>
              <w:pStyle w:val="TableParagraph"/>
              <w:spacing w:before="4"/>
              <w:ind w:left="9" w:right="9"/>
              <w:rPr>
                <w:b/>
                <w:sz w:val="16"/>
              </w:rPr>
            </w:pPr>
            <w:r>
              <w:rPr>
                <w:b/>
                <w:sz w:val="16"/>
              </w:rPr>
              <w:t>Conversion</w:t>
            </w:r>
            <w:r>
              <w:rPr>
                <w:b/>
                <w:spacing w:val="-9"/>
                <w:sz w:val="16"/>
              </w:rPr>
              <w:t> </w:t>
            </w:r>
            <w:r>
              <w:rPr>
                <w:b/>
                <w:sz w:val="16"/>
              </w:rPr>
              <w:t>Experimental</w:t>
            </w:r>
            <w:r>
              <w:rPr>
                <w:b/>
                <w:spacing w:val="-8"/>
                <w:sz w:val="16"/>
              </w:rPr>
              <w:t> </w:t>
            </w:r>
            <w:r>
              <w:rPr>
                <w:b/>
                <w:spacing w:val="-5"/>
                <w:sz w:val="16"/>
              </w:rPr>
              <w:t>(X)</w:t>
            </w:r>
          </w:p>
        </w:tc>
        <w:tc>
          <w:tcPr>
            <w:tcW w:w="2145" w:type="dxa"/>
            <w:tcBorders>
              <w:top w:val="single" w:sz="4" w:space="0" w:color="000000"/>
              <w:bottom w:val="single" w:sz="4" w:space="0" w:color="000000"/>
            </w:tcBorders>
          </w:tcPr>
          <w:p>
            <w:pPr>
              <w:pStyle w:val="TableParagraph"/>
              <w:spacing w:before="4"/>
              <w:ind w:left="19" w:right="10"/>
              <w:rPr>
                <w:b/>
                <w:sz w:val="16"/>
              </w:rPr>
            </w:pPr>
            <w:r>
              <w:rPr>
                <w:b/>
                <w:sz w:val="16"/>
              </w:rPr>
              <w:t>Conversion</w:t>
            </w:r>
            <w:r>
              <w:rPr>
                <w:b/>
                <w:spacing w:val="-7"/>
                <w:sz w:val="16"/>
              </w:rPr>
              <w:t> </w:t>
            </w:r>
            <w:r>
              <w:rPr>
                <w:b/>
                <w:sz w:val="16"/>
              </w:rPr>
              <w:t>Simulated</w:t>
            </w:r>
            <w:r>
              <w:rPr>
                <w:b/>
                <w:spacing w:val="-7"/>
                <w:sz w:val="16"/>
              </w:rPr>
              <w:t> </w:t>
            </w:r>
            <w:r>
              <w:rPr>
                <w:b/>
                <w:spacing w:val="-5"/>
                <w:sz w:val="16"/>
              </w:rPr>
              <w:t>(X)</w:t>
            </w:r>
          </w:p>
        </w:tc>
        <w:tc>
          <w:tcPr>
            <w:tcW w:w="1046" w:type="dxa"/>
            <w:tcBorders>
              <w:top w:val="single" w:sz="4" w:space="0" w:color="000000"/>
              <w:bottom w:val="single" w:sz="4" w:space="0" w:color="000000"/>
            </w:tcBorders>
          </w:tcPr>
          <w:p>
            <w:pPr>
              <w:pStyle w:val="TableParagraph"/>
              <w:spacing w:before="4"/>
              <w:ind w:left="25"/>
              <w:rPr>
                <w:b/>
                <w:sz w:val="16"/>
              </w:rPr>
            </w:pPr>
            <w:r>
              <w:rPr>
                <w:b/>
                <w:sz w:val="16"/>
              </w:rPr>
              <w:t>Error </w:t>
            </w:r>
            <w:r>
              <w:rPr>
                <w:b/>
                <w:spacing w:val="-5"/>
                <w:sz w:val="16"/>
              </w:rPr>
              <w:t>(%)</w:t>
            </w:r>
          </w:p>
        </w:tc>
      </w:tr>
      <w:tr>
        <w:trPr>
          <w:trHeight w:val="205" w:hRule="atLeast"/>
        </w:trPr>
        <w:tc>
          <w:tcPr>
            <w:tcW w:w="1169" w:type="dxa"/>
            <w:tcBorders>
              <w:top w:val="single" w:sz="4" w:space="0" w:color="000000"/>
            </w:tcBorders>
          </w:tcPr>
          <w:p>
            <w:pPr>
              <w:pStyle w:val="TableParagraph"/>
              <w:spacing w:line="182" w:lineRule="exact" w:before="4"/>
              <w:ind w:left="26" w:right="7"/>
              <w:rPr>
                <w:sz w:val="16"/>
              </w:rPr>
            </w:pPr>
            <w:r>
              <w:rPr>
                <w:spacing w:val="-10"/>
                <w:sz w:val="16"/>
              </w:rPr>
              <w:t>1</w:t>
            </w:r>
          </w:p>
        </w:tc>
        <w:tc>
          <w:tcPr>
            <w:tcW w:w="2395" w:type="dxa"/>
            <w:tcBorders>
              <w:top w:val="single" w:sz="4" w:space="0" w:color="000000"/>
            </w:tcBorders>
          </w:tcPr>
          <w:p>
            <w:pPr>
              <w:pStyle w:val="TableParagraph"/>
              <w:spacing w:line="182" w:lineRule="exact" w:before="4"/>
              <w:ind w:left="9"/>
              <w:rPr>
                <w:sz w:val="16"/>
              </w:rPr>
            </w:pPr>
            <w:r>
              <w:rPr>
                <w:spacing w:val="-2"/>
                <w:sz w:val="16"/>
              </w:rPr>
              <w:t>0.2272</w:t>
            </w:r>
          </w:p>
        </w:tc>
        <w:tc>
          <w:tcPr>
            <w:tcW w:w="2145" w:type="dxa"/>
            <w:tcBorders>
              <w:top w:val="single" w:sz="4" w:space="0" w:color="000000"/>
            </w:tcBorders>
          </w:tcPr>
          <w:p>
            <w:pPr>
              <w:pStyle w:val="TableParagraph"/>
              <w:spacing w:line="182" w:lineRule="exact" w:before="4"/>
              <w:ind w:left="19"/>
              <w:rPr>
                <w:sz w:val="16"/>
              </w:rPr>
            </w:pPr>
            <w:r>
              <w:rPr>
                <w:spacing w:val="-2"/>
                <w:sz w:val="16"/>
              </w:rPr>
              <w:t>0.2268</w:t>
            </w:r>
          </w:p>
        </w:tc>
        <w:tc>
          <w:tcPr>
            <w:tcW w:w="1046" w:type="dxa"/>
            <w:tcBorders>
              <w:top w:val="single" w:sz="4" w:space="0" w:color="000000"/>
            </w:tcBorders>
          </w:tcPr>
          <w:p>
            <w:pPr>
              <w:pStyle w:val="TableParagraph"/>
              <w:spacing w:line="182" w:lineRule="exact" w:before="4"/>
              <w:ind w:left="25"/>
              <w:rPr>
                <w:sz w:val="16"/>
              </w:rPr>
            </w:pPr>
            <w:r>
              <w:rPr>
                <w:spacing w:val="-2"/>
                <w:sz w:val="16"/>
              </w:rPr>
              <w:t>0.1868</w:t>
            </w:r>
          </w:p>
        </w:tc>
      </w:tr>
      <w:tr>
        <w:trPr>
          <w:trHeight w:val="216" w:hRule="atLeast"/>
        </w:trPr>
        <w:tc>
          <w:tcPr>
            <w:tcW w:w="1169" w:type="dxa"/>
          </w:tcPr>
          <w:p>
            <w:pPr>
              <w:pStyle w:val="TableParagraph"/>
              <w:ind w:left="26" w:right="7"/>
              <w:rPr>
                <w:sz w:val="16"/>
              </w:rPr>
            </w:pPr>
            <w:r>
              <w:rPr>
                <w:spacing w:val="-10"/>
                <w:sz w:val="16"/>
              </w:rPr>
              <w:t>3</w:t>
            </w:r>
          </w:p>
        </w:tc>
        <w:tc>
          <w:tcPr>
            <w:tcW w:w="2395" w:type="dxa"/>
          </w:tcPr>
          <w:p>
            <w:pPr>
              <w:pStyle w:val="TableParagraph"/>
              <w:ind w:left="9"/>
              <w:rPr>
                <w:sz w:val="16"/>
              </w:rPr>
            </w:pPr>
            <w:r>
              <w:rPr>
                <w:spacing w:val="-2"/>
                <w:sz w:val="16"/>
              </w:rPr>
              <w:t>0.3800</w:t>
            </w:r>
          </w:p>
        </w:tc>
        <w:tc>
          <w:tcPr>
            <w:tcW w:w="2145" w:type="dxa"/>
          </w:tcPr>
          <w:p>
            <w:pPr>
              <w:pStyle w:val="TableParagraph"/>
              <w:ind w:left="19"/>
              <w:rPr>
                <w:sz w:val="16"/>
              </w:rPr>
            </w:pPr>
            <w:r>
              <w:rPr>
                <w:spacing w:val="-2"/>
                <w:sz w:val="16"/>
              </w:rPr>
              <w:t>0.3778</w:t>
            </w:r>
          </w:p>
        </w:tc>
        <w:tc>
          <w:tcPr>
            <w:tcW w:w="1046" w:type="dxa"/>
          </w:tcPr>
          <w:p>
            <w:pPr>
              <w:pStyle w:val="TableParagraph"/>
              <w:ind w:left="25"/>
              <w:rPr>
                <w:sz w:val="16"/>
              </w:rPr>
            </w:pPr>
            <w:r>
              <w:rPr>
                <w:spacing w:val="-2"/>
                <w:sz w:val="16"/>
              </w:rPr>
              <w:t>0.5914</w:t>
            </w:r>
          </w:p>
        </w:tc>
      </w:tr>
      <w:tr>
        <w:trPr>
          <w:trHeight w:val="218" w:hRule="atLeast"/>
        </w:trPr>
        <w:tc>
          <w:tcPr>
            <w:tcW w:w="1169" w:type="dxa"/>
          </w:tcPr>
          <w:p>
            <w:pPr>
              <w:pStyle w:val="TableParagraph"/>
              <w:spacing w:before="14"/>
              <w:ind w:left="26" w:right="7"/>
              <w:rPr>
                <w:sz w:val="16"/>
              </w:rPr>
            </w:pPr>
            <w:r>
              <w:rPr>
                <w:spacing w:val="-10"/>
                <w:sz w:val="16"/>
              </w:rPr>
              <w:t>6</w:t>
            </w:r>
          </w:p>
        </w:tc>
        <w:tc>
          <w:tcPr>
            <w:tcW w:w="2395" w:type="dxa"/>
          </w:tcPr>
          <w:p>
            <w:pPr>
              <w:pStyle w:val="TableParagraph"/>
              <w:spacing w:before="14"/>
              <w:ind w:left="9"/>
              <w:rPr>
                <w:sz w:val="16"/>
              </w:rPr>
            </w:pPr>
            <w:r>
              <w:rPr>
                <w:spacing w:val="-2"/>
                <w:sz w:val="16"/>
              </w:rPr>
              <w:t>0.4380</w:t>
            </w:r>
          </w:p>
        </w:tc>
        <w:tc>
          <w:tcPr>
            <w:tcW w:w="2145" w:type="dxa"/>
          </w:tcPr>
          <w:p>
            <w:pPr>
              <w:pStyle w:val="TableParagraph"/>
              <w:spacing w:before="14"/>
              <w:ind w:left="19"/>
              <w:rPr>
                <w:sz w:val="16"/>
              </w:rPr>
            </w:pPr>
            <w:r>
              <w:rPr>
                <w:spacing w:val="-2"/>
                <w:sz w:val="16"/>
              </w:rPr>
              <w:t>0.4360</w:t>
            </w:r>
          </w:p>
        </w:tc>
        <w:tc>
          <w:tcPr>
            <w:tcW w:w="1046" w:type="dxa"/>
          </w:tcPr>
          <w:p>
            <w:pPr>
              <w:pStyle w:val="TableParagraph"/>
              <w:spacing w:before="14"/>
              <w:ind w:left="25"/>
              <w:rPr>
                <w:sz w:val="16"/>
              </w:rPr>
            </w:pPr>
            <w:r>
              <w:rPr>
                <w:spacing w:val="-2"/>
                <w:sz w:val="16"/>
              </w:rPr>
              <w:t>0.4470</w:t>
            </w:r>
          </w:p>
        </w:tc>
      </w:tr>
      <w:tr>
        <w:trPr>
          <w:trHeight w:val="213" w:hRule="atLeast"/>
        </w:trPr>
        <w:tc>
          <w:tcPr>
            <w:tcW w:w="1169" w:type="dxa"/>
          </w:tcPr>
          <w:p>
            <w:pPr>
              <w:pStyle w:val="TableParagraph"/>
              <w:spacing w:line="182" w:lineRule="exact" w:before="12"/>
              <w:ind w:left="26" w:right="7"/>
              <w:rPr>
                <w:sz w:val="16"/>
              </w:rPr>
            </w:pPr>
            <w:r>
              <w:rPr>
                <w:spacing w:val="-10"/>
                <w:sz w:val="16"/>
              </w:rPr>
              <w:t>9</w:t>
            </w:r>
          </w:p>
        </w:tc>
        <w:tc>
          <w:tcPr>
            <w:tcW w:w="2395" w:type="dxa"/>
          </w:tcPr>
          <w:p>
            <w:pPr>
              <w:pStyle w:val="TableParagraph"/>
              <w:spacing w:line="182" w:lineRule="exact" w:before="12"/>
              <w:ind w:left="9"/>
              <w:rPr>
                <w:sz w:val="16"/>
              </w:rPr>
            </w:pPr>
            <w:r>
              <w:rPr>
                <w:spacing w:val="-2"/>
                <w:sz w:val="16"/>
              </w:rPr>
              <w:t>0.4512</w:t>
            </w:r>
          </w:p>
        </w:tc>
        <w:tc>
          <w:tcPr>
            <w:tcW w:w="2145" w:type="dxa"/>
          </w:tcPr>
          <w:p>
            <w:pPr>
              <w:pStyle w:val="TableParagraph"/>
              <w:spacing w:line="182" w:lineRule="exact" w:before="12"/>
              <w:ind w:left="19"/>
              <w:rPr>
                <w:sz w:val="16"/>
              </w:rPr>
            </w:pPr>
            <w:r>
              <w:rPr>
                <w:spacing w:val="-2"/>
                <w:sz w:val="16"/>
              </w:rPr>
              <w:t>0.4500</w:t>
            </w:r>
          </w:p>
        </w:tc>
        <w:tc>
          <w:tcPr>
            <w:tcW w:w="1046" w:type="dxa"/>
          </w:tcPr>
          <w:p>
            <w:pPr>
              <w:pStyle w:val="TableParagraph"/>
              <w:spacing w:line="182" w:lineRule="exact" w:before="12"/>
              <w:ind w:left="25"/>
              <w:rPr>
                <w:sz w:val="16"/>
              </w:rPr>
            </w:pPr>
            <w:r>
              <w:rPr>
                <w:spacing w:val="-2"/>
                <w:sz w:val="16"/>
              </w:rPr>
              <w:t>0.2578</w:t>
            </w:r>
          </w:p>
        </w:tc>
      </w:tr>
      <w:tr>
        <w:trPr>
          <w:trHeight w:val="211" w:hRule="atLeast"/>
        </w:trPr>
        <w:tc>
          <w:tcPr>
            <w:tcW w:w="1169" w:type="dxa"/>
          </w:tcPr>
          <w:p>
            <w:pPr>
              <w:pStyle w:val="TableParagraph"/>
              <w:spacing w:line="182" w:lineRule="exact"/>
              <w:ind w:left="26"/>
              <w:rPr>
                <w:sz w:val="16"/>
              </w:rPr>
            </w:pPr>
            <w:r>
              <w:rPr>
                <w:spacing w:val="-5"/>
                <w:sz w:val="16"/>
              </w:rPr>
              <w:t>12</w:t>
            </w:r>
          </w:p>
        </w:tc>
        <w:tc>
          <w:tcPr>
            <w:tcW w:w="2395" w:type="dxa"/>
          </w:tcPr>
          <w:p>
            <w:pPr>
              <w:pStyle w:val="TableParagraph"/>
              <w:spacing w:line="182" w:lineRule="exact"/>
              <w:ind w:left="9"/>
              <w:rPr>
                <w:sz w:val="16"/>
              </w:rPr>
            </w:pPr>
            <w:r>
              <w:rPr>
                <w:spacing w:val="-2"/>
                <w:sz w:val="16"/>
              </w:rPr>
              <w:t>0.4540</w:t>
            </w:r>
          </w:p>
        </w:tc>
        <w:tc>
          <w:tcPr>
            <w:tcW w:w="2145" w:type="dxa"/>
          </w:tcPr>
          <w:p>
            <w:pPr>
              <w:pStyle w:val="TableParagraph"/>
              <w:spacing w:line="182" w:lineRule="exact"/>
              <w:ind w:left="19"/>
              <w:rPr>
                <w:sz w:val="16"/>
              </w:rPr>
            </w:pPr>
            <w:r>
              <w:rPr>
                <w:spacing w:val="-2"/>
                <w:sz w:val="16"/>
              </w:rPr>
              <w:t>0.4537</w:t>
            </w:r>
          </w:p>
        </w:tc>
        <w:tc>
          <w:tcPr>
            <w:tcW w:w="1046" w:type="dxa"/>
          </w:tcPr>
          <w:p>
            <w:pPr>
              <w:pStyle w:val="TableParagraph"/>
              <w:spacing w:line="182" w:lineRule="exact"/>
              <w:ind w:left="25"/>
              <w:rPr>
                <w:sz w:val="16"/>
              </w:rPr>
            </w:pPr>
            <w:r>
              <w:rPr>
                <w:spacing w:val="-2"/>
                <w:sz w:val="16"/>
              </w:rPr>
              <w:t>0.0621</w:t>
            </w:r>
          </w:p>
        </w:tc>
      </w:tr>
      <w:tr>
        <w:trPr>
          <w:trHeight w:val="221" w:hRule="atLeast"/>
        </w:trPr>
        <w:tc>
          <w:tcPr>
            <w:tcW w:w="1169" w:type="dxa"/>
            <w:tcBorders>
              <w:bottom w:val="single" w:sz="4" w:space="0" w:color="000000"/>
            </w:tcBorders>
          </w:tcPr>
          <w:p>
            <w:pPr>
              <w:pStyle w:val="TableParagraph"/>
              <w:ind w:left="26"/>
              <w:rPr>
                <w:sz w:val="16"/>
              </w:rPr>
            </w:pPr>
            <w:r>
              <w:rPr>
                <w:spacing w:val="-5"/>
                <w:sz w:val="16"/>
              </w:rPr>
              <w:t>15</w:t>
            </w:r>
          </w:p>
        </w:tc>
        <w:tc>
          <w:tcPr>
            <w:tcW w:w="2395" w:type="dxa"/>
            <w:tcBorders>
              <w:bottom w:val="single" w:sz="4" w:space="0" w:color="000000"/>
            </w:tcBorders>
          </w:tcPr>
          <w:p>
            <w:pPr>
              <w:pStyle w:val="TableParagraph"/>
              <w:ind w:left="9"/>
              <w:rPr>
                <w:sz w:val="16"/>
              </w:rPr>
            </w:pPr>
            <w:r>
              <w:rPr>
                <w:spacing w:val="-2"/>
                <w:sz w:val="16"/>
              </w:rPr>
              <w:t>0.4552</w:t>
            </w:r>
          </w:p>
        </w:tc>
        <w:tc>
          <w:tcPr>
            <w:tcW w:w="2145" w:type="dxa"/>
            <w:tcBorders>
              <w:bottom w:val="single" w:sz="4" w:space="0" w:color="000000"/>
            </w:tcBorders>
          </w:tcPr>
          <w:p>
            <w:pPr>
              <w:pStyle w:val="TableParagraph"/>
              <w:ind w:left="19"/>
              <w:rPr>
                <w:sz w:val="16"/>
              </w:rPr>
            </w:pPr>
            <w:r>
              <w:rPr>
                <w:spacing w:val="-2"/>
                <w:sz w:val="16"/>
              </w:rPr>
              <w:t>0.4547</w:t>
            </w:r>
          </w:p>
        </w:tc>
        <w:tc>
          <w:tcPr>
            <w:tcW w:w="1046" w:type="dxa"/>
            <w:tcBorders>
              <w:bottom w:val="single" w:sz="4" w:space="0" w:color="000000"/>
            </w:tcBorders>
          </w:tcPr>
          <w:p>
            <w:pPr>
              <w:pStyle w:val="TableParagraph"/>
              <w:ind w:left="25"/>
              <w:rPr>
                <w:sz w:val="16"/>
              </w:rPr>
            </w:pPr>
            <w:r>
              <w:rPr>
                <w:spacing w:val="-2"/>
                <w:sz w:val="16"/>
              </w:rPr>
              <w:t>0.1077</w:t>
            </w:r>
          </w:p>
        </w:tc>
      </w:tr>
    </w:tbl>
    <w:p>
      <w:pPr>
        <w:pStyle w:val="ListParagraph"/>
        <w:numPr>
          <w:ilvl w:val="1"/>
          <w:numId w:val="2"/>
        </w:numPr>
        <w:tabs>
          <w:tab w:pos="918" w:val="left" w:leader="none"/>
        </w:tabs>
        <w:spacing w:line="240" w:lineRule="auto" w:before="136" w:after="0"/>
        <w:ind w:left="918" w:right="0" w:hanging="720"/>
        <w:jc w:val="left"/>
        <w:rPr>
          <w:sz w:val="16"/>
        </w:rPr>
      </w:pPr>
      <w:r>
        <w:rPr>
          <w:sz w:val="16"/>
        </w:rPr>
        <w:t>Experimental</w:t>
      </w:r>
      <w:r>
        <w:rPr>
          <w:spacing w:val="-5"/>
          <w:sz w:val="16"/>
        </w:rPr>
        <w:t> </w:t>
      </w:r>
      <w:r>
        <w:rPr>
          <w:sz w:val="16"/>
        </w:rPr>
        <w:t>and</w:t>
      </w:r>
      <w:r>
        <w:rPr>
          <w:spacing w:val="-3"/>
          <w:sz w:val="16"/>
        </w:rPr>
        <w:t> </w:t>
      </w:r>
      <w:r>
        <w:rPr>
          <w:sz w:val="16"/>
        </w:rPr>
        <w:t>Simulated</w:t>
      </w:r>
      <w:r>
        <w:rPr>
          <w:spacing w:val="-2"/>
          <w:sz w:val="16"/>
        </w:rPr>
        <w:t> </w:t>
      </w:r>
      <w:r>
        <w:rPr>
          <w:sz w:val="16"/>
        </w:rPr>
        <w:t>Conversion</w:t>
      </w:r>
      <w:r>
        <w:rPr>
          <w:spacing w:val="-2"/>
          <w:sz w:val="16"/>
        </w:rPr>
        <w:t> </w:t>
      </w:r>
      <w:r>
        <w:rPr>
          <w:sz w:val="16"/>
        </w:rPr>
        <w:t>at</w:t>
      </w:r>
      <w:r>
        <w:rPr>
          <w:spacing w:val="-5"/>
          <w:sz w:val="16"/>
        </w:rPr>
        <w:t> </w:t>
      </w:r>
      <w:r>
        <w:rPr>
          <w:sz w:val="16"/>
        </w:rPr>
        <w:t>60</w:t>
      </w:r>
      <w:r>
        <w:rPr>
          <w:spacing w:val="-2"/>
          <w:sz w:val="16"/>
        </w:rPr>
        <w:t> </w:t>
      </w:r>
      <w:r>
        <w:rPr>
          <w:spacing w:val="-5"/>
          <w:sz w:val="16"/>
        </w:rPr>
        <w:t>°C</w:t>
      </w:r>
    </w:p>
    <w:p>
      <w:pPr>
        <w:pStyle w:val="BodyText"/>
        <w:spacing w:before="4"/>
        <w:rPr>
          <w:sz w:val="10"/>
        </w:rPr>
      </w:pPr>
    </w:p>
    <w:tbl>
      <w:tblPr>
        <w:tblW w:w="0" w:type="auto"/>
        <w:jc w:val="left"/>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1"/>
        <w:gridCol w:w="2409"/>
        <w:gridCol w:w="2138"/>
        <w:gridCol w:w="1049"/>
      </w:tblGrid>
      <w:tr>
        <w:trPr>
          <w:trHeight w:val="207" w:hRule="atLeast"/>
        </w:trPr>
        <w:tc>
          <w:tcPr>
            <w:tcW w:w="1231" w:type="dxa"/>
            <w:tcBorders>
              <w:top w:val="single" w:sz="4" w:space="0" w:color="000000"/>
            </w:tcBorders>
          </w:tcPr>
          <w:p>
            <w:pPr>
              <w:pStyle w:val="TableParagraph"/>
              <w:spacing w:before="4"/>
              <w:ind w:left="60" w:right="15"/>
              <w:rPr>
                <w:b/>
                <w:sz w:val="16"/>
              </w:rPr>
            </w:pPr>
            <w:r>
              <w:rPr>
                <w:b/>
                <w:sz w:val="16"/>
              </w:rPr>
              <w:t>Time</w:t>
            </w:r>
            <w:r>
              <w:rPr>
                <w:b/>
                <w:spacing w:val="-4"/>
                <w:sz w:val="16"/>
              </w:rPr>
              <w:t> </w:t>
            </w:r>
            <w:r>
              <w:rPr>
                <w:b/>
                <w:spacing w:val="-2"/>
                <w:sz w:val="16"/>
              </w:rPr>
              <w:t>(min)</w:t>
            </w:r>
          </w:p>
        </w:tc>
        <w:tc>
          <w:tcPr>
            <w:tcW w:w="2409" w:type="dxa"/>
            <w:tcBorders>
              <w:top w:val="single" w:sz="4" w:space="0" w:color="000000"/>
            </w:tcBorders>
          </w:tcPr>
          <w:p>
            <w:pPr>
              <w:pStyle w:val="TableParagraph"/>
              <w:spacing w:before="4"/>
              <w:ind w:left="34" w:right="10"/>
              <w:rPr>
                <w:b/>
                <w:sz w:val="16"/>
              </w:rPr>
            </w:pPr>
            <w:r>
              <w:rPr>
                <w:b/>
                <w:sz w:val="16"/>
              </w:rPr>
              <w:t>Conversion</w:t>
            </w:r>
            <w:r>
              <w:rPr>
                <w:b/>
                <w:spacing w:val="-9"/>
                <w:sz w:val="16"/>
              </w:rPr>
              <w:t> </w:t>
            </w:r>
            <w:r>
              <w:rPr>
                <w:b/>
                <w:sz w:val="16"/>
              </w:rPr>
              <w:t>Experimental</w:t>
            </w:r>
            <w:r>
              <w:rPr>
                <w:b/>
                <w:spacing w:val="-8"/>
                <w:sz w:val="16"/>
              </w:rPr>
              <w:t> </w:t>
            </w:r>
            <w:r>
              <w:rPr>
                <w:b/>
                <w:spacing w:val="-5"/>
                <w:sz w:val="16"/>
              </w:rPr>
              <w:t>(X)</w:t>
            </w:r>
          </w:p>
        </w:tc>
        <w:tc>
          <w:tcPr>
            <w:tcW w:w="2138" w:type="dxa"/>
            <w:tcBorders>
              <w:top w:val="single" w:sz="4" w:space="0" w:color="000000"/>
            </w:tcBorders>
          </w:tcPr>
          <w:p>
            <w:pPr>
              <w:pStyle w:val="TableParagraph"/>
              <w:spacing w:before="4"/>
              <w:ind w:right="10"/>
              <w:rPr>
                <w:b/>
                <w:sz w:val="16"/>
              </w:rPr>
            </w:pPr>
            <w:r>
              <w:rPr>
                <w:b/>
                <w:sz w:val="16"/>
              </w:rPr>
              <w:t>Conversion</w:t>
            </w:r>
            <w:r>
              <w:rPr>
                <w:b/>
                <w:spacing w:val="-7"/>
                <w:sz w:val="16"/>
              </w:rPr>
              <w:t> </w:t>
            </w:r>
            <w:r>
              <w:rPr>
                <w:b/>
                <w:sz w:val="16"/>
              </w:rPr>
              <w:t>Simulated</w:t>
            </w:r>
            <w:r>
              <w:rPr>
                <w:b/>
                <w:spacing w:val="-7"/>
                <w:sz w:val="16"/>
              </w:rPr>
              <w:t> </w:t>
            </w:r>
            <w:r>
              <w:rPr>
                <w:b/>
                <w:spacing w:val="-5"/>
                <w:sz w:val="16"/>
              </w:rPr>
              <w:t>(X)</w:t>
            </w:r>
          </w:p>
        </w:tc>
        <w:tc>
          <w:tcPr>
            <w:tcW w:w="1049" w:type="dxa"/>
            <w:tcBorders>
              <w:top w:val="single" w:sz="4" w:space="0" w:color="000000"/>
            </w:tcBorders>
          </w:tcPr>
          <w:p>
            <w:pPr>
              <w:pStyle w:val="TableParagraph"/>
              <w:spacing w:before="4"/>
              <w:rPr>
                <w:b/>
                <w:sz w:val="16"/>
              </w:rPr>
            </w:pPr>
            <w:r>
              <w:rPr>
                <w:b/>
                <w:sz w:val="16"/>
              </w:rPr>
              <w:t>Error </w:t>
            </w:r>
            <w:r>
              <w:rPr>
                <w:b/>
                <w:spacing w:val="-5"/>
                <w:sz w:val="16"/>
              </w:rPr>
              <w:t>(%)</w:t>
            </w:r>
          </w:p>
        </w:tc>
      </w:tr>
      <w:tr>
        <w:trPr>
          <w:trHeight w:val="213" w:hRule="atLeast"/>
        </w:trPr>
        <w:tc>
          <w:tcPr>
            <w:tcW w:w="1231" w:type="dxa"/>
          </w:tcPr>
          <w:p>
            <w:pPr>
              <w:pStyle w:val="TableParagraph"/>
              <w:spacing w:line="182" w:lineRule="exact" w:before="12"/>
              <w:ind w:left="60" w:right="7"/>
              <w:rPr>
                <w:sz w:val="16"/>
              </w:rPr>
            </w:pPr>
            <w:r>
              <w:rPr>
                <w:spacing w:val="-10"/>
                <w:sz w:val="16"/>
              </w:rPr>
              <w:t>1</w:t>
            </w:r>
          </w:p>
        </w:tc>
        <w:tc>
          <w:tcPr>
            <w:tcW w:w="2409" w:type="dxa"/>
          </w:tcPr>
          <w:p>
            <w:pPr>
              <w:pStyle w:val="TableParagraph"/>
              <w:spacing w:line="182" w:lineRule="exact" w:before="12"/>
              <w:ind w:left="34"/>
              <w:rPr>
                <w:sz w:val="16"/>
              </w:rPr>
            </w:pPr>
            <w:r>
              <w:rPr>
                <w:spacing w:val="-2"/>
                <w:sz w:val="16"/>
              </w:rPr>
              <w:t>0.2756</w:t>
            </w:r>
          </w:p>
        </w:tc>
        <w:tc>
          <w:tcPr>
            <w:tcW w:w="2138" w:type="dxa"/>
          </w:tcPr>
          <w:p>
            <w:pPr>
              <w:pStyle w:val="TableParagraph"/>
              <w:spacing w:line="182" w:lineRule="exact" w:before="12"/>
              <w:rPr>
                <w:sz w:val="16"/>
              </w:rPr>
            </w:pPr>
            <w:r>
              <w:rPr>
                <w:spacing w:val="-2"/>
                <w:sz w:val="16"/>
              </w:rPr>
              <w:t>0.2744</w:t>
            </w:r>
          </w:p>
        </w:tc>
        <w:tc>
          <w:tcPr>
            <w:tcW w:w="1049" w:type="dxa"/>
          </w:tcPr>
          <w:p>
            <w:pPr>
              <w:pStyle w:val="TableParagraph"/>
              <w:spacing w:line="182" w:lineRule="exact" w:before="12"/>
              <w:rPr>
                <w:sz w:val="16"/>
              </w:rPr>
            </w:pPr>
            <w:r>
              <w:rPr>
                <w:spacing w:val="-2"/>
                <w:sz w:val="16"/>
              </w:rPr>
              <w:t>0.4476</w:t>
            </w:r>
          </w:p>
        </w:tc>
      </w:tr>
      <w:tr>
        <w:trPr>
          <w:trHeight w:val="213" w:hRule="atLeast"/>
        </w:trPr>
        <w:tc>
          <w:tcPr>
            <w:tcW w:w="1231" w:type="dxa"/>
          </w:tcPr>
          <w:p>
            <w:pPr>
              <w:pStyle w:val="TableParagraph"/>
              <w:ind w:left="60" w:right="7"/>
              <w:rPr>
                <w:sz w:val="16"/>
              </w:rPr>
            </w:pPr>
            <w:r>
              <w:rPr>
                <w:spacing w:val="-10"/>
                <w:sz w:val="16"/>
              </w:rPr>
              <w:t>3</w:t>
            </w:r>
          </w:p>
        </w:tc>
        <w:tc>
          <w:tcPr>
            <w:tcW w:w="2409" w:type="dxa"/>
          </w:tcPr>
          <w:p>
            <w:pPr>
              <w:pStyle w:val="TableParagraph"/>
              <w:ind w:left="34"/>
              <w:rPr>
                <w:sz w:val="16"/>
              </w:rPr>
            </w:pPr>
            <w:r>
              <w:rPr>
                <w:spacing w:val="-2"/>
                <w:sz w:val="16"/>
              </w:rPr>
              <w:t>0.4090</w:t>
            </w:r>
          </w:p>
        </w:tc>
        <w:tc>
          <w:tcPr>
            <w:tcW w:w="2138" w:type="dxa"/>
          </w:tcPr>
          <w:p>
            <w:pPr>
              <w:pStyle w:val="TableParagraph"/>
              <w:rPr>
                <w:sz w:val="16"/>
              </w:rPr>
            </w:pPr>
            <w:r>
              <w:rPr>
                <w:spacing w:val="-2"/>
                <w:sz w:val="16"/>
              </w:rPr>
              <w:t>0.4113</w:t>
            </w:r>
          </w:p>
        </w:tc>
        <w:tc>
          <w:tcPr>
            <w:tcW w:w="1049" w:type="dxa"/>
          </w:tcPr>
          <w:p>
            <w:pPr>
              <w:pStyle w:val="TableParagraph"/>
              <w:rPr>
                <w:sz w:val="16"/>
              </w:rPr>
            </w:pPr>
            <w:r>
              <w:rPr>
                <w:spacing w:val="-2"/>
                <w:sz w:val="16"/>
              </w:rPr>
              <w:t>0.5634</w:t>
            </w:r>
          </w:p>
        </w:tc>
      </w:tr>
      <w:tr>
        <w:trPr>
          <w:trHeight w:val="218" w:hRule="atLeast"/>
        </w:trPr>
        <w:tc>
          <w:tcPr>
            <w:tcW w:w="1231" w:type="dxa"/>
          </w:tcPr>
          <w:p>
            <w:pPr>
              <w:pStyle w:val="TableParagraph"/>
              <w:spacing w:before="12"/>
              <w:ind w:left="60" w:right="7"/>
              <w:rPr>
                <w:sz w:val="16"/>
              </w:rPr>
            </w:pPr>
            <w:r>
              <w:rPr>
                <w:spacing w:val="-10"/>
                <w:sz w:val="16"/>
              </w:rPr>
              <w:t>6</w:t>
            </w:r>
          </w:p>
        </w:tc>
        <w:tc>
          <w:tcPr>
            <w:tcW w:w="2409" w:type="dxa"/>
          </w:tcPr>
          <w:p>
            <w:pPr>
              <w:pStyle w:val="TableParagraph"/>
              <w:spacing w:before="12"/>
              <w:ind w:left="34"/>
              <w:rPr>
                <w:sz w:val="16"/>
              </w:rPr>
            </w:pPr>
            <w:r>
              <w:rPr>
                <w:spacing w:val="-2"/>
                <w:sz w:val="16"/>
              </w:rPr>
              <w:t>0.4480</w:t>
            </w:r>
          </w:p>
        </w:tc>
        <w:tc>
          <w:tcPr>
            <w:tcW w:w="2138" w:type="dxa"/>
          </w:tcPr>
          <w:p>
            <w:pPr>
              <w:pStyle w:val="TableParagraph"/>
              <w:spacing w:before="12"/>
              <w:rPr>
                <w:sz w:val="16"/>
              </w:rPr>
            </w:pPr>
            <w:r>
              <w:rPr>
                <w:spacing w:val="-2"/>
                <w:sz w:val="16"/>
              </w:rPr>
              <w:t>0.4484</w:t>
            </w:r>
          </w:p>
        </w:tc>
        <w:tc>
          <w:tcPr>
            <w:tcW w:w="1049" w:type="dxa"/>
          </w:tcPr>
          <w:p>
            <w:pPr>
              <w:pStyle w:val="TableParagraph"/>
              <w:spacing w:before="12"/>
              <w:rPr>
                <w:sz w:val="16"/>
              </w:rPr>
            </w:pPr>
            <w:r>
              <w:rPr>
                <w:spacing w:val="-2"/>
                <w:sz w:val="16"/>
              </w:rPr>
              <w:t>0.0888</w:t>
            </w:r>
          </w:p>
        </w:tc>
      </w:tr>
      <w:tr>
        <w:trPr>
          <w:trHeight w:val="215" w:hRule="atLeast"/>
        </w:trPr>
        <w:tc>
          <w:tcPr>
            <w:tcW w:w="1231" w:type="dxa"/>
          </w:tcPr>
          <w:p>
            <w:pPr>
              <w:pStyle w:val="TableParagraph"/>
              <w:spacing w:line="182" w:lineRule="exact" w:before="14"/>
              <w:ind w:left="60" w:right="7"/>
              <w:rPr>
                <w:sz w:val="16"/>
              </w:rPr>
            </w:pPr>
            <w:r>
              <w:rPr>
                <w:spacing w:val="-10"/>
                <w:sz w:val="16"/>
              </w:rPr>
              <w:t>9</w:t>
            </w:r>
          </w:p>
        </w:tc>
        <w:tc>
          <w:tcPr>
            <w:tcW w:w="2409" w:type="dxa"/>
          </w:tcPr>
          <w:p>
            <w:pPr>
              <w:pStyle w:val="TableParagraph"/>
              <w:spacing w:line="182" w:lineRule="exact" w:before="14"/>
              <w:ind w:left="34"/>
              <w:rPr>
                <w:sz w:val="16"/>
              </w:rPr>
            </w:pPr>
            <w:r>
              <w:rPr>
                <w:spacing w:val="-2"/>
                <w:sz w:val="16"/>
              </w:rPr>
              <w:t>0.4540</w:t>
            </w:r>
          </w:p>
        </w:tc>
        <w:tc>
          <w:tcPr>
            <w:tcW w:w="2138" w:type="dxa"/>
          </w:tcPr>
          <w:p>
            <w:pPr>
              <w:pStyle w:val="TableParagraph"/>
              <w:spacing w:line="182" w:lineRule="exact" w:before="14"/>
              <w:rPr>
                <w:sz w:val="16"/>
              </w:rPr>
            </w:pPr>
            <w:r>
              <w:rPr>
                <w:spacing w:val="-2"/>
                <w:sz w:val="16"/>
              </w:rPr>
              <w:t>0.4540</w:t>
            </w:r>
          </w:p>
        </w:tc>
        <w:tc>
          <w:tcPr>
            <w:tcW w:w="1049" w:type="dxa"/>
          </w:tcPr>
          <w:p>
            <w:pPr>
              <w:pStyle w:val="TableParagraph"/>
              <w:spacing w:line="182" w:lineRule="exact" w:before="14"/>
              <w:rPr>
                <w:sz w:val="16"/>
              </w:rPr>
            </w:pPr>
            <w:r>
              <w:rPr>
                <w:spacing w:val="-2"/>
                <w:sz w:val="16"/>
              </w:rPr>
              <w:t>0.0003</w:t>
            </w:r>
          </w:p>
        </w:tc>
      </w:tr>
      <w:tr>
        <w:trPr>
          <w:trHeight w:val="211" w:hRule="atLeast"/>
        </w:trPr>
        <w:tc>
          <w:tcPr>
            <w:tcW w:w="1231" w:type="dxa"/>
          </w:tcPr>
          <w:p>
            <w:pPr>
              <w:pStyle w:val="TableParagraph"/>
              <w:spacing w:line="182" w:lineRule="exact"/>
              <w:ind w:left="60"/>
              <w:rPr>
                <w:sz w:val="16"/>
              </w:rPr>
            </w:pPr>
            <w:r>
              <w:rPr>
                <w:spacing w:val="-5"/>
                <w:sz w:val="16"/>
              </w:rPr>
              <w:t>12</w:t>
            </w:r>
          </w:p>
        </w:tc>
        <w:tc>
          <w:tcPr>
            <w:tcW w:w="2409" w:type="dxa"/>
          </w:tcPr>
          <w:p>
            <w:pPr>
              <w:pStyle w:val="TableParagraph"/>
              <w:spacing w:line="182" w:lineRule="exact"/>
              <w:ind w:left="34"/>
              <w:rPr>
                <w:sz w:val="16"/>
              </w:rPr>
            </w:pPr>
            <w:r>
              <w:rPr>
                <w:spacing w:val="-2"/>
                <w:sz w:val="16"/>
              </w:rPr>
              <w:t>0.4552</w:t>
            </w:r>
          </w:p>
        </w:tc>
        <w:tc>
          <w:tcPr>
            <w:tcW w:w="2138" w:type="dxa"/>
          </w:tcPr>
          <w:p>
            <w:pPr>
              <w:pStyle w:val="TableParagraph"/>
              <w:spacing w:line="182" w:lineRule="exact"/>
              <w:rPr>
                <w:sz w:val="16"/>
              </w:rPr>
            </w:pPr>
            <w:r>
              <w:rPr>
                <w:spacing w:val="-2"/>
                <w:sz w:val="16"/>
              </w:rPr>
              <w:t>0.4549</w:t>
            </w:r>
          </w:p>
        </w:tc>
        <w:tc>
          <w:tcPr>
            <w:tcW w:w="1049" w:type="dxa"/>
          </w:tcPr>
          <w:p>
            <w:pPr>
              <w:pStyle w:val="TableParagraph"/>
              <w:spacing w:line="182" w:lineRule="exact"/>
              <w:rPr>
                <w:sz w:val="16"/>
              </w:rPr>
            </w:pPr>
            <w:r>
              <w:rPr>
                <w:spacing w:val="-2"/>
                <w:sz w:val="16"/>
              </w:rPr>
              <w:t>0.0653</w:t>
            </w:r>
          </w:p>
        </w:tc>
      </w:tr>
      <w:tr>
        <w:trPr>
          <w:trHeight w:val="216" w:hRule="atLeast"/>
        </w:trPr>
        <w:tc>
          <w:tcPr>
            <w:tcW w:w="1231" w:type="dxa"/>
            <w:tcBorders>
              <w:bottom w:val="single" w:sz="4" w:space="0" w:color="000000"/>
            </w:tcBorders>
          </w:tcPr>
          <w:p>
            <w:pPr>
              <w:pStyle w:val="TableParagraph"/>
              <w:ind w:left="60"/>
              <w:rPr>
                <w:sz w:val="16"/>
              </w:rPr>
            </w:pPr>
            <w:r>
              <w:rPr>
                <w:spacing w:val="-5"/>
                <w:sz w:val="16"/>
              </w:rPr>
              <w:t>15</w:t>
            </w:r>
          </w:p>
        </w:tc>
        <w:tc>
          <w:tcPr>
            <w:tcW w:w="2409" w:type="dxa"/>
            <w:tcBorders>
              <w:bottom w:val="single" w:sz="4" w:space="0" w:color="000000"/>
            </w:tcBorders>
          </w:tcPr>
          <w:p>
            <w:pPr>
              <w:pStyle w:val="TableParagraph"/>
              <w:ind w:left="34"/>
              <w:rPr>
                <w:sz w:val="16"/>
              </w:rPr>
            </w:pPr>
            <w:r>
              <w:rPr>
                <w:spacing w:val="-2"/>
                <w:sz w:val="16"/>
              </w:rPr>
              <w:t>0.4560</w:t>
            </w:r>
          </w:p>
        </w:tc>
        <w:tc>
          <w:tcPr>
            <w:tcW w:w="2138" w:type="dxa"/>
            <w:tcBorders>
              <w:bottom w:val="single" w:sz="4" w:space="0" w:color="000000"/>
            </w:tcBorders>
          </w:tcPr>
          <w:p>
            <w:pPr>
              <w:pStyle w:val="TableParagraph"/>
              <w:rPr>
                <w:sz w:val="16"/>
              </w:rPr>
            </w:pPr>
            <w:r>
              <w:rPr>
                <w:spacing w:val="-2"/>
                <w:sz w:val="16"/>
              </w:rPr>
              <w:t>0.4550</w:t>
            </w:r>
          </w:p>
        </w:tc>
        <w:tc>
          <w:tcPr>
            <w:tcW w:w="1049" w:type="dxa"/>
            <w:tcBorders>
              <w:bottom w:val="single" w:sz="4" w:space="0" w:color="000000"/>
            </w:tcBorders>
          </w:tcPr>
          <w:p>
            <w:pPr>
              <w:pStyle w:val="TableParagraph"/>
              <w:rPr>
                <w:sz w:val="16"/>
              </w:rPr>
            </w:pPr>
            <w:r>
              <w:rPr>
                <w:spacing w:val="-2"/>
                <w:sz w:val="16"/>
              </w:rPr>
              <w:t>0.2085</w:t>
            </w:r>
          </w:p>
        </w:tc>
      </w:tr>
    </w:tbl>
    <w:sectPr>
      <w:pgSz w:w="10890" w:h="14860"/>
      <w:pgMar w:header="1010" w:footer="1649" w:top="1320" w:bottom="184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Narrow">
    <w:altName w:val="Arial Narrow"/>
    <w:charset w:val="1"/>
    <w:family w:val="swiss"/>
    <w:pitch w:val="variable"/>
  </w:font>
  <w:font w:name="Cambria Math">
    <w:altName w:val="Cambria Math"/>
    <w:charset w:val="1"/>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76352">
              <wp:simplePos x="0" y="0"/>
              <wp:positionH relativeFrom="page">
                <wp:posOffset>743204</wp:posOffset>
              </wp:positionH>
              <wp:positionV relativeFrom="page">
                <wp:posOffset>8246533</wp:posOffset>
              </wp:positionV>
              <wp:extent cx="1278255" cy="1098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78255" cy="109855"/>
                      </a:xfrm>
                      <a:prstGeom prst="rect">
                        <a:avLst/>
                      </a:prstGeom>
                    </wps:spPr>
                    <wps:txbx>
                      <w:txbxContent>
                        <w:p>
                          <w:pPr>
                            <w:spacing w:before="15"/>
                            <w:ind w:left="20" w:right="0" w:firstLine="0"/>
                            <w:jc w:val="left"/>
                            <w:rPr>
                              <w:sz w:val="12"/>
                            </w:rPr>
                          </w:pPr>
                          <w:hyperlink r:id="rId1">
                            <w:r>
                              <w:rPr>
                                <w:spacing w:val="-2"/>
                                <w:sz w:val="12"/>
                              </w:rPr>
                              <w:t>https://doi.org/10.24191/mjcet.v8i2.8714</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52pt;margin-top:649.333313pt;width:100.65pt;height:8.65pt;mso-position-horizontal-relative:page;mso-position-vertical-relative:page;z-index:-16240128" type="#_x0000_t202" id="docshape1" filled="false" stroked="false">
              <v:textbox inset="0,0,0,0">
                <w:txbxContent>
                  <w:p>
                    <w:pPr>
                      <w:spacing w:before="15"/>
                      <w:ind w:left="20" w:right="0" w:firstLine="0"/>
                      <w:jc w:val="left"/>
                      <w:rPr>
                        <w:sz w:val="12"/>
                      </w:rPr>
                    </w:pPr>
                    <w:hyperlink r:id="rId1">
                      <w:r>
                        <w:rPr>
                          <w:spacing w:val="-2"/>
                          <w:sz w:val="12"/>
                        </w:rPr>
                        <w:t>https://doi.org/10.24191/mjcet.v8i2.8714</w:t>
                      </w:r>
                    </w:hyperlink>
                  </w:p>
                </w:txbxContent>
              </v:textbox>
              <w10:wrap type="none"/>
            </v:shape>
          </w:pict>
        </mc:Fallback>
      </mc:AlternateContent>
    </w:r>
    <w:r>
      <w:rPr/>
      <mc:AlternateContent>
        <mc:Choice Requires="wps">
          <w:drawing>
            <wp:anchor distT="0" distB="0" distL="0" distR="0" allowOverlap="1" layoutInCell="1" locked="0" behindDoc="1" simplePos="0" relativeHeight="487076864">
              <wp:simplePos x="0" y="0"/>
              <wp:positionH relativeFrom="page">
                <wp:posOffset>5650484</wp:posOffset>
              </wp:positionH>
              <wp:positionV relativeFrom="page">
                <wp:posOffset>8420268</wp:posOffset>
              </wp:positionV>
              <wp:extent cx="520700" cy="1098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20700" cy="109855"/>
                      </a:xfrm>
                      <a:prstGeom prst="rect">
                        <a:avLst/>
                      </a:prstGeom>
                    </wps:spPr>
                    <wps:txbx>
                      <w:txbxContent>
                        <w:p>
                          <w:pPr>
                            <w:spacing w:before="15"/>
                            <w:ind w:left="20" w:right="0" w:firstLine="0"/>
                            <w:jc w:val="left"/>
                            <w:rPr>
                              <w:sz w:val="12"/>
                            </w:rPr>
                          </w:pPr>
                          <w:r>
                            <w:rPr>
                              <w:sz w:val="12"/>
                            </w:rPr>
                            <w:t>©Authors,</w:t>
                          </w:r>
                          <w:r>
                            <w:rPr>
                              <w:spacing w:val="-4"/>
                              <w:sz w:val="12"/>
                            </w:rPr>
                            <w:t> 2025</w:t>
                          </w:r>
                        </w:p>
                      </w:txbxContent>
                    </wps:txbx>
                    <wps:bodyPr wrap="square" lIns="0" tIns="0" rIns="0" bIns="0" rtlCol="0">
                      <a:noAutofit/>
                    </wps:bodyPr>
                  </wps:wsp>
                </a:graphicData>
              </a:graphic>
            </wp:anchor>
          </w:drawing>
        </mc:Choice>
        <mc:Fallback>
          <w:pict>
            <v:shape style="position:absolute;margin-left:444.920013pt;margin-top:663.013306pt;width:41pt;height:8.65pt;mso-position-horizontal-relative:page;mso-position-vertical-relative:page;z-index:-16239616" type="#_x0000_t202" id="docshape2" filled="false" stroked="false">
              <v:textbox inset="0,0,0,0">
                <w:txbxContent>
                  <w:p>
                    <w:pPr>
                      <w:spacing w:before="15"/>
                      <w:ind w:left="20" w:right="0" w:firstLine="0"/>
                      <w:jc w:val="left"/>
                      <w:rPr>
                        <w:sz w:val="12"/>
                      </w:rPr>
                    </w:pPr>
                    <w:r>
                      <w:rPr>
                        <w:sz w:val="12"/>
                      </w:rPr>
                      <w:t>©Authors,</w:t>
                    </w:r>
                    <w:r>
                      <w:rPr>
                        <w:spacing w:val="-4"/>
                        <w:sz w:val="12"/>
                      </w:rPr>
                      <w:t> 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77888">
              <wp:simplePos x="0" y="0"/>
              <wp:positionH relativeFrom="page">
                <wp:posOffset>743204</wp:posOffset>
              </wp:positionH>
              <wp:positionV relativeFrom="page">
                <wp:posOffset>8246533</wp:posOffset>
              </wp:positionV>
              <wp:extent cx="1278255" cy="10985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78255" cy="109855"/>
                      </a:xfrm>
                      <a:prstGeom prst="rect">
                        <a:avLst/>
                      </a:prstGeom>
                    </wps:spPr>
                    <wps:txbx>
                      <w:txbxContent>
                        <w:p>
                          <w:pPr>
                            <w:spacing w:before="15"/>
                            <w:ind w:left="20" w:right="0" w:firstLine="0"/>
                            <w:jc w:val="left"/>
                            <w:rPr>
                              <w:sz w:val="12"/>
                            </w:rPr>
                          </w:pPr>
                          <w:hyperlink r:id="rId1">
                            <w:r>
                              <w:rPr>
                                <w:spacing w:val="-2"/>
                                <w:sz w:val="12"/>
                              </w:rPr>
                              <w:t>https://doi.org/10.24191/mjcet.v8i2.8714</w:t>
                            </w:r>
                          </w:hyperlink>
                        </w:p>
                      </w:txbxContent>
                    </wps:txbx>
                    <wps:bodyPr wrap="square" lIns="0" tIns="0" rIns="0" bIns="0" rtlCol="0">
                      <a:noAutofit/>
                    </wps:bodyPr>
                  </wps:wsp>
                </a:graphicData>
              </a:graphic>
            </wp:anchor>
          </w:drawing>
        </mc:Choice>
        <mc:Fallback>
          <w:pict>
            <v:shape style="position:absolute;margin-left:58.52pt;margin-top:649.333313pt;width:100.65pt;height:8.65pt;mso-position-horizontal-relative:page;mso-position-vertical-relative:page;z-index:-16238592" type="#_x0000_t202" id="docshape12" filled="false" stroked="false">
              <v:textbox inset="0,0,0,0">
                <w:txbxContent>
                  <w:p>
                    <w:pPr>
                      <w:spacing w:before="15"/>
                      <w:ind w:left="20" w:right="0" w:firstLine="0"/>
                      <w:jc w:val="left"/>
                      <w:rPr>
                        <w:sz w:val="12"/>
                      </w:rPr>
                    </w:pPr>
                    <w:hyperlink r:id="rId1">
                      <w:r>
                        <w:rPr>
                          <w:spacing w:val="-2"/>
                          <w:sz w:val="12"/>
                        </w:rPr>
                        <w:t>https://doi.org/10.24191/mjcet.v8i2.8714</w:t>
                      </w:r>
                    </w:hyperlink>
                  </w:p>
                </w:txbxContent>
              </v:textbox>
              <w10:wrap type="none"/>
            </v:shape>
          </w:pict>
        </mc:Fallback>
      </mc:AlternateContent>
    </w:r>
    <w:r>
      <w:rPr/>
      <mc:AlternateContent>
        <mc:Choice Requires="wps">
          <w:drawing>
            <wp:anchor distT="0" distB="0" distL="0" distR="0" allowOverlap="1" layoutInCell="1" locked="0" behindDoc="1" simplePos="0" relativeHeight="487078400">
              <wp:simplePos x="0" y="0"/>
              <wp:positionH relativeFrom="page">
                <wp:posOffset>5650484</wp:posOffset>
              </wp:positionH>
              <wp:positionV relativeFrom="page">
                <wp:posOffset>8420268</wp:posOffset>
              </wp:positionV>
              <wp:extent cx="520700" cy="10985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20700" cy="109855"/>
                      </a:xfrm>
                      <a:prstGeom prst="rect">
                        <a:avLst/>
                      </a:prstGeom>
                    </wps:spPr>
                    <wps:txbx>
                      <w:txbxContent>
                        <w:p>
                          <w:pPr>
                            <w:spacing w:before="15"/>
                            <w:ind w:left="20" w:right="0" w:firstLine="0"/>
                            <w:jc w:val="left"/>
                            <w:rPr>
                              <w:sz w:val="12"/>
                            </w:rPr>
                          </w:pPr>
                          <w:r>
                            <w:rPr>
                              <w:sz w:val="12"/>
                            </w:rPr>
                            <w:t>©Authors,</w:t>
                          </w:r>
                          <w:r>
                            <w:rPr>
                              <w:spacing w:val="-4"/>
                              <w:sz w:val="12"/>
                            </w:rPr>
                            <w:t> 2025</w:t>
                          </w:r>
                        </w:p>
                      </w:txbxContent>
                    </wps:txbx>
                    <wps:bodyPr wrap="square" lIns="0" tIns="0" rIns="0" bIns="0" rtlCol="0">
                      <a:noAutofit/>
                    </wps:bodyPr>
                  </wps:wsp>
                </a:graphicData>
              </a:graphic>
            </wp:anchor>
          </w:drawing>
        </mc:Choice>
        <mc:Fallback>
          <w:pict>
            <v:shape style="position:absolute;margin-left:444.920013pt;margin-top:663.013306pt;width:41pt;height:8.65pt;mso-position-horizontal-relative:page;mso-position-vertical-relative:page;z-index:-16238080" type="#_x0000_t202" id="docshape13" filled="false" stroked="false">
              <v:textbox inset="0,0,0,0">
                <w:txbxContent>
                  <w:p>
                    <w:pPr>
                      <w:spacing w:before="15"/>
                      <w:ind w:left="20" w:right="0" w:firstLine="0"/>
                      <w:jc w:val="left"/>
                      <w:rPr>
                        <w:sz w:val="12"/>
                      </w:rPr>
                    </w:pPr>
                    <w:r>
                      <w:rPr>
                        <w:sz w:val="12"/>
                      </w:rPr>
                      <w:t>©Authors,</w:t>
                    </w:r>
                    <w:r>
                      <w:rPr>
                        <w:spacing w:val="-4"/>
                        <w:sz w:val="12"/>
                      </w:rPr>
                      <w:t> 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077376">
              <wp:simplePos x="0" y="0"/>
              <wp:positionH relativeFrom="page">
                <wp:posOffset>717804</wp:posOffset>
              </wp:positionH>
              <wp:positionV relativeFrom="page">
                <wp:posOffset>644428</wp:posOffset>
              </wp:positionV>
              <wp:extent cx="5209540" cy="13716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209540" cy="137160"/>
                      </a:xfrm>
                      <a:prstGeom prst="rect">
                        <a:avLst/>
                      </a:prstGeom>
                    </wps:spPr>
                    <wps:txbx>
                      <w:txbxContent>
                        <w:p>
                          <w:pPr>
                            <w:tabs>
                              <w:tab w:pos="434" w:val="left" w:leader="none"/>
                            </w:tabs>
                            <w:spacing w:before="11"/>
                            <w:ind w:left="60" w:right="0" w:firstLine="0"/>
                            <w:jc w:val="left"/>
                            <w:rPr>
                              <w:i/>
                              <w:sz w:val="16"/>
                            </w:rPr>
                          </w:pPr>
                          <w:r>
                            <w:rPr>
                              <w:spacing w:val="-5"/>
                              <w:sz w:val="16"/>
                            </w:rPr>
                            <w:fldChar w:fldCharType="begin"/>
                          </w:r>
                          <w:r>
                            <w:rPr>
                              <w:spacing w:val="-5"/>
                              <w:sz w:val="16"/>
                            </w:rPr>
                            <w:instrText> PAGE </w:instrText>
                          </w:r>
                          <w:r>
                            <w:rPr>
                              <w:spacing w:val="-5"/>
                              <w:sz w:val="16"/>
                            </w:rPr>
                            <w:fldChar w:fldCharType="separate"/>
                          </w:r>
                          <w:r>
                            <w:rPr>
                              <w:spacing w:val="-5"/>
                              <w:sz w:val="16"/>
                            </w:rPr>
                            <w:t>53</w:t>
                          </w:r>
                          <w:r>
                            <w:rPr>
                              <w:spacing w:val="-5"/>
                              <w:sz w:val="16"/>
                            </w:rPr>
                            <w:fldChar w:fldCharType="end"/>
                          </w:r>
                          <w:r>
                            <w:rPr>
                              <w:sz w:val="16"/>
                            </w:rPr>
                            <w:tab/>
                          </w:r>
                          <w:r>
                            <w:rPr>
                              <w:i/>
                              <w:sz w:val="16"/>
                            </w:rPr>
                            <w:t>Nur</w:t>
                          </w:r>
                          <w:r>
                            <w:rPr>
                              <w:i/>
                              <w:spacing w:val="-3"/>
                              <w:sz w:val="16"/>
                            </w:rPr>
                            <w:t> </w:t>
                          </w:r>
                          <w:r>
                            <w:rPr>
                              <w:i/>
                              <w:sz w:val="16"/>
                            </w:rPr>
                            <w:t>Hannani</w:t>
                          </w:r>
                          <w:r>
                            <w:rPr>
                              <w:i/>
                              <w:spacing w:val="-4"/>
                              <w:sz w:val="16"/>
                            </w:rPr>
                            <w:t> </w:t>
                          </w:r>
                          <w:r>
                            <w:rPr>
                              <w:i/>
                              <w:sz w:val="16"/>
                            </w:rPr>
                            <w:t>Mohamad</w:t>
                          </w:r>
                          <w:r>
                            <w:rPr>
                              <w:i/>
                              <w:spacing w:val="-1"/>
                              <w:sz w:val="16"/>
                            </w:rPr>
                            <w:t> </w:t>
                          </w:r>
                          <w:r>
                            <w:rPr>
                              <w:i/>
                              <w:sz w:val="16"/>
                            </w:rPr>
                            <w:t>Azehar</w:t>
                          </w:r>
                          <w:r>
                            <w:rPr>
                              <w:i/>
                              <w:spacing w:val="-2"/>
                              <w:sz w:val="16"/>
                            </w:rPr>
                            <w:t> </w:t>
                          </w:r>
                          <w:r>
                            <w:rPr>
                              <w:i/>
                              <w:sz w:val="16"/>
                            </w:rPr>
                            <w:t>et</w:t>
                          </w:r>
                          <w:r>
                            <w:rPr>
                              <w:i/>
                              <w:spacing w:val="-4"/>
                              <w:sz w:val="16"/>
                            </w:rPr>
                            <w:t> </w:t>
                          </w:r>
                          <w:r>
                            <w:rPr>
                              <w:i/>
                              <w:sz w:val="16"/>
                            </w:rPr>
                            <w:t>al.</w:t>
                          </w:r>
                          <w:r>
                            <w:rPr>
                              <w:i/>
                              <w:spacing w:val="-4"/>
                              <w:sz w:val="16"/>
                            </w:rPr>
                            <w:t> </w:t>
                          </w:r>
                          <w:r>
                            <w:rPr>
                              <w:i/>
                              <w:sz w:val="16"/>
                            </w:rPr>
                            <w:t>/</w:t>
                          </w:r>
                          <w:r>
                            <w:rPr>
                              <w:i/>
                              <w:spacing w:val="-4"/>
                              <w:sz w:val="16"/>
                            </w:rPr>
                            <w:t> </w:t>
                          </w:r>
                          <w:r>
                            <w:rPr>
                              <w:i/>
                              <w:sz w:val="16"/>
                            </w:rPr>
                            <w:t>Malaysian</w:t>
                          </w:r>
                          <w:r>
                            <w:rPr>
                              <w:i/>
                              <w:spacing w:val="-1"/>
                              <w:sz w:val="16"/>
                            </w:rPr>
                            <w:t> </w:t>
                          </w:r>
                          <w:r>
                            <w:rPr>
                              <w:i/>
                              <w:sz w:val="16"/>
                            </w:rPr>
                            <w:t>Journal</w:t>
                          </w:r>
                          <w:r>
                            <w:rPr>
                              <w:i/>
                              <w:spacing w:val="-4"/>
                              <w:sz w:val="16"/>
                            </w:rPr>
                            <w:t> </w:t>
                          </w:r>
                          <w:r>
                            <w:rPr>
                              <w:i/>
                              <w:sz w:val="16"/>
                            </w:rPr>
                            <w:t>of</w:t>
                          </w:r>
                          <w:r>
                            <w:rPr>
                              <w:i/>
                              <w:spacing w:val="-4"/>
                              <w:sz w:val="16"/>
                            </w:rPr>
                            <w:t> </w:t>
                          </w:r>
                          <w:r>
                            <w:rPr>
                              <w:i/>
                              <w:sz w:val="16"/>
                            </w:rPr>
                            <w:t>Chemical</w:t>
                          </w:r>
                          <w:r>
                            <w:rPr>
                              <w:i/>
                              <w:spacing w:val="-4"/>
                              <w:sz w:val="16"/>
                            </w:rPr>
                            <w:t> </w:t>
                          </w:r>
                          <w:r>
                            <w:rPr>
                              <w:i/>
                              <w:sz w:val="16"/>
                            </w:rPr>
                            <w:t>Engineering</w:t>
                          </w:r>
                          <w:r>
                            <w:rPr>
                              <w:i/>
                              <w:spacing w:val="-1"/>
                              <w:sz w:val="16"/>
                            </w:rPr>
                            <w:t> </w:t>
                          </w:r>
                          <w:r>
                            <w:rPr>
                              <w:i/>
                              <w:sz w:val="16"/>
                            </w:rPr>
                            <w:t>and</w:t>
                          </w:r>
                          <w:r>
                            <w:rPr>
                              <w:i/>
                              <w:spacing w:val="-1"/>
                              <w:sz w:val="16"/>
                            </w:rPr>
                            <w:t> </w:t>
                          </w:r>
                          <w:r>
                            <w:rPr>
                              <w:i/>
                              <w:sz w:val="16"/>
                            </w:rPr>
                            <w:t>Technology</w:t>
                          </w:r>
                          <w:r>
                            <w:rPr>
                              <w:i/>
                              <w:spacing w:val="-1"/>
                              <w:sz w:val="16"/>
                            </w:rPr>
                            <w:t> </w:t>
                          </w:r>
                          <w:r>
                            <w:rPr>
                              <w:i/>
                              <w:sz w:val="16"/>
                            </w:rPr>
                            <w:t>(2025)</w:t>
                          </w:r>
                          <w:r>
                            <w:rPr>
                              <w:i/>
                              <w:spacing w:val="-3"/>
                              <w:sz w:val="16"/>
                            </w:rPr>
                            <w:t> </w:t>
                          </w:r>
                          <w:r>
                            <w:rPr>
                              <w:i/>
                              <w:sz w:val="16"/>
                            </w:rPr>
                            <w:t>Vol.</w:t>
                          </w:r>
                          <w:r>
                            <w:rPr>
                              <w:i/>
                              <w:spacing w:val="-4"/>
                              <w:sz w:val="16"/>
                            </w:rPr>
                            <w:t> </w:t>
                          </w:r>
                          <w:r>
                            <w:rPr>
                              <w:i/>
                              <w:sz w:val="16"/>
                            </w:rPr>
                            <w:t>8,</w:t>
                          </w:r>
                          <w:r>
                            <w:rPr>
                              <w:i/>
                              <w:spacing w:val="-4"/>
                              <w:sz w:val="16"/>
                            </w:rPr>
                            <w:t> </w:t>
                          </w:r>
                          <w:r>
                            <w:rPr>
                              <w:i/>
                              <w:sz w:val="16"/>
                            </w:rPr>
                            <w:t>No.</w:t>
                          </w:r>
                          <w:r>
                            <w:rPr>
                              <w:i/>
                              <w:spacing w:val="-4"/>
                              <w:sz w:val="16"/>
                            </w:rPr>
                            <w:t> </w:t>
                          </w:r>
                          <w:r>
                            <w:rPr>
                              <w:i/>
                              <w:spacing w:val="-10"/>
                              <w:sz w:val="16"/>
                            </w:rPr>
                            <w:t>2</w:t>
                          </w:r>
                        </w:p>
                      </w:txbxContent>
                    </wps:txbx>
                    <wps:bodyPr wrap="square" lIns="0" tIns="0" rIns="0" bIns="0" rtlCol="0">
                      <a:noAutofit/>
                    </wps:bodyPr>
                  </wps:wsp>
                </a:graphicData>
              </a:graphic>
            </wp:anchor>
          </w:drawing>
        </mc:Choice>
        <mc:Fallback>
          <w:pict>
            <v:shape style="position:absolute;margin-left:56.52pt;margin-top:50.742371pt;width:410.2pt;height:10.8pt;mso-position-horizontal-relative:page;mso-position-vertical-relative:page;z-index:-16239104" type="#_x0000_t202" id="docshape11" filled="false" stroked="false">
              <v:textbox inset="0,0,0,0">
                <w:txbxContent>
                  <w:p>
                    <w:pPr>
                      <w:tabs>
                        <w:tab w:pos="434" w:val="left" w:leader="none"/>
                      </w:tabs>
                      <w:spacing w:before="11"/>
                      <w:ind w:left="60" w:right="0" w:firstLine="0"/>
                      <w:jc w:val="left"/>
                      <w:rPr>
                        <w:i/>
                        <w:sz w:val="16"/>
                      </w:rPr>
                    </w:pPr>
                    <w:r>
                      <w:rPr>
                        <w:spacing w:val="-5"/>
                        <w:sz w:val="16"/>
                      </w:rPr>
                      <w:fldChar w:fldCharType="begin"/>
                    </w:r>
                    <w:r>
                      <w:rPr>
                        <w:spacing w:val="-5"/>
                        <w:sz w:val="16"/>
                      </w:rPr>
                      <w:instrText> PAGE </w:instrText>
                    </w:r>
                    <w:r>
                      <w:rPr>
                        <w:spacing w:val="-5"/>
                        <w:sz w:val="16"/>
                      </w:rPr>
                      <w:fldChar w:fldCharType="separate"/>
                    </w:r>
                    <w:r>
                      <w:rPr>
                        <w:spacing w:val="-5"/>
                        <w:sz w:val="16"/>
                      </w:rPr>
                      <w:t>53</w:t>
                    </w:r>
                    <w:r>
                      <w:rPr>
                        <w:spacing w:val="-5"/>
                        <w:sz w:val="16"/>
                      </w:rPr>
                      <w:fldChar w:fldCharType="end"/>
                    </w:r>
                    <w:r>
                      <w:rPr>
                        <w:sz w:val="16"/>
                      </w:rPr>
                      <w:tab/>
                    </w:r>
                    <w:r>
                      <w:rPr>
                        <w:i/>
                        <w:sz w:val="16"/>
                      </w:rPr>
                      <w:t>Nur</w:t>
                    </w:r>
                    <w:r>
                      <w:rPr>
                        <w:i/>
                        <w:spacing w:val="-3"/>
                        <w:sz w:val="16"/>
                      </w:rPr>
                      <w:t> </w:t>
                    </w:r>
                    <w:r>
                      <w:rPr>
                        <w:i/>
                        <w:sz w:val="16"/>
                      </w:rPr>
                      <w:t>Hannani</w:t>
                    </w:r>
                    <w:r>
                      <w:rPr>
                        <w:i/>
                        <w:spacing w:val="-4"/>
                        <w:sz w:val="16"/>
                      </w:rPr>
                      <w:t> </w:t>
                    </w:r>
                    <w:r>
                      <w:rPr>
                        <w:i/>
                        <w:sz w:val="16"/>
                      </w:rPr>
                      <w:t>Mohamad</w:t>
                    </w:r>
                    <w:r>
                      <w:rPr>
                        <w:i/>
                        <w:spacing w:val="-1"/>
                        <w:sz w:val="16"/>
                      </w:rPr>
                      <w:t> </w:t>
                    </w:r>
                    <w:r>
                      <w:rPr>
                        <w:i/>
                        <w:sz w:val="16"/>
                      </w:rPr>
                      <w:t>Azehar</w:t>
                    </w:r>
                    <w:r>
                      <w:rPr>
                        <w:i/>
                        <w:spacing w:val="-2"/>
                        <w:sz w:val="16"/>
                      </w:rPr>
                      <w:t> </w:t>
                    </w:r>
                    <w:r>
                      <w:rPr>
                        <w:i/>
                        <w:sz w:val="16"/>
                      </w:rPr>
                      <w:t>et</w:t>
                    </w:r>
                    <w:r>
                      <w:rPr>
                        <w:i/>
                        <w:spacing w:val="-4"/>
                        <w:sz w:val="16"/>
                      </w:rPr>
                      <w:t> </w:t>
                    </w:r>
                    <w:r>
                      <w:rPr>
                        <w:i/>
                        <w:sz w:val="16"/>
                      </w:rPr>
                      <w:t>al.</w:t>
                    </w:r>
                    <w:r>
                      <w:rPr>
                        <w:i/>
                        <w:spacing w:val="-4"/>
                        <w:sz w:val="16"/>
                      </w:rPr>
                      <w:t> </w:t>
                    </w:r>
                    <w:r>
                      <w:rPr>
                        <w:i/>
                        <w:sz w:val="16"/>
                      </w:rPr>
                      <w:t>/</w:t>
                    </w:r>
                    <w:r>
                      <w:rPr>
                        <w:i/>
                        <w:spacing w:val="-4"/>
                        <w:sz w:val="16"/>
                      </w:rPr>
                      <w:t> </w:t>
                    </w:r>
                    <w:r>
                      <w:rPr>
                        <w:i/>
                        <w:sz w:val="16"/>
                      </w:rPr>
                      <w:t>Malaysian</w:t>
                    </w:r>
                    <w:r>
                      <w:rPr>
                        <w:i/>
                        <w:spacing w:val="-1"/>
                        <w:sz w:val="16"/>
                      </w:rPr>
                      <w:t> </w:t>
                    </w:r>
                    <w:r>
                      <w:rPr>
                        <w:i/>
                        <w:sz w:val="16"/>
                      </w:rPr>
                      <w:t>Journal</w:t>
                    </w:r>
                    <w:r>
                      <w:rPr>
                        <w:i/>
                        <w:spacing w:val="-4"/>
                        <w:sz w:val="16"/>
                      </w:rPr>
                      <w:t> </w:t>
                    </w:r>
                    <w:r>
                      <w:rPr>
                        <w:i/>
                        <w:sz w:val="16"/>
                      </w:rPr>
                      <w:t>of</w:t>
                    </w:r>
                    <w:r>
                      <w:rPr>
                        <w:i/>
                        <w:spacing w:val="-4"/>
                        <w:sz w:val="16"/>
                      </w:rPr>
                      <w:t> </w:t>
                    </w:r>
                    <w:r>
                      <w:rPr>
                        <w:i/>
                        <w:sz w:val="16"/>
                      </w:rPr>
                      <w:t>Chemical</w:t>
                    </w:r>
                    <w:r>
                      <w:rPr>
                        <w:i/>
                        <w:spacing w:val="-4"/>
                        <w:sz w:val="16"/>
                      </w:rPr>
                      <w:t> </w:t>
                    </w:r>
                    <w:r>
                      <w:rPr>
                        <w:i/>
                        <w:sz w:val="16"/>
                      </w:rPr>
                      <w:t>Engineering</w:t>
                    </w:r>
                    <w:r>
                      <w:rPr>
                        <w:i/>
                        <w:spacing w:val="-1"/>
                        <w:sz w:val="16"/>
                      </w:rPr>
                      <w:t> </w:t>
                    </w:r>
                    <w:r>
                      <w:rPr>
                        <w:i/>
                        <w:sz w:val="16"/>
                      </w:rPr>
                      <w:t>and</w:t>
                    </w:r>
                    <w:r>
                      <w:rPr>
                        <w:i/>
                        <w:spacing w:val="-1"/>
                        <w:sz w:val="16"/>
                      </w:rPr>
                      <w:t> </w:t>
                    </w:r>
                    <w:r>
                      <w:rPr>
                        <w:i/>
                        <w:sz w:val="16"/>
                      </w:rPr>
                      <w:t>Technology</w:t>
                    </w:r>
                    <w:r>
                      <w:rPr>
                        <w:i/>
                        <w:spacing w:val="-1"/>
                        <w:sz w:val="16"/>
                      </w:rPr>
                      <w:t> </w:t>
                    </w:r>
                    <w:r>
                      <w:rPr>
                        <w:i/>
                        <w:sz w:val="16"/>
                      </w:rPr>
                      <w:t>(2025)</w:t>
                    </w:r>
                    <w:r>
                      <w:rPr>
                        <w:i/>
                        <w:spacing w:val="-3"/>
                        <w:sz w:val="16"/>
                      </w:rPr>
                      <w:t> </w:t>
                    </w:r>
                    <w:r>
                      <w:rPr>
                        <w:i/>
                        <w:sz w:val="16"/>
                      </w:rPr>
                      <w:t>Vol.</w:t>
                    </w:r>
                    <w:r>
                      <w:rPr>
                        <w:i/>
                        <w:spacing w:val="-4"/>
                        <w:sz w:val="16"/>
                      </w:rPr>
                      <w:t> </w:t>
                    </w:r>
                    <w:r>
                      <w:rPr>
                        <w:i/>
                        <w:sz w:val="16"/>
                      </w:rPr>
                      <w:t>8,</w:t>
                    </w:r>
                    <w:r>
                      <w:rPr>
                        <w:i/>
                        <w:spacing w:val="-4"/>
                        <w:sz w:val="16"/>
                      </w:rPr>
                      <w:t> </w:t>
                    </w:r>
                    <w:r>
                      <w:rPr>
                        <w:i/>
                        <w:sz w:val="16"/>
                      </w:rPr>
                      <w:t>No.</w:t>
                    </w:r>
                    <w:r>
                      <w:rPr>
                        <w:i/>
                        <w:spacing w:val="-4"/>
                        <w:sz w:val="16"/>
                      </w:rPr>
                      <w:t> </w:t>
                    </w:r>
                    <w:r>
                      <w:rPr>
                        <w:i/>
                        <w:spacing w:val="-10"/>
                        <w:sz w:val="16"/>
                      </w:rPr>
                      <w:t>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918" w:hanging="720"/>
        <w:jc w:val="left"/>
      </w:pPr>
      <w:rPr>
        <w:rFonts w:hint="default" w:ascii="Times New Roman" w:hAnsi="Times New Roman" w:eastAsia="Times New Roman" w:cs="Times New Roman"/>
        <w:b w:val="0"/>
        <w:bCs w:val="0"/>
        <w:i w:val="0"/>
        <w:iCs w:val="0"/>
        <w:spacing w:val="-2"/>
        <w:w w:val="100"/>
        <w:sz w:val="20"/>
        <w:szCs w:val="20"/>
        <w:lang w:val="en-US" w:eastAsia="en-US" w:bidi="ar-SA"/>
      </w:rPr>
    </w:lvl>
    <w:lvl w:ilvl="1">
      <w:start w:val="1"/>
      <w:numFmt w:val="decimal"/>
      <w:lvlText w:val="%1.%2."/>
      <w:lvlJc w:val="left"/>
      <w:pPr>
        <w:ind w:left="918" w:hanging="720"/>
        <w:jc w:val="left"/>
      </w:pPr>
      <w:rPr>
        <w:rFonts w:hint="default" w:ascii="Times New Roman" w:hAnsi="Times New Roman" w:eastAsia="Times New Roman" w:cs="Times New Roman"/>
        <w:b w:val="0"/>
        <w:bCs w:val="0"/>
        <w:i w:val="0"/>
        <w:iCs w:val="0"/>
        <w:spacing w:val="-2"/>
        <w:w w:val="99"/>
        <w:sz w:val="16"/>
        <w:szCs w:val="16"/>
        <w:lang w:val="en-US" w:eastAsia="en-US" w:bidi="ar-SA"/>
      </w:rPr>
    </w:lvl>
    <w:lvl w:ilvl="2">
      <w:start w:val="0"/>
      <w:numFmt w:val="bullet"/>
      <w:lvlText w:val="•"/>
      <w:lvlJc w:val="left"/>
      <w:pPr>
        <w:ind w:left="2488" w:hanging="720"/>
      </w:pPr>
      <w:rPr>
        <w:rFonts w:hint="default"/>
        <w:lang w:val="en-US" w:eastAsia="en-US" w:bidi="ar-SA"/>
      </w:rPr>
    </w:lvl>
    <w:lvl w:ilvl="3">
      <w:start w:val="0"/>
      <w:numFmt w:val="bullet"/>
      <w:lvlText w:val="•"/>
      <w:lvlJc w:val="left"/>
      <w:pPr>
        <w:ind w:left="3272" w:hanging="720"/>
      </w:pPr>
      <w:rPr>
        <w:rFonts w:hint="default"/>
        <w:lang w:val="en-US" w:eastAsia="en-US" w:bidi="ar-SA"/>
      </w:rPr>
    </w:lvl>
    <w:lvl w:ilvl="4">
      <w:start w:val="0"/>
      <w:numFmt w:val="bullet"/>
      <w:lvlText w:val="•"/>
      <w:lvlJc w:val="left"/>
      <w:pPr>
        <w:ind w:left="4056" w:hanging="720"/>
      </w:pPr>
      <w:rPr>
        <w:rFonts w:hint="default"/>
        <w:lang w:val="en-US" w:eastAsia="en-US" w:bidi="ar-SA"/>
      </w:rPr>
    </w:lvl>
    <w:lvl w:ilvl="5">
      <w:start w:val="0"/>
      <w:numFmt w:val="bullet"/>
      <w:lvlText w:val="•"/>
      <w:lvlJc w:val="left"/>
      <w:pPr>
        <w:ind w:left="4840" w:hanging="720"/>
      </w:pPr>
      <w:rPr>
        <w:rFonts w:hint="default"/>
        <w:lang w:val="en-US" w:eastAsia="en-US" w:bidi="ar-SA"/>
      </w:rPr>
    </w:lvl>
    <w:lvl w:ilvl="6">
      <w:start w:val="0"/>
      <w:numFmt w:val="bullet"/>
      <w:lvlText w:val="•"/>
      <w:lvlJc w:val="left"/>
      <w:pPr>
        <w:ind w:left="5624" w:hanging="720"/>
      </w:pPr>
      <w:rPr>
        <w:rFonts w:hint="default"/>
        <w:lang w:val="en-US" w:eastAsia="en-US" w:bidi="ar-SA"/>
      </w:rPr>
    </w:lvl>
    <w:lvl w:ilvl="7">
      <w:start w:val="0"/>
      <w:numFmt w:val="bullet"/>
      <w:lvlText w:val="•"/>
      <w:lvlJc w:val="left"/>
      <w:pPr>
        <w:ind w:left="6408" w:hanging="720"/>
      </w:pPr>
      <w:rPr>
        <w:rFonts w:hint="default"/>
        <w:lang w:val="en-US" w:eastAsia="en-US" w:bidi="ar-SA"/>
      </w:rPr>
    </w:lvl>
    <w:lvl w:ilvl="8">
      <w:start w:val="0"/>
      <w:numFmt w:val="bullet"/>
      <w:lvlText w:val="•"/>
      <w:lvlJc w:val="left"/>
      <w:pPr>
        <w:ind w:left="7193" w:hanging="720"/>
      </w:pPr>
      <w:rPr>
        <w:rFonts w:hint="default"/>
        <w:lang w:val="en-US" w:eastAsia="en-US" w:bidi="ar-SA"/>
      </w:rPr>
    </w:lvl>
  </w:abstractNum>
  <w:abstractNum w:abstractNumId="0">
    <w:multiLevelType w:val="hybridMultilevel"/>
    <w:lvl w:ilvl="0">
      <w:start w:val="1"/>
      <w:numFmt w:val="decimal"/>
      <w:lvlText w:val="%1."/>
      <w:lvlJc w:val="left"/>
      <w:pPr>
        <w:ind w:left="625" w:hanging="428"/>
        <w:jc w:val="left"/>
      </w:pPr>
      <w:rPr>
        <w:rFonts w:hint="default" w:ascii="Times New Roman" w:hAnsi="Times New Roman" w:eastAsia="Times New Roman" w:cs="Times New Roman"/>
        <w:b/>
        <w:bCs/>
        <w:i w:val="0"/>
        <w:iCs w:val="0"/>
        <w:spacing w:val="0"/>
        <w:w w:val="100"/>
        <w:sz w:val="20"/>
        <w:szCs w:val="20"/>
        <w:lang w:val="en-US" w:eastAsia="en-US" w:bidi="ar-SA"/>
      </w:rPr>
    </w:lvl>
    <w:lvl w:ilvl="1">
      <w:start w:val="1"/>
      <w:numFmt w:val="decimal"/>
      <w:lvlText w:val="%1.%2"/>
      <w:lvlJc w:val="left"/>
      <w:pPr>
        <w:ind w:left="625" w:hanging="428"/>
        <w:jc w:val="left"/>
      </w:pPr>
      <w:rPr>
        <w:rFonts w:hint="default" w:ascii="Times New Roman" w:hAnsi="Times New Roman" w:eastAsia="Times New Roman" w:cs="Times New Roman"/>
        <w:b/>
        <w:bCs/>
        <w:i w:val="0"/>
        <w:iCs w:val="0"/>
        <w:spacing w:val="0"/>
        <w:w w:val="100"/>
        <w:sz w:val="20"/>
        <w:szCs w:val="20"/>
        <w:lang w:val="en-US" w:eastAsia="en-US" w:bidi="ar-SA"/>
      </w:rPr>
    </w:lvl>
    <w:lvl w:ilvl="2">
      <w:start w:val="1"/>
      <w:numFmt w:val="lowerRoman"/>
      <w:lvlText w:val="(%3)"/>
      <w:lvlJc w:val="left"/>
      <w:pPr>
        <w:ind w:left="1254" w:hanging="36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2926" w:hanging="361"/>
      </w:pPr>
      <w:rPr>
        <w:rFonts w:hint="default"/>
        <w:lang w:val="en-US" w:eastAsia="en-US" w:bidi="ar-SA"/>
      </w:rPr>
    </w:lvl>
    <w:lvl w:ilvl="4">
      <w:start w:val="0"/>
      <w:numFmt w:val="bullet"/>
      <w:lvlText w:val="•"/>
      <w:lvlJc w:val="left"/>
      <w:pPr>
        <w:ind w:left="3760" w:hanging="361"/>
      </w:pPr>
      <w:rPr>
        <w:rFonts w:hint="default"/>
        <w:lang w:val="en-US" w:eastAsia="en-US" w:bidi="ar-SA"/>
      </w:rPr>
    </w:lvl>
    <w:lvl w:ilvl="5">
      <w:start w:val="0"/>
      <w:numFmt w:val="bullet"/>
      <w:lvlText w:val="•"/>
      <w:lvlJc w:val="left"/>
      <w:pPr>
        <w:ind w:left="4593" w:hanging="361"/>
      </w:pPr>
      <w:rPr>
        <w:rFonts w:hint="default"/>
        <w:lang w:val="en-US" w:eastAsia="en-US" w:bidi="ar-SA"/>
      </w:rPr>
    </w:lvl>
    <w:lvl w:ilvl="6">
      <w:start w:val="0"/>
      <w:numFmt w:val="bullet"/>
      <w:lvlText w:val="•"/>
      <w:lvlJc w:val="left"/>
      <w:pPr>
        <w:ind w:left="5427" w:hanging="361"/>
      </w:pPr>
      <w:rPr>
        <w:rFonts w:hint="default"/>
        <w:lang w:val="en-US" w:eastAsia="en-US" w:bidi="ar-SA"/>
      </w:rPr>
    </w:lvl>
    <w:lvl w:ilvl="7">
      <w:start w:val="0"/>
      <w:numFmt w:val="bullet"/>
      <w:lvlText w:val="•"/>
      <w:lvlJc w:val="left"/>
      <w:pPr>
        <w:ind w:left="6260" w:hanging="361"/>
      </w:pPr>
      <w:rPr>
        <w:rFonts w:hint="default"/>
        <w:lang w:val="en-US" w:eastAsia="en-US" w:bidi="ar-SA"/>
      </w:rPr>
    </w:lvl>
    <w:lvl w:ilvl="8">
      <w:start w:val="0"/>
      <w:numFmt w:val="bullet"/>
      <w:lvlText w:val="•"/>
      <w:lvlJc w:val="left"/>
      <w:pPr>
        <w:ind w:left="7094"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98" w:hanging="427"/>
      <w:outlineLvl w:val="1"/>
    </w:pPr>
    <w:rPr>
      <w:rFonts w:ascii="Times New Roman" w:hAnsi="Times New Roman" w:eastAsia="Times New Roman" w:cs="Times New Roman"/>
      <w:b/>
      <w:bCs/>
      <w:sz w:val="20"/>
      <w:szCs w:val="20"/>
      <w:lang w:val="en-US" w:eastAsia="en-US" w:bidi="ar-SA"/>
    </w:rPr>
  </w:style>
  <w:style w:styleId="Heading2" w:type="paragraph">
    <w:name w:val="Heading 2"/>
    <w:basedOn w:val="Normal"/>
    <w:uiPriority w:val="1"/>
    <w:qFormat/>
    <w:pPr>
      <w:ind w:left="624" w:hanging="426"/>
      <w:jc w:val="both"/>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left="256" w:right="114" w:firstLine="84"/>
      <w:jc w:val="center"/>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ind w:left="624" w:hanging="42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
      <w:ind w:left="1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s://journal.uitm.edu.my/ojs/index.php/MJCET" TargetMode="External"/><Relationship Id="rId8" Type="http://schemas.openxmlformats.org/officeDocument/2006/relationships/hyperlink" Target="mailto:abdulbari@uitm.edu.my" TargetMode="Externa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doi.org/10.1016/j.cej.2009.08.012" TargetMode="External"/><Relationship Id="rId17" Type="http://schemas.openxmlformats.org/officeDocument/2006/relationships/hyperlink" Target="https://doi.org/10.3390/fluids6050175" TargetMode="External"/><Relationship Id="rId18" Type="http://schemas.openxmlformats.org/officeDocument/2006/relationships/hyperlink" Target="https://doi.org/10.1007/s41981-019-00060-x" TargetMode="External"/><Relationship Id="rId19" Type="http://schemas.openxmlformats.org/officeDocument/2006/relationships/hyperlink" Target="https://doi.org/10.3390/app9030532" TargetMode="External"/><Relationship Id="rId20" Type="http://schemas.openxmlformats.org/officeDocument/2006/relationships/hyperlink" Target="https://doi.org/10.1039/d2re00232a" TargetMode="External"/><Relationship Id="rId21" Type="http://schemas.openxmlformats.org/officeDocument/2006/relationships/hyperlink" Target="https://doi.org/10.1002/kin.20597" TargetMode="External"/><Relationship Id="rId22" Type="http://schemas.openxmlformats.org/officeDocument/2006/relationships/hyperlink" Target="https://doi.org/10.3389/fceng.2022.961022" TargetMode="External"/><Relationship Id="rId23" Type="http://schemas.openxmlformats.org/officeDocument/2006/relationships/hyperlink" Target="https://doi.org/10.1016/s0009-2509(99)00323-1" TargetMode="External"/><Relationship Id="rId24" Type="http://schemas.openxmlformats.org/officeDocument/2006/relationships/hyperlink" Target="https://doi.org/10.54254/2755-2721/3/20230414" TargetMode="External"/><Relationship Id="rId25" Type="http://schemas.openxmlformats.org/officeDocument/2006/relationships/hyperlink" Target="https://doi.org/10.1007/s41981-021-00164-3" TargetMode="External"/><Relationship Id="rId26" Type="http://schemas.openxmlformats.org/officeDocument/2006/relationships/hyperlink" Target="https://www.researchgate.net/publication/274635862" TargetMode="External"/><Relationship Id="rId27" Type="http://schemas.openxmlformats.org/officeDocument/2006/relationships/hyperlink" Target="https://doi.org/10.1002/cjce.24956" TargetMode="External"/><Relationship Id="rId28" Type="http://schemas.openxmlformats.org/officeDocument/2006/relationships/hyperlink" Target="https://doi.org/10.1515/ijcre-2016-0174" TargetMode="External"/><Relationship Id="rId29" Type="http://schemas.openxmlformats.org/officeDocument/2006/relationships/hyperlink" Target="https://doi.org/10.1002/kin.20712" TargetMode="External"/><Relationship Id="rId30" Type="http://schemas.openxmlformats.org/officeDocument/2006/relationships/hyperlink" Target="https://doi.org/10.1007/BF01077579" TargetMode="External"/><Relationship Id="rId31" Type="http://schemas.openxmlformats.org/officeDocument/2006/relationships/hyperlink" Target="https://doi.org/10.1063/5.0203877" TargetMode="External"/><Relationship Id="rId32" Type="http://schemas.openxmlformats.org/officeDocument/2006/relationships/hyperlink" Target="https://doi.org/10.3390/computation11080159" TargetMode="External"/><Relationship Id="rId33" Type="http://schemas.openxmlformats.org/officeDocument/2006/relationships/hyperlink" Target="https://doi.org/10.1007/s10668-025-06186-4" TargetMode="External"/><Relationship Id="rId34" Type="http://schemas.openxmlformats.org/officeDocument/2006/relationships/hyperlink" Target="https://doi.org/10.1109/ICIBA50161.2020.9276793" TargetMode="External"/><Relationship Id="rId35" Type="http://schemas.openxmlformats.org/officeDocument/2006/relationships/hyperlink" Target="http://dx.doi.org/10.4172/2157-7048.1000205" TargetMode="External"/><Relationship Id="rId36" Type="http://schemas.openxmlformats.org/officeDocument/2006/relationships/image" Target="media/image7.png"/><Relationship Id="rId37" Type="http://schemas.openxmlformats.org/officeDocument/2006/relationships/hyperlink" Target="http://creativecommons.org/licenses/by/4.0/" TargetMode="External"/><Relationship Id="rId38"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doi.org/10.24191/mjcet.v8i2.8714"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oi.org/10.24191/mjcet.v8i2.87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2026-04-23T04:21:13Z</dcterms:created>
  <dcterms:modified xsi:type="dcterms:W3CDTF">2026-04-23T04:21:13Z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Acrobat PDFMaker 25 for Word</vt:lpwstr>
  </property>
  <property fmtid="{D5CDD505-2E9C-101B-9397-08002B2CF9AE}" pid="4" name="GrammarlyDocumentId">
    <vt:lpwstr>2821d64a-db06-4024-b1b5-57d60cadfa07</vt:lpwstr>
  </property>
  <property fmtid="{D5CDD505-2E9C-101B-9397-08002B2CF9AE}" pid="5" name="LastSaved">
    <vt:filetime>2026-04-23T00:00:00Z</vt:filetime>
  </property>
  <property fmtid="{D5CDD505-2E9C-101B-9397-08002B2CF9AE}" pid="6" name="Producer">
    <vt:lpwstr>Adobe PDF Library 25.1.20</vt:lpwstr>
  </property>
  <property fmtid="{D5CDD505-2E9C-101B-9397-08002B2CF9AE}" pid="7" name="SourceModified">
    <vt:lpwstr>D:20251028011034</vt:lpwstr>
  </property>
</Properties>
</file>