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47BF" w14:textId="77777777" w:rsidR="00AB70A3" w:rsidRDefault="00B56DB4">
      <w:pPr>
        <w:spacing w:before="720" w:after="80"/>
        <w:jc w:val="center"/>
      </w:pPr>
      <w:r>
        <w:rPr>
          <w:rFonts w:ascii="Times New Roman" w:hAnsi="Times New Roman"/>
          <w:b/>
          <w:color w:val="1F4E79"/>
          <w:sz w:val="26"/>
        </w:rPr>
        <w:t>USHA PRAVIN GANDHI COLLEGE OF ARTS, SCIENCE AND COMMERCE</w:t>
      </w:r>
    </w:p>
    <w:p w14:paraId="29CC6426" w14:textId="77777777" w:rsidR="00AB70A3" w:rsidRDefault="00B56DB4">
      <w:pPr>
        <w:spacing w:after="560"/>
        <w:jc w:val="center"/>
      </w:pPr>
      <w:r>
        <w:rPr>
          <w:rFonts w:ascii="Times New Roman" w:hAnsi="Times New Roman"/>
          <w:i/>
          <w:color w:val="475569"/>
          <w:sz w:val="20"/>
        </w:rPr>
        <w:t>Affiliated to the University of Mumbai • Vile Parle (West), Mumbai - 400056</w:t>
      </w:r>
      <w:r>
        <w:rPr>
          <w:rFonts w:ascii="Times New Roman" w:hAnsi="Times New Roman"/>
          <w:i/>
          <w:color w:val="475569"/>
          <w:sz w:val="20"/>
        </w:rPr>
        <w:br/>
        <w:t>NAAC Re-accredited 'A+' Grade with CGPA 3.27</w:t>
      </w:r>
    </w:p>
    <w:p w14:paraId="212ABFBA" w14:textId="77777777" w:rsidR="00AB70A3" w:rsidRDefault="00B56DB4">
      <w:pPr>
        <w:spacing w:before="360" w:after="240"/>
        <w:jc w:val="center"/>
      </w:pPr>
      <w:r>
        <w:rPr>
          <w:rFonts w:ascii="Times New Roman" w:hAnsi="Times New Roman"/>
          <w:b/>
          <w:color w:val="0F172A"/>
          <w:sz w:val="32"/>
        </w:rPr>
        <w:t>TRUSTFORGE: AN EVIDENCE-GROUNDED RAG FRAMEWORK FOR DIGITAL PERSONAL DATA PROTECTION COMPLIANCE ASSESSMENT</w:t>
      </w:r>
    </w:p>
    <w:p w14:paraId="000A05B6" w14:textId="77777777" w:rsidR="00AB70A3" w:rsidRDefault="00B56DB4">
      <w:pPr>
        <w:spacing w:after="720"/>
        <w:jc w:val="center"/>
      </w:pPr>
      <w:r>
        <w:rPr>
          <w:rFonts w:ascii="Times New Roman" w:hAnsi="Times New Roman"/>
          <w:b/>
          <w:color w:val="0284C7"/>
        </w:rPr>
        <w:t>COMPREHENSIVE RESEARCH IMPLEMENTATION AND TECHNICAL EXPLANATORY REPORT</w:t>
      </w:r>
      <w:r>
        <w:rPr>
          <w:rFonts w:ascii="Times New Roman" w:hAnsi="Times New Roman"/>
          <w:b/>
          <w:color w:val="0284C7"/>
        </w:rPr>
        <w:br/>
        <w:t>Under the Indian Digital Personal Data Protection Act, 2023 &amp; Notified DPDP Rules, 2025</w:t>
      </w:r>
    </w:p>
    <w:p w14:paraId="1B89C101" w14:textId="77777777" w:rsidR="00AB70A3" w:rsidRDefault="00B56DB4">
      <w:pPr>
        <w:spacing w:before="720" w:after="80"/>
        <w:jc w:val="center"/>
      </w:pPr>
      <w:r>
        <w:rPr>
          <w:rFonts w:ascii="Times New Roman" w:hAnsi="Times New Roman"/>
          <w:color w:val="475569"/>
        </w:rPr>
        <w:t>Authored By:</w:t>
      </w:r>
      <w:r>
        <w:rPr>
          <w:rFonts w:ascii="Times New Roman" w:hAnsi="Times New Roman"/>
          <w:color w:val="475569"/>
        </w:rPr>
        <w:br/>
      </w:r>
      <w:r>
        <w:rPr>
          <w:rFonts w:ascii="Times New Roman" w:hAnsi="Times New Roman"/>
          <w:b/>
          <w:color w:val="0F172A"/>
          <w:sz w:val="24"/>
        </w:rPr>
        <w:t>MANNAN SHAH</w:t>
      </w:r>
      <w:r>
        <w:rPr>
          <w:rFonts w:ascii="Times New Roman" w:hAnsi="Times New Roman"/>
          <w:b/>
          <w:color w:val="0F172A"/>
          <w:sz w:val="24"/>
        </w:rPr>
        <w:br/>
      </w:r>
      <w:r>
        <w:rPr>
          <w:rFonts w:ascii="Times New Roman" w:hAnsi="Times New Roman"/>
          <w:color w:val="334155"/>
          <w:sz w:val="21"/>
        </w:rPr>
        <w:t>Candidate, Bachelor of Science (Information Technology)</w:t>
      </w:r>
      <w:r>
        <w:rPr>
          <w:rFonts w:ascii="Times New Roman" w:hAnsi="Times New Roman"/>
          <w:color w:val="334155"/>
          <w:sz w:val="21"/>
        </w:rPr>
        <w:br/>
        <w:t>Department of Information Technology</w:t>
      </w:r>
      <w:r>
        <w:rPr>
          <w:rFonts w:ascii="Times New Roman" w:hAnsi="Times New Roman"/>
          <w:color w:val="334155"/>
          <w:sz w:val="21"/>
        </w:rPr>
        <w:br/>
      </w:r>
      <w:r>
        <w:rPr>
          <w:rFonts w:ascii="Times New Roman" w:hAnsi="Times New Roman"/>
          <w:color w:val="334155"/>
          <w:sz w:val="21"/>
        </w:rPr>
        <w:br/>
      </w:r>
      <w:r>
        <w:rPr>
          <w:rFonts w:ascii="Times New Roman" w:hAnsi="Times New Roman"/>
          <w:color w:val="475569"/>
        </w:rPr>
        <w:t>Under the Academic Guidance &amp; Supervision of:</w:t>
      </w:r>
      <w:r>
        <w:rPr>
          <w:rFonts w:ascii="Times New Roman" w:hAnsi="Times New Roman"/>
          <w:color w:val="475569"/>
        </w:rPr>
        <w:br/>
      </w:r>
      <w:r>
        <w:rPr>
          <w:rFonts w:ascii="Times New Roman" w:hAnsi="Times New Roman"/>
          <w:b/>
          <w:color w:val="1F4E79"/>
          <w:sz w:val="24"/>
        </w:rPr>
        <w:t>DR. NEELAM NAIK</w:t>
      </w:r>
      <w:r>
        <w:rPr>
          <w:rFonts w:ascii="Times New Roman" w:hAnsi="Times New Roman"/>
          <w:b/>
          <w:color w:val="1F4E79"/>
          <w:sz w:val="24"/>
        </w:rPr>
        <w:br/>
      </w:r>
      <w:r>
        <w:rPr>
          <w:rFonts w:ascii="Times New Roman" w:hAnsi="Times New Roman"/>
          <w:color w:val="334155"/>
          <w:sz w:val="21"/>
        </w:rPr>
        <w:t>Associate Professor &amp; Research Supervisor</w:t>
      </w:r>
      <w:r>
        <w:rPr>
          <w:rFonts w:ascii="Times New Roman" w:hAnsi="Times New Roman"/>
          <w:color w:val="334155"/>
          <w:sz w:val="21"/>
        </w:rPr>
        <w:br/>
        <w:t>Department of Information Technology</w:t>
      </w:r>
      <w:r>
        <w:rPr>
          <w:rFonts w:ascii="Times New Roman" w:hAnsi="Times New Roman"/>
          <w:color w:val="334155"/>
          <w:sz w:val="21"/>
        </w:rPr>
        <w:br/>
      </w:r>
      <w:r>
        <w:rPr>
          <w:rFonts w:ascii="Times New Roman" w:hAnsi="Times New Roman"/>
          <w:color w:val="334155"/>
          <w:sz w:val="21"/>
        </w:rPr>
        <w:br/>
        <w:t>October 2026</w:t>
      </w:r>
    </w:p>
    <w:p w14:paraId="0EBE0B73" w14:textId="77777777" w:rsidR="00AB70A3" w:rsidRDefault="00B56DB4">
      <w:r>
        <w:br w:type="page"/>
      </w:r>
    </w:p>
    <w:p w14:paraId="2BC9F1DA" w14:textId="77777777" w:rsidR="00AB70A3" w:rsidRDefault="00B56DB4">
      <w:pPr>
        <w:keepNext/>
        <w:spacing w:before="240" w:after="240"/>
      </w:pPr>
      <w:r>
        <w:rPr>
          <w:rFonts w:ascii="Times New Roman" w:hAnsi="Times New Roman"/>
          <w:b/>
          <w:color w:val="1F4E79"/>
          <w:sz w:val="28"/>
        </w:rPr>
        <w:lastRenderedPageBreak/>
        <w:t>TABLE OF CONTENTS</w:t>
      </w:r>
    </w:p>
    <w:tbl>
      <w:tblPr>
        <w:tblW w:w="0" w:type="auto"/>
        <w:jc w:val="center"/>
        <w:tblLook w:val="04A0" w:firstRow="1" w:lastRow="0" w:firstColumn="1" w:lastColumn="0" w:noHBand="0" w:noVBand="1"/>
      </w:tblPr>
      <w:tblGrid>
        <w:gridCol w:w="1663"/>
        <w:gridCol w:w="6492"/>
        <w:gridCol w:w="1114"/>
      </w:tblGrid>
      <w:tr w:rsidR="00AB70A3" w14:paraId="5DD73A59" w14:textId="77777777">
        <w:trPr>
          <w:jc w:val="center"/>
        </w:trPr>
        <w:tc>
          <w:tcPr>
            <w:tcW w:w="1728" w:type="dxa"/>
            <w:shd w:val="clear" w:color="auto" w:fill="1F4E79"/>
            <w:tcMar>
              <w:top w:w="100" w:type="dxa"/>
              <w:left w:w="120" w:type="dxa"/>
              <w:bottom w:w="100" w:type="dxa"/>
              <w:right w:w="120" w:type="dxa"/>
            </w:tcMar>
          </w:tcPr>
          <w:p w14:paraId="7D4FFF13" w14:textId="77777777" w:rsidR="00AB70A3" w:rsidRDefault="00B56DB4">
            <w:pPr>
              <w:jc w:val="center"/>
            </w:pPr>
            <w:r>
              <w:rPr>
                <w:rFonts w:ascii="Times New Roman" w:hAnsi="Times New Roman"/>
                <w:b/>
                <w:color w:val="FFFFFF"/>
                <w:sz w:val="20"/>
              </w:rPr>
              <w:t>Section</w:t>
            </w:r>
          </w:p>
        </w:tc>
        <w:tc>
          <w:tcPr>
            <w:tcW w:w="6912" w:type="dxa"/>
            <w:shd w:val="clear" w:color="auto" w:fill="1F4E79"/>
            <w:tcMar>
              <w:top w:w="100" w:type="dxa"/>
              <w:left w:w="120" w:type="dxa"/>
              <w:bottom w:w="100" w:type="dxa"/>
              <w:right w:w="120" w:type="dxa"/>
            </w:tcMar>
          </w:tcPr>
          <w:p w14:paraId="00F975AA" w14:textId="77777777" w:rsidR="00AB70A3" w:rsidRDefault="00B56DB4">
            <w:pPr>
              <w:jc w:val="center"/>
            </w:pPr>
            <w:r>
              <w:rPr>
                <w:rFonts w:ascii="Times New Roman" w:hAnsi="Times New Roman"/>
                <w:b/>
                <w:color w:val="FFFFFF"/>
                <w:sz w:val="20"/>
              </w:rPr>
              <w:t>Chapter / Sub-Section Title</w:t>
            </w:r>
          </w:p>
        </w:tc>
        <w:tc>
          <w:tcPr>
            <w:tcW w:w="1152" w:type="dxa"/>
            <w:shd w:val="clear" w:color="auto" w:fill="1F4E79"/>
            <w:tcMar>
              <w:top w:w="100" w:type="dxa"/>
              <w:left w:w="120" w:type="dxa"/>
              <w:bottom w:w="100" w:type="dxa"/>
              <w:right w:w="120" w:type="dxa"/>
            </w:tcMar>
          </w:tcPr>
          <w:p w14:paraId="7D23B4AD" w14:textId="77777777" w:rsidR="00AB70A3" w:rsidRDefault="00B56DB4">
            <w:pPr>
              <w:jc w:val="center"/>
            </w:pPr>
            <w:r>
              <w:rPr>
                <w:rFonts w:ascii="Times New Roman" w:hAnsi="Times New Roman"/>
                <w:b/>
                <w:color w:val="FFFFFF"/>
                <w:sz w:val="20"/>
              </w:rPr>
              <w:t>Page</w:t>
            </w:r>
          </w:p>
        </w:tc>
      </w:tr>
      <w:tr w:rsidR="00AB70A3" w14:paraId="62630BBB" w14:textId="77777777">
        <w:trPr>
          <w:jc w:val="center"/>
        </w:trPr>
        <w:tc>
          <w:tcPr>
            <w:tcW w:w="1728" w:type="dxa"/>
            <w:shd w:val="clear" w:color="auto" w:fill="FFFFFF"/>
            <w:tcMar>
              <w:top w:w="80" w:type="dxa"/>
              <w:left w:w="100" w:type="dxa"/>
              <w:bottom w:w="80" w:type="dxa"/>
              <w:right w:w="100" w:type="dxa"/>
            </w:tcMar>
          </w:tcPr>
          <w:p w14:paraId="24E6441F" w14:textId="77777777" w:rsidR="00AB70A3" w:rsidRDefault="00B56DB4">
            <w:pPr>
              <w:spacing w:after="0"/>
            </w:pPr>
            <w:r>
              <w:rPr>
                <w:rFonts w:ascii="Times New Roman" w:hAnsi="Times New Roman"/>
                <w:color w:val="1E293B"/>
                <w:sz w:val="19"/>
              </w:rPr>
              <w:t>Chapter 1</w:t>
            </w:r>
          </w:p>
        </w:tc>
        <w:tc>
          <w:tcPr>
            <w:tcW w:w="6912" w:type="dxa"/>
            <w:shd w:val="clear" w:color="auto" w:fill="FFFFFF"/>
            <w:tcMar>
              <w:top w:w="80" w:type="dxa"/>
              <w:left w:w="100" w:type="dxa"/>
              <w:bottom w:w="80" w:type="dxa"/>
              <w:right w:w="100" w:type="dxa"/>
            </w:tcMar>
          </w:tcPr>
          <w:p w14:paraId="30D0204C" w14:textId="77777777" w:rsidR="00AB70A3" w:rsidRDefault="00B56DB4">
            <w:pPr>
              <w:spacing w:after="0"/>
            </w:pPr>
            <w:r>
              <w:rPr>
                <w:rFonts w:ascii="Times New Roman" w:hAnsi="Times New Roman"/>
                <w:color w:val="1E293B"/>
                <w:sz w:val="19"/>
              </w:rPr>
              <w:t>Understanding TrustForge: Concept, Context, and Purpose</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30D6BF04" w14:textId="77777777">
        <w:trPr>
          <w:jc w:val="center"/>
        </w:trPr>
        <w:tc>
          <w:tcPr>
            <w:tcW w:w="1728" w:type="dxa"/>
            <w:shd w:val="clear" w:color="auto" w:fill="F8FAFC"/>
            <w:tcMar>
              <w:top w:w="80" w:type="dxa"/>
              <w:left w:w="100" w:type="dxa"/>
              <w:bottom w:w="80" w:type="dxa"/>
              <w:right w:w="100" w:type="dxa"/>
            </w:tcMar>
          </w:tcPr>
          <w:p w14:paraId="0CC5E838" w14:textId="77777777" w:rsidR="00AB70A3" w:rsidRDefault="00B56DB4">
            <w:pPr>
              <w:spacing w:after="0"/>
            </w:pPr>
            <w:r>
              <w:rPr>
                <w:rFonts w:ascii="Times New Roman" w:hAnsi="Times New Roman"/>
                <w:color w:val="1E293B"/>
                <w:sz w:val="19"/>
              </w:rPr>
              <w:t xml:space="preserve">  1.1</w:t>
            </w:r>
          </w:p>
        </w:tc>
        <w:tc>
          <w:tcPr>
            <w:tcW w:w="6912" w:type="dxa"/>
            <w:shd w:val="clear" w:color="auto" w:fill="F8FAFC"/>
            <w:tcMar>
              <w:top w:w="80" w:type="dxa"/>
              <w:left w:w="100" w:type="dxa"/>
              <w:bottom w:w="80" w:type="dxa"/>
              <w:right w:w="100" w:type="dxa"/>
            </w:tcMar>
          </w:tcPr>
          <w:p w14:paraId="1F6A534F" w14:textId="77777777" w:rsidR="00AB70A3" w:rsidRDefault="00B56DB4">
            <w:pPr>
              <w:spacing w:after="0"/>
            </w:pPr>
            <w:r>
              <w:rPr>
                <w:rFonts w:ascii="Times New Roman" w:hAnsi="Times New Roman"/>
                <w:color w:val="1E293B"/>
                <w:sz w:val="19"/>
              </w:rPr>
              <w:t>Introduction to TrustForge</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00A1A9F7" w14:textId="77777777">
        <w:trPr>
          <w:jc w:val="center"/>
        </w:trPr>
        <w:tc>
          <w:tcPr>
            <w:tcW w:w="1728" w:type="dxa"/>
            <w:shd w:val="clear" w:color="auto" w:fill="FFFFFF"/>
            <w:tcMar>
              <w:top w:w="80" w:type="dxa"/>
              <w:left w:w="100" w:type="dxa"/>
              <w:bottom w:w="80" w:type="dxa"/>
              <w:right w:w="100" w:type="dxa"/>
            </w:tcMar>
          </w:tcPr>
          <w:p w14:paraId="396AD8D7" w14:textId="77777777" w:rsidR="00AB70A3" w:rsidRDefault="00B56DB4">
            <w:pPr>
              <w:spacing w:after="0"/>
            </w:pPr>
            <w:r>
              <w:rPr>
                <w:rFonts w:ascii="Times New Roman" w:hAnsi="Times New Roman"/>
                <w:color w:val="1E293B"/>
                <w:sz w:val="19"/>
              </w:rPr>
              <w:t xml:space="preserve">  1.2</w:t>
            </w:r>
          </w:p>
        </w:tc>
        <w:tc>
          <w:tcPr>
            <w:tcW w:w="6912" w:type="dxa"/>
            <w:shd w:val="clear" w:color="auto" w:fill="FFFFFF"/>
            <w:tcMar>
              <w:top w:w="80" w:type="dxa"/>
              <w:left w:w="100" w:type="dxa"/>
              <w:bottom w:w="80" w:type="dxa"/>
              <w:right w:w="100" w:type="dxa"/>
            </w:tcMar>
          </w:tcPr>
          <w:p w14:paraId="530D8885" w14:textId="77777777" w:rsidR="00AB70A3" w:rsidRDefault="00B56DB4">
            <w:pPr>
              <w:spacing w:after="0"/>
            </w:pPr>
            <w:r>
              <w:rPr>
                <w:rFonts w:ascii="Times New Roman" w:hAnsi="Times New Roman"/>
                <w:color w:val="1E293B"/>
                <w:sz w:val="19"/>
              </w:rPr>
              <w:t>Background: Personal Data Protection in India</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2A21AA29" w14:textId="77777777">
        <w:trPr>
          <w:jc w:val="center"/>
        </w:trPr>
        <w:tc>
          <w:tcPr>
            <w:tcW w:w="1728" w:type="dxa"/>
            <w:shd w:val="clear" w:color="auto" w:fill="F8FAFC"/>
            <w:tcMar>
              <w:top w:w="80" w:type="dxa"/>
              <w:left w:w="100" w:type="dxa"/>
              <w:bottom w:w="80" w:type="dxa"/>
              <w:right w:w="100" w:type="dxa"/>
            </w:tcMar>
          </w:tcPr>
          <w:p w14:paraId="55020979" w14:textId="77777777" w:rsidR="00AB70A3" w:rsidRDefault="00B56DB4">
            <w:pPr>
              <w:spacing w:after="0"/>
            </w:pPr>
            <w:r>
              <w:rPr>
                <w:rFonts w:ascii="Times New Roman" w:hAnsi="Times New Roman"/>
                <w:color w:val="1E293B"/>
                <w:sz w:val="19"/>
              </w:rPr>
              <w:t xml:space="preserve">  1.3</w:t>
            </w:r>
          </w:p>
        </w:tc>
        <w:tc>
          <w:tcPr>
            <w:tcW w:w="6912" w:type="dxa"/>
            <w:shd w:val="clear" w:color="auto" w:fill="F8FAFC"/>
            <w:tcMar>
              <w:top w:w="80" w:type="dxa"/>
              <w:left w:w="100" w:type="dxa"/>
              <w:bottom w:w="80" w:type="dxa"/>
              <w:right w:w="100" w:type="dxa"/>
            </w:tcMar>
          </w:tcPr>
          <w:p w14:paraId="4A324F42" w14:textId="77777777" w:rsidR="00AB70A3" w:rsidRDefault="00B56DB4">
            <w:pPr>
              <w:spacing w:after="0"/>
            </w:pPr>
            <w:r>
              <w:rPr>
                <w:rFonts w:ascii="Times New Roman" w:hAnsi="Times New Roman"/>
                <w:color w:val="1E293B"/>
                <w:sz w:val="19"/>
              </w:rPr>
              <w:t>Problem Statement: Enterprise Compliance Challenges</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091FF6AB" w14:textId="77777777">
        <w:trPr>
          <w:jc w:val="center"/>
        </w:trPr>
        <w:tc>
          <w:tcPr>
            <w:tcW w:w="1728" w:type="dxa"/>
            <w:shd w:val="clear" w:color="auto" w:fill="FFFFFF"/>
            <w:tcMar>
              <w:top w:w="80" w:type="dxa"/>
              <w:left w:w="100" w:type="dxa"/>
              <w:bottom w:w="80" w:type="dxa"/>
              <w:right w:w="100" w:type="dxa"/>
            </w:tcMar>
          </w:tcPr>
          <w:p w14:paraId="68899FFD" w14:textId="77777777" w:rsidR="00AB70A3" w:rsidRDefault="00B56DB4">
            <w:pPr>
              <w:spacing w:after="0"/>
            </w:pPr>
            <w:r>
              <w:rPr>
                <w:rFonts w:ascii="Times New Roman" w:hAnsi="Times New Roman"/>
                <w:color w:val="1E293B"/>
                <w:sz w:val="19"/>
              </w:rPr>
              <w:t xml:space="preserve">  1.4</w:t>
            </w:r>
          </w:p>
        </w:tc>
        <w:tc>
          <w:tcPr>
            <w:tcW w:w="6912" w:type="dxa"/>
            <w:shd w:val="clear" w:color="auto" w:fill="FFFFFF"/>
            <w:tcMar>
              <w:top w:w="80" w:type="dxa"/>
              <w:left w:w="100" w:type="dxa"/>
              <w:bottom w:w="80" w:type="dxa"/>
              <w:right w:w="100" w:type="dxa"/>
            </w:tcMar>
          </w:tcPr>
          <w:p w14:paraId="02CB967D" w14:textId="77777777" w:rsidR="00AB70A3" w:rsidRDefault="00B56DB4">
            <w:pPr>
              <w:spacing w:after="0"/>
            </w:pPr>
            <w:r>
              <w:rPr>
                <w:rFonts w:ascii="Times New Roman" w:hAnsi="Times New Roman"/>
                <w:color w:val="1E293B"/>
                <w:sz w:val="19"/>
              </w:rPr>
              <w:t>Proposed Solution: An Evidence-Grounded Compliance Assistant</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3C78FFC2" w14:textId="77777777">
        <w:trPr>
          <w:jc w:val="center"/>
        </w:trPr>
        <w:tc>
          <w:tcPr>
            <w:tcW w:w="1728" w:type="dxa"/>
            <w:shd w:val="clear" w:color="auto" w:fill="F8FAFC"/>
            <w:tcMar>
              <w:top w:w="80" w:type="dxa"/>
              <w:left w:w="100" w:type="dxa"/>
              <w:bottom w:w="80" w:type="dxa"/>
              <w:right w:w="100" w:type="dxa"/>
            </w:tcMar>
          </w:tcPr>
          <w:p w14:paraId="2A46BEF0" w14:textId="77777777" w:rsidR="00AB70A3" w:rsidRDefault="00B56DB4">
            <w:pPr>
              <w:spacing w:after="0"/>
            </w:pPr>
            <w:r>
              <w:rPr>
                <w:rFonts w:ascii="Times New Roman" w:hAnsi="Times New Roman"/>
                <w:color w:val="1E293B"/>
                <w:sz w:val="19"/>
              </w:rPr>
              <w:t xml:space="preserve">  1.5</w:t>
            </w:r>
          </w:p>
        </w:tc>
        <w:tc>
          <w:tcPr>
            <w:tcW w:w="6912" w:type="dxa"/>
            <w:shd w:val="clear" w:color="auto" w:fill="F8FAFC"/>
            <w:tcMar>
              <w:top w:w="80" w:type="dxa"/>
              <w:left w:w="100" w:type="dxa"/>
              <w:bottom w:w="80" w:type="dxa"/>
              <w:right w:w="100" w:type="dxa"/>
            </w:tcMar>
          </w:tcPr>
          <w:p w14:paraId="7717B53B" w14:textId="77777777" w:rsidR="00AB70A3" w:rsidRDefault="00B56DB4">
            <w:pPr>
              <w:spacing w:after="0"/>
            </w:pPr>
            <w:r>
              <w:rPr>
                <w:rFonts w:ascii="Times New Roman" w:hAnsi="Times New Roman"/>
                <w:color w:val="1E293B"/>
                <w:sz w:val="19"/>
              </w:rPr>
              <w:t>Project Objectives: Research vs. Practical Engineering Goals</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279209A4" w14:textId="77777777">
        <w:trPr>
          <w:jc w:val="center"/>
        </w:trPr>
        <w:tc>
          <w:tcPr>
            <w:tcW w:w="1728" w:type="dxa"/>
            <w:shd w:val="clear" w:color="auto" w:fill="FFFFFF"/>
            <w:tcMar>
              <w:top w:w="80" w:type="dxa"/>
              <w:left w:w="100" w:type="dxa"/>
              <w:bottom w:w="80" w:type="dxa"/>
              <w:right w:w="100" w:type="dxa"/>
            </w:tcMar>
          </w:tcPr>
          <w:p w14:paraId="08F87B2A" w14:textId="77777777" w:rsidR="00AB70A3" w:rsidRDefault="00B56DB4">
            <w:pPr>
              <w:spacing w:after="0"/>
            </w:pPr>
            <w:r>
              <w:rPr>
                <w:rFonts w:ascii="Times New Roman" w:hAnsi="Times New Roman"/>
                <w:color w:val="1E293B"/>
                <w:sz w:val="19"/>
              </w:rPr>
              <w:t xml:space="preserve">  1.6</w:t>
            </w:r>
          </w:p>
        </w:tc>
        <w:tc>
          <w:tcPr>
            <w:tcW w:w="6912" w:type="dxa"/>
            <w:shd w:val="clear" w:color="auto" w:fill="FFFFFF"/>
            <w:tcMar>
              <w:top w:w="80" w:type="dxa"/>
              <w:left w:w="100" w:type="dxa"/>
              <w:bottom w:w="80" w:type="dxa"/>
              <w:right w:w="100" w:type="dxa"/>
            </w:tcMar>
          </w:tcPr>
          <w:p w14:paraId="3F99AAE3" w14:textId="77777777" w:rsidR="00AB70A3" w:rsidRDefault="00B56DB4">
            <w:pPr>
              <w:spacing w:after="0"/>
            </w:pPr>
            <w:r>
              <w:rPr>
                <w:rFonts w:ascii="Times New Roman" w:hAnsi="Times New Roman"/>
                <w:color w:val="1E293B"/>
                <w:sz w:val="19"/>
              </w:rPr>
              <w:t>Scope and Delimitations: Boundaries of Automated Web Audits</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0C9539BD" w14:textId="77777777">
        <w:trPr>
          <w:jc w:val="center"/>
        </w:trPr>
        <w:tc>
          <w:tcPr>
            <w:tcW w:w="1728" w:type="dxa"/>
            <w:shd w:val="clear" w:color="auto" w:fill="F8FAFC"/>
            <w:tcMar>
              <w:top w:w="80" w:type="dxa"/>
              <w:left w:w="100" w:type="dxa"/>
              <w:bottom w:w="80" w:type="dxa"/>
              <w:right w:w="100" w:type="dxa"/>
            </w:tcMar>
          </w:tcPr>
          <w:p w14:paraId="28889892" w14:textId="77777777" w:rsidR="00AB70A3" w:rsidRDefault="00B56DB4">
            <w:pPr>
              <w:spacing w:after="0"/>
            </w:pPr>
            <w:r>
              <w:rPr>
                <w:rFonts w:ascii="Times New Roman" w:hAnsi="Times New Roman"/>
                <w:color w:val="1E293B"/>
                <w:sz w:val="19"/>
              </w:rPr>
              <w:t>Chapter 2</w:t>
            </w:r>
          </w:p>
        </w:tc>
        <w:tc>
          <w:tcPr>
            <w:tcW w:w="6912" w:type="dxa"/>
            <w:shd w:val="clear" w:color="auto" w:fill="F8FAFC"/>
            <w:tcMar>
              <w:top w:w="80" w:type="dxa"/>
              <w:left w:w="100" w:type="dxa"/>
              <w:bottom w:w="80" w:type="dxa"/>
              <w:right w:w="100" w:type="dxa"/>
            </w:tcMar>
          </w:tcPr>
          <w:p w14:paraId="1B51D12A" w14:textId="77777777" w:rsidR="00AB70A3" w:rsidRDefault="00B56DB4">
            <w:pPr>
              <w:spacing w:after="0"/>
            </w:pPr>
            <w:r>
              <w:rPr>
                <w:rFonts w:ascii="Times New Roman" w:hAnsi="Times New Roman"/>
                <w:color w:val="1E293B"/>
                <w:sz w:val="19"/>
              </w:rPr>
              <w:t>Software Architecture and Design Engineering</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0C95CAB7" w14:textId="77777777">
        <w:trPr>
          <w:jc w:val="center"/>
        </w:trPr>
        <w:tc>
          <w:tcPr>
            <w:tcW w:w="1728" w:type="dxa"/>
            <w:shd w:val="clear" w:color="auto" w:fill="FFFFFF"/>
            <w:tcMar>
              <w:top w:w="80" w:type="dxa"/>
              <w:left w:w="100" w:type="dxa"/>
              <w:bottom w:w="80" w:type="dxa"/>
              <w:right w:w="100" w:type="dxa"/>
            </w:tcMar>
          </w:tcPr>
          <w:p w14:paraId="53D4C6C0" w14:textId="77777777" w:rsidR="00AB70A3" w:rsidRDefault="00B56DB4">
            <w:pPr>
              <w:spacing w:after="0"/>
            </w:pPr>
            <w:r>
              <w:rPr>
                <w:rFonts w:ascii="Times New Roman" w:hAnsi="Times New Roman"/>
                <w:color w:val="1E293B"/>
                <w:sz w:val="19"/>
              </w:rPr>
              <w:t xml:space="preserve">  2.1</w:t>
            </w:r>
          </w:p>
        </w:tc>
        <w:tc>
          <w:tcPr>
            <w:tcW w:w="6912" w:type="dxa"/>
            <w:shd w:val="clear" w:color="auto" w:fill="FFFFFF"/>
            <w:tcMar>
              <w:top w:w="80" w:type="dxa"/>
              <w:left w:w="100" w:type="dxa"/>
              <w:bottom w:w="80" w:type="dxa"/>
              <w:right w:w="100" w:type="dxa"/>
            </w:tcMar>
          </w:tcPr>
          <w:p w14:paraId="24D98B58" w14:textId="77777777" w:rsidR="00AB70A3" w:rsidRDefault="00B56DB4">
            <w:pPr>
              <w:spacing w:after="0"/>
            </w:pPr>
            <w:r>
              <w:rPr>
                <w:rFonts w:ascii="Times New Roman" w:hAnsi="Times New Roman"/>
                <w:color w:val="1E293B"/>
                <w:sz w:val="19"/>
              </w:rPr>
              <w:t>System Overview and Architectural Principles</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7F21075B" w14:textId="77777777">
        <w:trPr>
          <w:jc w:val="center"/>
        </w:trPr>
        <w:tc>
          <w:tcPr>
            <w:tcW w:w="1728" w:type="dxa"/>
            <w:shd w:val="clear" w:color="auto" w:fill="F8FAFC"/>
            <w:tcMar>
              <w:top w:w="80" w:type="dxa"/>
              <w:left w:w="100" w:type="dxa"/>
              <w:bottom w:w="80" w:type="dxa"/>
              <w:right w:w="100" w:type="dxa"/>
            </w:tcMar>
          </w:tcPr>
          <w:p w14:paraId="698E9177" w14:textId="77777777" w:rsidR="00AB70A3" w:rsidRDefault="00B56DB4">
            <w:pPr>
              <w:spacing w:after="0"/>
            </w:pPr>
            <w:r>
              <w:rPr>
                <w:rFonts w:ascii="Times New Roman" w:hAnsi="Times New Roman"/>
                <w:color w:val="1E293B"/>
                <w:sz w:val="19"/>
              </w:rPr>
              <w:t xml:space="preserve">  2.2</w:t>
            </w:r>
          </w:p>
        </w:tc>
        <w:tc>
          <w:tcPr>
            <w:tcW w:w="6912" w:type="dxa"/>
            <w:shd w:val="clear" w:color="auto" w:fill="F8FAFC"/>
            <w:tcMar>
              <w:top w:w="80" w:type="dxa"/>
              <w:left w:w="100" w:type="dxa"/>
              <w:bottom w:w="80" w:type="dxa"/>
              <w:right w:w="100" w:type="dxa"/>
            </w:tcMar>
          </w:tcPr>
          <w:p w14:paraId="1D6F6AE8" w14:textId="77777777" w:rsidR="00AB70A3" w:rsidRDefault="00B56DB4">
            <w:pPr>
              <w:spacing w:after="0"/>
            </w:pPr>
            <w:r>
              <w:rPr>
                <w:rFonts w:ascii="Times New Roman" w:hAnsi="Times New Roman"/>
                <w:color w:val="1E293B"/>
                <w:sz w:val="19"/>
              </w:rPr>
              <w:t>Selected Technologies and Engineering Justifications</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4275185E" w14:textId="77777777">
        <w:trPr>
          <w:jc w:val="center"/>
        </w:trPr>
        <w:tc>
          <w:tcPr>
            <w:tcW w:w="1728" w:type="dxa"/>
            <w:shd w:val="clear" w:color="auto" w:fill="FFFFFF"/>
            <w:tcMar>
              <w:top w:w="80" w:type="dxa"/>
              <w:left w:w="100" w:type="dxa"/>
              <w:bottom w:w="80" w:type="dxa"/>
              <w:right w:w="100" w:type="dxa"/>
            </w:tcMar>
          </w:tcPr>
          <w:p w14:paraId="3124201A" w14:textId="77777777" w:rsidR="00AB70A3" w:rsidRDefault="00B56DB4">
            <w:pPr>
              <w:spacing w:after="0"/>
            </w:pPr>
            <w:r>
              <w:rPr>
                <w:rFonts w:ascii="Times New Roman" w:hAnsi="Times New Roman"/>
                <w:color w:val="1E293B"/>
                <w:sz w:val="19"/>
              </w:rPr>
              <w:t xml:space="preserve">  2.3</w:t>
            </w:r>
          </w:p>
        </w:tc>
        <w:tc>
          <w:tcPr>
            <w:tcW w:w="6912" w:type="dxa"/>
            <w:shd w:val="clear" w:color="auto" w:fill="FFFFFF"/>
            <w:tcMar>
              <w:top w:w="80" w:type="dxa"/>
              <w:left w:w="100" w:type="dxa"/>
              <w:bottom w:w="80" w:type="dxa"/>
              <w:right w:w="100" w:type="dxa"/>
            </w:tcMar>
          </w:tcPr>
          <w:p w14:paraId="51F04A9A" w14:textId="77777777" w:rsidR="00AB70A3" w:rsidRDefault="00B56DB4">
            <w:pPr>
              <w:spacing w:after="0"/>
            </w:pPr>
            <w:r>
              <w:rPr>
                <w:rFonts w:ascii="Times New Roman" w:hAnsi="Times New Roman"/>
                <w:color w:val="1E293B"/>
                <w:sz w:val="19"/>
              </w:rPr>
              <w:t>Software Architecture Diagram and Layer Analysis</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74457BE4" w14:textId="77777777">
        <w:trPr>
          <w:jc w:val="center"/>
        </w:trPr>
        <w:tc>
          <w:tcPr>
            <w:tcW w:w="1728" w:type="dxa"/>
            <w:shd w:val="clear" w:color="auto" w:fill="F8FAFC"/>
            <w:tcMar>
              <w:top w:w="80" w:type="dxa"/>
              <w:left w:w="100" w:type="dxa"/>
              <w:bottom w:w="80" w:type="dxa"/>
              <w:right w:w="100" w:type="dxa"/>
            </w:tcMar>
          </w:tcPr>
          <w:p w14:paraId="2134A811" w14:textId="77777777" w:rsidR="00AB70A3" w:rsidRDefault="00B56DB4">
            <w:pPr>
              <w:spacing w:after="0"/>
            </w:pPr>
            <w:r>
              <w:rPr>
                <w:rFonts w:ascii="Times New Roman" w:hAnsi="Times New Roman"/>
                <w:color w:val="1E293B"/>
                <w:sz w:val="19"/>
              </w:rPr>
              <w:t xml:space="preserve">  2.4</w:t>
            </w:r>
          </w:p>
        </w:tc>
        <w:tc>
          <w:tcPr>
            <w:tcW w:w="6912" w:type="dxa"/>
            <w:shd w:val="clear" w:color="auto" w:fill="F8FAFC"/>
            <w:tcMar>
              <w:top w:w="80" w:type="dxa"/>
              <w:left w:w="100" w:type="dxa"/>
              <w:bottom w:w="80" w:type="dxa"/>
              <w:right w:w="100" w:type="dxa"/>
            </w:tcMar>
          </w:tcPr>
          <w:p w14:paraId="7C204673" w14:textId="77777777" w:rsidR="00AB70A3" w:rsidRDefault="00B56DB4">
            <w:pPr>
              <w:spacing w:after="0"/>
            </w:pPr>
            <w:r>
              <w:rPr>
                <w:rFonts w:ascii="Times New Roman" w:hAnsi="Times New Roman"/>
                <w:color w:val="1E293B"/>
                <w:sz w:val="19"/>
              </w:rPr>
              <w:t>Database Architecture: Entities, Relationships, and Vector Indexes</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207D1DEB" w14:textId="77777777">
        <w:trPr>
          <w:jc w:val="center"/>
        </w:trPr>
        <w:tc>
          <w:tcPr>
            <w:tcW w:w="1728" w:type="dxa"/>
            <w:shd w:val="clear" w:color="auto" w:fill="FFFFFF"/>
            <w:tcMar>
              <w:top w:w="80" w:type="dxa"/>
              <w:left w:w="100" w:type="dxa"/>
              <w:bottom w:w="80" w:type="dxa"/>
              <w:right w:w="100" w:type="dxa"/>
            </w:tcMar>
          </w:tcPr>
          <w:p w14:paraId="28AED670" w14:textId="77777777" w:rsidR="00AB70A3" w:rsidRDefault="00B56DB4">
            <w:pPr>
              <w:spacing w:after="0"/>
            </w:pPr>
            <w:r>
              <w:rPr>
                <w:rFonts w:ascii="Times New Roman" w:hAnsi="Times New Roman"/>
                <w:color w:val="1E293B"/>
                <w:sz w:val="19"/>
              </w:rPr>
              <w:t xml:space="preserve">  2.5</w:t>
            </w:r>
          </w:p>
        </w:tc>
        <w:tc>
          <w:tcPr>
            <w:tcW w:w="6912" w:type="dxa"/>
            <w:shd w:val="clear" w:color="auto" w:fill="FFFFFF"/>
            <w:tcMar>
              <w:top w:w="80" w:type="dxa"/>
              <w:left w:w="100" w:type="dxa"/>
              <w:bottom w:w="80" w:type="dxa"/>
              <w:right w:w="100" w:type="dxa"/>
            </w:tcMar>
          </w:tcPr>
          <w:p w14:paraId="56653CDC" w14:textId="77777777" w:rsidR="00AB70A3" w:rsidRDefault="00B56DB4">
            <w:pPr>
              <w:spacing w:after="0"/>
            </w:pPr>
            <w:r>
              <w:rPr>
                <w:rFonts w:ascii="Times New Roman" w:hAnsi="Times New Roman"/>
                <w:color w:val="1E293B"/>
                <w:sz w:val="19"/>
              </w:rPr>
              <w:t>Security Architecture: Multi-Tenant Isolation, API Guards, and RLS</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59B7BBC7" w14:textId="77777777">
        <w:trPr>
          <w:jc w:val="center"/>
        </w:trPr>
        <w:tc>
          <w:tcPr>
            <w:tcW w:w="1728" w:type="dxa"/>
            <w:shd w:val="clear" w:color="auto" w:fill="F8FAFC"/>
            <w:tcMar>
              <w:top w:w="80" w:type="dxa"/>
              <w:left w:w="100" w:type="dxa"/>
              <w:bottom w:w="80" w:type="dxa"/>
              <w:right w:w="100" w:type="dxa"/>
            </w:tcMar>
          </w:tcPr>
          <w:p w14:paraId="7AF175B7" w14:textId="77777777" w:rsidR="00AB70A3" w:rsidRDefault="00B56DB4">
            <w:pPr>
              <w:spacing w:after="0"/>
            </w:pPr>
            <w:r>
              <w:rPr>
                <w:rFonts w:ascii="Times New Roman" w:hAnsi="Times New Roman"/>
                <w:color w:val="1E293B"/>
                <w:sz w:val="19"/>
              </w:rPr>
              <w:t>Chapter 3</w:t>
            </w:r>
          </w:p>
        </w:tc>
        <w:tc>
          <w:tcPr>
            <w:tcW w:w="6912" w:type="dxa"/>
            <w:shd w:val="clear" w:color="auto" w:fill="F8FAFC"/>
            <w:tcMar>
              <w:top w:w="80" w:type="dxa"/>
              <w:left w:w="100" w:type="dxa"/>
              <w:bottom w:w="80" w:type="dxa"/>
              <w:right w:w="100" w:type="dxa"/>
            </w:tcMar>
          </w:tcPr>
          <w:p w14:paraId="1C3DFA46" w14:textId="77777777" w:rsidR="00AB70A3" w:rsidRDefault="00B56DB4">
            <w:pPr>
              <w:spacing w:after="0"/>
            </w:pPr>
            <w:r>
              <w:rPr>
                <w:rFonts w:ascii="Times New Roman" w:hAnsi="Times New Roman"/>
                <w:color w:val="1E293B"/>
                <w:sz w:val="19"/>
              </w:rPr>
              <w:t>Complete End-to-End System Workflow</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3CECCB44" w14:textId="77777777">
        <w:trPr>
          <w:jc w:val="center"/>
        </w:trPr>
        <w:tc>
          <w:tcPr>
            <w:tcW w:w="1728" w:type="dxa"/>
            <w:shd w:val="clear" w:color="auto" w:fill="FFFFFF"/>
            <w:tcMar>
              <w:top w:w="80" w:type="dxa"/>
              <w:left w:w="100" w:type="dxa"/>
              <w:bottom w:w="80" w:type="dxa"/>
              <w:right w:w="100" w:type="dxa"/>
            </w:tcMar>
          </w:tcPr>
          <w:p w14:paraId="78ABA3F8" w14:textId="77777777" w:rsidR="00AB70A3" w:rsidRDefault="00B56DB4">
            <w:pPr>
              <w:spacing w:after="0"/>
            </w:pPr>
            <w:r>
              <w:rPr>
                <w:rFonts w:ascii="Times New Roman" w:hAnsi="Times New Roman"/>
                <w:color w:val="1E293B"/>
                <w:sz w:val="19"/>
              </w:rPr>
              <w:t xml:space="preserve">  3.1 - 3.3</w:t>
            </w:r>
          </w:p>
        </w:tc>
        <w:tc>
          <w:tcPr>
            <w:tcW w:w="6912" w:type="dxa"/>
            <w:shd w:val="clear" w:color="auto" w:fill="FFFFFF"/>
            <w:tcMar>
              <w:top w:w="80" w:type="dxa"/>
              <w:left w:w="100" w:type="dxa"/>
              <w:bottom w:w="80" w:type="dxa"/>
              <w:right w:w="100" w:type="dxa"/>
            </w:tcMar>
          </w:tcPr>
          <w:p w14:paraId="6BBE69C3" w14:textId="77777777" w:rsidR="00AB70A3" w:rsidRDefault="00B56DB4">
            <w:pPr>
              <w:spacing w:after="0"/>
            </w:pPr>
            <w:r>
              <w:rPr>
                <w:rFonts w:ascii="Times New Roman" w:hAnsi="Times New Roman"/>
                <w:color w:val="1E293B"/>
                <w:sz w:val="19"/>
              </w:rPr>
              <w:t>URL Submission, Web Crawling, and Evidence Normalization</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162EEE00" w14:textId="77777777">
        <w:trPr>
          <w:jc w:val="center"/>
        </w:trPr>
        <w:tc>
          <w:tcPr>
            <w:tcW w:w="1728" w:type="dxa"/>
            <w:shd w:val="clear" w:color="auto" w:fill="F8FAFC"/>
            <w:tcMar>
              <w:top w:w="80" w:type="dxa"/>
              <w:left w:w="100" w:type="dxa"/>
              <w:bottom w:w="80" w:type="dxa"/>
              <w:right w:w="100" w:type="dxa"/>
            </w:tcMar>
          </w:tcPr>
          <w:p w14:paraId="633EC8DE" w14:textId="77777777" w:rsidR="00AB70A3" w:rsidRDefault="00B56DB4">
            <w:pPr>
              <w:spacing w:after="0"/>
            </w:pPr>
            <w:r>
              <w:rPr>
                <w:rFonts w:ascii="Times New Roman" w:hAnsi="Times New Roman"/>
                <w:color w:val="1E293B"/>
                <w:sz w:val="19"/>
              </w:rPr>
              <w:t xml:space="preserve">  3.4 - 3.5</w:t>
            </w:r>
          </w:p>
        </w:tc>
        <w:tc>
          <w:tcPr>
            <w:tcW w:w="6912" w:type="dxa"/>
            <w:shd w:val="clear" w:color="auto" w:fill="F8FAFC"/>
            <w:tcMar>
              <w:top w:w="80" w:type="dxa"/>
              <w:left w:w="100" w:type="dxa"/>
              <w:bottom w:w="80" w:type="dxa"/>
              <w:right w:w="100" w:type="dxa"/>
            </w:tcMar>
          </w:tcPr>
          <w:p w14:paraId="7AACE355" w14:textId="77777777" w:rsidR="00AB70A3" w:rsidRDefault="00B56DB4">
            <w:pPr>
              <w:spacing w:after="0"/>
            </w:pPr>
            <w:r>
              <w:rPr>
                <w:rFonts w:ascii="Times New Roman" w:hAnsi="Times New Roman"/>
                <w:color w:val="1E293B"/>
                <w:sz w:val="19"/>
              </w:rPr>
              <w:t>DPDP Canonical Controls and Hybrid Statutory Retrieval (RAG)</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63BECD49" w14:textId="77777777">
        <w:trPr>
          <w:jc w:val="center"/>
        </w:trPr>
        <w:tc>
          <w:tcPr>
            <w:tcW w:w="1728" w:type="dxa"/>
            <w:shd w:val="clear" w:color="auto" w:fill="FFFFFF"/>
            <w:tcMar>
              <w:top w:w="80" w:type="dxa"/>
              <w:left w:w="100" w:type="dxa"/>
              <w:bottom w:w="80" w:type="dxa"/>
              <w:right w:w="100" w:type="dxa"/>
            </w:tcMar>
          </w:tcPr>
          <w:p w14:paraId="216D41FB" w14:textId="77777777" w:rsidR="00AB70A3" w:rsidRDefault="00B56DB4">
            <w:pPr>
              <w:spacing w:after="0"/>
            </w:pPr>
            <w:r>
              <w:rPr>
                <w:rFonts w:ascii="Times New Roman" w:hAnsi="Times New Roman"/>
                <w:color w:val="1E293B"/>
                <w:sz w:val="19"/>
              </w:rPr>
              <w:t xml:space="preserve">  3.6 - 3.8</w:t>
            </w:r>
          </w:p>
        </w:tc>
        <w:tc>
          <w:tcPr>
            <w:tcW w:w="6912" w:type="dxa"/>
            <w:shd w:val="clear" w:color="auto" w:fill="FFFFFF"/>
            <w:tcMar>
              <w:top w:w="80" w:type="dxa"/>
              <w:left w:w="100" w:type="dxa"/>
              <w:bottom w:w="80" w:type="dxa"/>
              <w:right w:w="100" w:type="dxa"/>
            </w:tcMar>
          </w:tcPr>
          <w:p w14:paraId="7788F4B3" w14:textId="77777777" w:rsidR="00AB70A3" w:rsidRDefault="00B56DB4">
            <w:pPr>
              <w:spacing w:after="0"/>
            </w:pPr>
            <w:r>
              <w:rPr>
                <w:rFonts w:ascii="Times New Roman" w:hAnsi="Times New Roman"/>
                <w:color w:val="1E293B"/>
                <w:sz w:val="19"/>
              </w:rPr>
              <w:t>Parallel LLM Evaluation, Grounding Validation, and Scoring</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6FB71C44" w14:textId="77777777">
        <w:trPr>
          <w:jc w:val="center"/>
        </w:trPr>
        <w:tc>
          <w:tcPr>
            <w:tcW w:w="1728" w:type="dxa"/>
            <w:shd w:val="clear" w:color="auto" w:fill="F8FAFC"/>
            <w:tcMar>
              <w:top w:w="80" w:type="dxa"/>
              <w:left w:w="100" w:type="dxa"/>
              <w:bottom w:w="80" w:type="dxa"/>
              <w:right w:w="100" w:type="dxa"/>
            </w:tcMar>
          </w:tcPr>
          <w:p w14:paraId="29D65AF6" w14:textId="77777777" w:rsidR="00AB70A3" w:rsidRDefault="00B56DB4">
            <w:pPr>
              <w:spacing w:after="0"/>
            </w:pPr>
            <w:r>
              <w:rPr>
                <w:rFonts w:ascii="Times New Roman" w:hAnsi="Times New Roman"/>
                <w:color w:val="1E293B"/>
                <w:sz w:val="19"/>
              </w:rPr>
              <w:t xml:space="preserve">  3.9 - 3.10</w:t>
            </w:r>
          </w:p>
        </w:tc>
        <w:tc>
          <w:tcPr>
            <w:tcW w:w="6912" w:type="dxa"/>
            <w:shd w:val="clear" w:color="auto" w:fill="F8FAFC"/>
            <w:tcMar>
              <w:top w:w="80" w:type="dxa"/>
              <w:left w:w="100" w:type="dxa"/>
              <w:bottom w:w="80" w:type="dxa"/>
              <w:right w:w="100" w:type="dxa"/>
            </w:tcMar>
          </w:tcPr>
          <w:p w14:paraId="1F6C695C" w14:textId="77777777" w:rsidR="00AB70A3" w:rsidRDefault="00B56DB4">
            <w:pPr>
              <w:spacing w:after="0"/>
            </w:pPr>
            <w:r>
              <w:rPr>
                <w:rFonts w:ascii="Times New Roman" w:hAnsi="Times New Roman"/>
                <w:color w:val="1E293B"/>
                <w:sz w:val="19"/>
              </w:rPr>
              <w:t>Top-3 Consensus Synthesis, Findings, and Native PDF Export</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0A23B284" w14:textId="77777777">
        <w:trPr>
          <w:jc w:val="center"/>
        </w:trPr>
        <w:tc>
          <w:tcPr>
            <w:tcW w:w="1728" w:type="dxa"/>
            <w:shd w:val="clear" w:color="auto" w:fill="FFFFFF"/>
            <w:tcMar>
              <w:top w:w="80" w:type="dxa"/>
              <w:left w:w="100" w:type="dxa"/>
              <w:bottom w:w="80" w:type="dxa"/>
              <w:right w:w="100" w:type="dxa"/>
            </w:tcMar>
          </w:tcPr>
          <w:p w14:paraId="5EC4520A" w14:textId="77777777" w:rsidR="00AB70A3" w:rsidRDefault="00B56DB4">
            <w:pPr>
              <w:spacing w:after="0"/>
            </w:pPr>
            <w:r>
              <w:rPr>
                <w:rFonts w:ascii="Times New Roman" w:hAnsi="Times New Roman"/>
                <w:color w:val="1E293B"/>
                <w:sz w:val="19"/>
              </w:rPr>
              <w:t>Chapter 4</w:t>
            </w:r>
          </w:p>
        </w:tc>
        <w:tc>
          <w:tcPr>
            <w:tcW w:w="6912" w:type="dxa"/>
            <w:shd w:val="clear" w:color="auto" w:fill="FFFFFF"/>
            <w:tcMar>
              <w:top w:w="80" w:type="dxa"/>
              <w:left w:w="100" w:type="dxa"/>
              <w:bottom w:w="80" w:type="dxa"/>
              <w:right w:w="100" w:type="dxa"/>
            </w:tcMar>
          </w:tcPr>
          <w:p w14:paraId="2C8C34DB" w14:textId="77777777" w:rsidR="00AB70A3" w:rsidRDefault="00B56DB4">
            <w:pPr>
              <w:spacing w:after="0"/>
            </w:pPr>
            <w:r>
              <w:rPr>
                <w:rFonts w:ascii="Times New Roman" w:hAnsi="Times New Roman"/>
                <w:color w:val="1E293B"/>
                <w:sz w:val="19"/>
              </w:rPr>
              <w:t>Understandable Practical Examples for Non-Specialists</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46FFF2E5" w14:textId="77777777">
        <w:trPr>
          <w:jc w:val="center"/>
        </w:trPr>
        <w:tc>
          <w:tcPr>
            <w:tcW w:w="1728" w:type="dxa"/>
            <w:shd w:val="clear" w:color="auto" w:fill="F8FAFC"/>
            <w:tcMar>
              <w:top w:w="80" w:type="dxa"/>
              <w:left w:w="100" w:type="dxa"/>
              <w:bottom w:w="80" w:type="dxa"/>
              <w:right w:w="100" w:type="dxa"/>
            </w:tcMar>
          </w:tcPr>
          <w:p w14:paraId="16842402" w14:textId="77777777" w:rsidR="00AB70A3" w:rsidRDefault="00B56DB4">
            <w:pPr>
              <w:spacing w:after="0"/>
            </w:pPr>
            <w:r>
              <w:rPr>
                <w:rFonts w:ascii="Times New Roman" w:hAnsi="Times New Roman"/>
                <w:color w:val="1E293B"/>
                <w:sz w:val="19"/>
              </w:rPr>
              <w:t xml:space="preserve">  Example 1</w:t>
            </w:r>
          </w:p>
        </w:tc>
        <w:tc>
          <w:tcPr>
            <w:tcW w:w="6912" w:type="dxa"/>
            <w:shd w:val="clear" w:color="auto" w:fill="F8FAFC"/>
            <w:tcMar>
              <w:top w:w="80" w:type="dxa"/>
              <w:left w:w="100" w:type="dxa"/>
              <w:bottom w:w="80" w:type="dxa"/>
              <w:right w:w="100" w:type="dxa"/>
            </w:tcMar>
          </w:tcPr>
          <w:p w14:paraId="66662117" w14:textId="77777777" w:rsidR="00AB70A3" w:rsidRDefault="00B56DB4">
            <w:pPr>
              <w:spacing w:after="0"/>
            </w:pPr>
            <w:r>
              <w:rPr>
                <w:rFonts w:ascii="Times New Roman" w:hAnsi="Times New Roman"/>
                <w:color w:val="1E293B"/>
                <w:sz w:val="19"/>
              </w:rPr>
              <w:t>Extracting and Analyzing a Live Website Privacy Notice</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4076AC18" w14:textId="77777777">
        <w:trPr>
          <w:jc w:val="center"/>
        </w:trPr>
        <w:tc>
          <w:tcPr>
            <w:tcW w:w="1728" w:type="dxa"/>
            <w:shd w:val="clear" w:color="auto" w:fill="FFFFFF"/>
            <w:tcMar>
              <w:top w:w="80" w:type="dxa"/>
              <w:left w:w="100" w:type="dxa"/>
              <w:bottom w:w="80" w:type="dxa"/>
              <w:right w:w="100" w:type="dxa"/>
            </w:tcMar>
          </w:tcPr>
          <w:p w14:paraId="64162391" w14:textId="77777777" w:rsidR="00AB70A3" w:rsidRDefault="00B56DB4">
            <w:pPr>
              <w:spacing w:after="0"/>
            </w:pPr>
            <w:r>
              <w:rPr>
                <w:rFonts w:ascii="Times New Roman" w:hAnsi="Times New Roman"/>
                <w:color w:val="1E293B"/>
                <w:sz w:val="19"/>
              </w:rPr>
              <w:t xml:space="preserve">  Example 2</w:t>
            </w:r>
          </w:p>
        </w:tc>
        <w:tc>
          <w:tcPr>
            <w:tcW w:w="6912" w:type="dxa"/>
            <w:shd w:val="clear" w:color="auto" w:fill="FFFFFF"/>
            <w:tcMar>
              <w:top w:w="80" w:type="dxa"/>
              <w:left w:w="100" w:type="dxa"/>
              <w:bottom w:w="80" w:type="dxa"/>
              <w:right w:w="100" w:type="dxa"/>
            </w:tcMar>
          </w:tcPr>
          <w:p w14:paraId="405F4C7D" w14:textId="77777777" w:rsidR="00AB70A3" w:rsidRDefault="00B56DB4">
            <w:pPr>
              <w:spacing w:after="0"/>
            </w:pPr>
            <w:r>
              <w:rPr>
                <w:rFonts w:ascii="Times New Roman" w:hAnsi="Times New Roman"/>
                <w:color w:val="1E293B"/>
                <w:sz w:val="19"/>
              </w:rPr>
              <w:t>Hybrid Retrieval in Action: BM25 vs. Dense pgvector Fusion</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0E1E6A39" w14:textId="77777777">
        <w:trPr>
          <w:jc w:val="center"/>
        </w:trPr>
        <w:tc>
          <w:tcPr>
            <w:tcW w:w="1728" w:type="dxa"/>
            <w:shd w:val="clear" w:color="auto" w:fill="F8FAFC"/>
            <w:tcMar>
              <w:top w:w="80" w:type="dxa"/>
              <w:left w:w="100" w:type="dxa"/>
              <w:bottom w:w="80" w:type="dxa"/>
              <w:right w:w="100" w:type="dxa"/>
            </w:tcMar>
          </w:tcPr>
          <w:p w14:paraId="23B4E7D1" w14:textId="77777777" w:rsidR="00AB70A3" w:rsidRDefault="00B56DB4">
            <w:pPr>
              <w:spacing w:after="0"/>
            </w:pPr>
            <w:r>
              <w:rPr>
                <w:rFonts w:ascii="Times New Roman" w:hAnsi="Times New Roman"/>
                <w:color w:val="1E293B"/>
                <w:sz w:val="19"/>
              </w:rPr>
              <w:t xml:space="preserve">  Example 3</w:t>
            </w:r>
          </w:p>
        </w:tc>
        <w:tc>
          <w:tcPr>
            <w:tcW w:w="6912" w:type="dxa"/>
            <w:shd w:val="clear" w:color="auto" w:fill="F8FAFC"/>
            <w:tcMar>
              <w:top w:w="80" w:type="dxa"/>
              <w:left w:w="100" w:type="dxa"/>
              <w:bottom w:w="80" w:type="dxa"/>
              <w:right w:w="100" w:type="dxa"/>
            </w:tcMar>
          </w:tcPr>
          <w:p w14:paraId="6E2E0142" w14:textId="77777777" w:rsidR="00AB70A3" w:rsidRDefault="00B56DB4">
            <w:pPr>
              <w:spacing w:after="0"/>
            </w:pPr>
            <w:r>
              <w:rPr>
                <w:rFonts w:ascii="Times New Roman" w:hAnsi="Times New Roman"/>
                <w:color w:val="1E293B"/>
                <w:sz w:val="19"/>
              </w:rPr>
              <w:t>Three Candidate LLMs and Majority Voting Consensus Logic</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72503CA0" w14:textId="77777777">
        <w:trPr>
          <w:jc w:val="center"/>
        </w:trPr>
        <w:tc>
          <w:tcPr>
            <w:tcW w:w="1728" w:type="dxa"/>
            <w:shd w:val="clear" w:color="auto" w:fill="FFFFFF"/>
            <w:tcMar>
              <w:top w:w="80" w:type="dxa"/>
              <w:left w:w="100" w:type="dxa"/>
              <w:bottom w:w="80" w:type="dxa"/>
              <w:right w:w="100" w:type="dxa"/>
            </w:tcMar>
          </w:tcPr>
          <w:p w14:paraId="3FDDC32E" w14:textId="77777777" w:rsidR="00AB70A3" w:rsidRDefault="00B56DB4">
            <w:pPr>
              <w:spacing w:after="0"/>
            </w:pPr>
            <w:r>
              <w:rPr>
                <w:rFonts w:ascii="Times New Roman" w:hAnsi="Times New Roman"/>
                <w:color w:val="1E293B"/>
                <w:sz w:val="19"/>
              </w:rPr>
              <w:t xml:space="preserve">  Example 4</w:t>
            </w:r>
          </w:p>
        </w:tc>
        <w:tc>
          <w:tcPr>
            <w:tcW w:w="6912" w:type="dxa"/>
            <w:shd w:val="clear" w:color="auto" w:fill="FFFFFF"/>
            <w:tcMar>
              <w:top w:w="80" w:type="dxa"/>
              <w:left w:w="100" w:type="dxa"/>
              <w:bottom w:w="80" w:type="dxa"/>
              <w:right w:w="100" w:type="dxa"/>
            </w:tcMar>
          </w:tcPr>
          <w:p w14:paraId="39959793" w14:textId="77777777" w:rsidR="00AB70A3" w:rsidRDefault="00B56DB4">
            <w:pPr>
              <w:spacing w:after="0"/>
            </w:pPr>
            <w:r>
              <w:rPr>
                <w:rFonts w:ascii="Times New Roman" w:hAnsi="Times New Roman"/>
                <w:color w:val="1E293B"/>
                <w:sz w:val="19"/>
              </w:rPr>
              <w:t>Trust Score Calculation: Worked Numerical Example</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4CA8E113" w14:textId="77777777">
        <w:trPr>
          <w:jc w:val="center"/>
        </w:trPr>
        <w:tc>
          <w:tcPr>
            <w:tcW w:w="1728" w:type="dxa"/>
            <w:shd w:val="clear" w:color="auto" w:fill="F8FAFC"/>
            <w:tcMar>
              <w:top w:w="80" w:type="dxa"/>
              <w:left w:w="100" w:type="dxa"/>
              <w:bottom w:w="80" w:type="dxa"/>
              <w:right w:w="100" w:type="dxa"/>
            </w:tcMar>
          </w:tcPr>
          <w:p w14:paraId="0B32C4D5" w14:textId="77777777" w:rsidR="00AB70A3" w:rsidRDefault="00B56DB4">
            <w:pPr>
              <w:spacing w:after="0"/>
            </w:pPr>
            <w:r>
              <w:rPr>
                <w:rFonts w:ascii="Times New Roman" w:hAnsi="Times New Roman"/>
                <w:color w:val="1E293B"/>
                <w:sz w:val="19"/>
              </w:rPr>
              <w:t xml:space="preserve">  Example 5</w:t>
            </w:r>
          </w:p>
        </w:tc>
        <w:tc>
          <w:tcPr>
            <w:tcW w:w="6912" w:type="dxa"/>
            <w:shd w:val="clear" w:color="auto" w:fill="F8FAFC"/>
            <w:tcMar>
              <w:top w:w="80" w:type="dxa"/>
              <w:left w:w="100" w:type="dxa"/>
              <w:bottom w:w="80" w:type="dxa"/>
              <w:right w:w="100" w:type="dxa"/>
            </w:tcMar>
          </w:tcPr>
          <w:p w14:paraId="35B5D8DA" w14:textId="77777777" w:rsidR="00AB70A3" w:rsidRDefault="00B56DB4">
            <w:pPr>
              <w:spacing w:after="0"/>
            </w:pPr>
            <w:r>
              <w:rPr>
                <w:rFonts w:ascii="Times New Roman" w:hAnsi="Times New Roman"/>
                <w:color w:val="1E293B"/>
                <w:sz w:val="19"/>
              </w:rPr>
              <w:t>Transforming Evidence into a Prioritized Remediation Finding</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r w:rsidR="00AB70A3" w14:paraId="2C299BFE" w14:textId="77777777">
        <w:trPr>
          <w:jc w:val="center"/>
        </w:trPr>
        <w:tc>
          <w:tcPr>
            <w:tcW w:w="1728" w:type="dxa"/>
            <w:shd w:val="clear" w:color="auto" w:fill="FFFFFF"/>
            <w:tcMar>
              <w:top w:w="80" w:type="dxa"/>
              <w:left w:w="100" w:type="dxa"/>
              <w:bottom w:w="80" w:type="dxa"/>
              <w:right w:w="100" w:type="dxa"/>
            </w:tcMar>
          </w:tcPr>
          <w:p w14:paraId="05CF821A" w14:textId="77777777" w:rsidR="00AB70A3" w:rsidRDefault="00B56DB4">
            <w:pPr>
              <w:spacing w:after="0"/>
            </w:pPr>
            <w:r>
              <w:rPr>
                <w:rFonts w:ascii="Times New Roman" w:hAnsi="Times New Roman"/>
                <w:color w:val="1E293B"/>
                <w:sz w:val="19"/>
              </w:rPr>
              <w:t>Chapter 5</w:t>
            </w:r>
          </w:p>
        </w:tc>
        <w:tc>
          <w:tcPr>
            <w:tcW w:w="6912" w:type="dxa"/>
            <w:shd w:val="clear" w:color="auto" w:fill="FFFFFF"/>
            <w:tcMar>
              <w:top w:w="80" w:type="dxa"/>
              <w:left w:w="100" w:type="dxa"/>
              <w:bottom w:w="80" w:type="dxa"/>
              <w:right w:w="100" w:type="dxa"/>
            </w:tcMar>
          </w:tcPr>
          <w:p w14:paraId="04BEDE04" w14:textId="77777777" w:rsidR="00AB70A3" w:rsidRDefault="00B56DB4">
            <w:pPr>
              <w:spacing w:after="0"/>
            </w:pPr>
            <w:r>
              <w:rPr>
                <w:rFonts w:ascii="Times New Roman" w:hAnsi="Times New Roman"/>
                <w:color w:val="1E293B"/>
                <w:sz w:val="19"/>
              </w:rPr>
              <w:t>Empirical Experimental Results and Discussion</w:t>
            </w:r>
          </w:p>
        </w:tc>
        <w:tc>
          <w:tcPr>
            <w:tcW w:w="1152" w:type="dxa"/>
            <w:shd w:val="clear" w:color="auto" w:fill="FFFFFF"/>
            <w:tcMar>
              <w:top w:w="80" w:type="dxa"/>
              <w:left w:w="100" w:type="dxa"/>
              <w:bottom w:w="80" w:type="dxa"/>
              <w:right w:w="100" w:type="dxa"/>
            </w:tcMar>
          </w:tcPr>
          <w:p>
            <w:pPr>
              <w:jc w:val="center"/>
            </w:pPr>
            <w:r>
              <w:rPr>
                <w:rFonts w:ascii="Times New Roman" w:hAnsi="Times New Roman"/>
                <w:b/>
                <w:color w:val="1F4E79"/>
                <w:sz w:val="19"/>
              </w:rPr>
              <w:t>2</w:t>
            </w:r>
          </w:p>
        </w:tc>
      </w:tr>
      <w:tr w:rsidR="00AB70A3" w14:paraId="7A707826" w14:textId="77777777">
        <w:trPr>
          <w:jc w:val="center"/>
        </w:trPr>
        <w:tc>
          <w:tcPr>
            <w:tcW w:w="1728" w:type="dxa"/>
            <w:shd w:val="clear" w:color="auto" w:fill="F8FAFC"/>
            <w:tcMar>
              <w:top w:w="80" w:type="dxa"/>
              <w:left w:w="100" w:type="dxa"/>
              <w:bottom w:w="80" w:type="dxa"/>
              <w:right w:w="100" w:type="dxa"/>
            </w:tcMar>
          </w:tcPr>
          <w:p w14:paraId="53521838" w14:textId="77777777" w:rsidR="00AB70A3" w:rsidRDefault="00B56DB4">
            <w:pPr>
              <w:spacing w:after="0"/>
            </w:pPr>
            <w:r>
              <w:rPr>
                <w:rFonts w:ascii="Times New Roman" w:hAnsi="Times New Roman"/>
                <w:color w:val="1E293B"/>
                <w:sz w:val="19"/>
              </w:rPr>
              <w:t>Chapter 6</w:t>
            </w:r>
          </w:p>
        </w:tc>
        <w:tc>
          <w:tcPr>
            <w:tcW w:w="6912" w:type="dxa"/>
            <w:shd w:val="clear" w:color="auto" w:fill="F8FAFC"/>
            <w:tcMar>
              <w:top w:w="80" w:type="dxa"/>
              <w:left w:w="100" w:type="dxa"/>
              <w:bottom w:w="80" w:type="dxa"/>
              <w:right w:w="100" w:type="dxa"/>
            </w:tcMar>
          </w:tcPr>
          <w:p w14:paraId="0F77F7FC" w14:textId="77777777" w:rsidR="00AB70A3" w:rsidRDefault="00B56DB4">
            <w:pPr>
              <w:spacing w:after="0"/>
            </w:pPr>
            <w:r>
              <w:rPr>
                <w:rFonts w:ascii="Times New Roman" w:hAnsi="Times New Roman"/>
                <w:color w:val="1E293B"/>
                <w:sz w:val="19"/>
              </w:rPr>
              <w:t>Conclusion, Practical Impact, and Future Enhancements</w:t>
            </w:r>
          </w:p>
        </w:tc>
        <w:tc>
          <w:tcPr>
            <w:tcW w:w="1152" w:type="dxa"/>
            <w:shd w:val="clear" w:color="auto" w:fill="F8FAFC"/>
            <w:tcMar>
              <w:top w:w="80" w:type="dxa"/>
              <w:left w:w="100" w:type="dxa"/>
              <w:bottom w:w="80" w:type="dxa"/>
              <w:right w:w="100" w:type="dxa"/>
            </w:tcMar>
          </w:tcPr>
          <w:p>
            <w:pPr>
              <w:jc w:val="center"/>
            </w:pPr>
            <w:r>
              <w:rPr>
                <w:rFonts w:ascii="Times New Roman" w:hAnsi="Times New Roman"/>
                <w:b/>
                <w:color w:val="1F4E79"/>
                <w:sz w:val="19"/>
              </w:rPr>
              <w:t>2</w:t>
            </w:r>
          </w:p>
        </w:tc>
      </w:tr>
    </w:tbl>
    <w:p w14:paraId="47BE4762" w14:textId="77777777" w:rsidR="00AB70A3" w:rsidRDefault="00AB70A3">
      <w:pPr>
        <w:spacing w:after="240"/>
      </w:pPr>
    </w:p>
    <w:p w14:paraId="69C564EC" w14:textId="77777777" w:rsidR="00AB70A3" w:rsidRDefault="00B56DB4">
      <w:pPr>
        <w:keepNext/>
        <w:spacing w:before="360" w:after="240"/>
      </w:pPr>
      <w:r>
        <w:rPr>
          <w:rFonts w:ascii="Times New Roman" w:hAnsi="Times New Roman"/>
          <w:b/>
          <w:color w:val="1F4E79"/>
          <w:sz w:val="28"/>
        </w:rPr>
        <w:t>ABBREVIATIONS AND STATUTORY TERMINOLOGY</w:t>
      </w:r>
    </w:p>
    <w:tbl>
      <w:tblPr>
        <w:tblW w:w="0" w:type="auto"/>
        <w:jc w:val="center"/>
        <w:tblLook w:val="04A0" w:firstRow="1" w:lastRow="0" w:firstColumn="1" w:lastColumn="0" w:noHBand="0" w:noVBand="1"/>
      </w:tblPr>
      <w:tblGrid>
        <w:gridCol w:w="2109"/>
        <w:gridCol w:w="7200"/>
      </w:tblGrid>
      <w:tr w:rsidR="00AB70A3" w14:paraId="4BB8166A" w14:textId="77777777">
        <w:trPr>
          <w:jc w:val="center"/>
        </w:trPr>
        <w:tc>
          <w:tcPr>
            <w:tcW w:w="2160" w:type="dxa"/>
            <w:shd w:val="clear" w:color="auto" w:fill="1F4E79"/>
            <w:tcMar>
              <w:top w:w="120" w:type="dxa"/>
              <w:left w:w="140" w:type="dxa"/>
              <w:bottom w:w="120" w:type="dxa"/>
              <w:right w:w="140" w:type="dxa"/>
            </w:tcMar>
          </w:tcPr>
          <w:p w14:paraId="54BDA845" w14:textId="77777777" w:rsidR="00AB70A3" w:rsidRDefault="00B56DB4">
            <w:pPr>
              <w:spacing w:after="0"/>
              <w:jc w:val="center"/>
            </w:pPr>
            <w:r>
              <w:rPr>
                <w:rFonts w:ascii="Times New Roman" w:hAnsi="Times New Roman"/>
                <w:b/>
                <w:color w:val="FFFFFF"/>
                <w:sz w:val="20"/>
              </w:rPr>
              <w:t>Abbreviation</w:t>
            </w:r>
          </w:p>
        </w:tc>
        <w:tc>
          <w:tcPr>
            <w:tcW w:w="7632" w:type="dxa"/>
            <w:shd w:val="clear" w:color="auto" w:fill="1F4E79"/>
            <w:tcMar>
              <w:top w:w="120" w:type="dxa"/>
              <w:left w:w="140" w:type="dxa"/>
              <w:bottom w:w="120" w:type="dxa"/>
              <w:right w:w="140" w:type="dxa"/>
            </w:tcMar>
          </w:tcPr>
          <w:p w14:paraId="0AED468C" w14:textId="77777777" w:rsidR="00AB70A3" w:rsidRDefault="00B56DB4">
            <w:pPr>
              <w:spacing w:after="0"/>
              <w:jc w:val="center"/>
            </w:pPr>
            <w:r>
              <w:rPr>
                <w:rFonts w:ascii="Times New Roman" w:hAnsi="Times New Roman"/>
                <w:b/>
                <w:color w:val="FFFFFF"/>
                <w:sz w:val="20"/>
              </w:rPr>
              <w:t>Complete Statutory Definition</w:t>
            </w:r>
          </w:p>
        </w:tc>
      </w:tr>
      <w:tr w:rsidR="00AB70A3" w14:paraId="053E396A" w14:textId="77777777">
        <w:trPr>
          <w:jc w:val="center"/>
        </w:trPr>
        <w:tc>
          <w:tcPr>
            <w:tcW w:w="2160" w:type="dxa"/>
            <w:shd w:val="clear" w:color="auto" w:fill="FFFFFF"/>
            <w:tcMar>
              <w:top w:w="90" w:type="dxa"/>
              <w:left w:w="120" w:type="dxa"/>
              <w:bottom w:w="90" w:type="dxa"/>
              <w:right w:w="120" w:type="dxa"/>
            </w:tcMar>
          </w:tcPr>
          <w:p w14:paraId="7040CB21" w14:textId="77777777" w:rsidR="00AB70A3" w:rsidRDefault="00B56DB4">
            <w:pPr>
              <w:spacing w:after="0"/>
            </w:pPr>
            <w:r>
              <w:rPr>
                <w:rFonts w:ascii="Times New Roman" w:hAnsi="Times New Roman"/>
                <w:color w:val="1E293B"/>
                <w:sz w:val="19"/>
              </w:rPr>
              <w:lastRenderedPageBreak/>
              <w:t>DPDP Act</w:t>
            </w:r>
          </w:p>
        </w:tc>
        <w:tc>
          <w:tcPr>
            <w:tcW w:w="7632" w:type="dxa"/>
            <w:shd w:val="clear" w:color="auto" w:fill="FFFFFF"/>
            <w:tcMar>
              <w:top w:w="90" w:type="dxa"/>
              <w:left w:w="120" w:type="dxa"/>
              <w:bottom w:w="90" w:type="dxa"/>
              <w:right w:w="120" w:type="dxa"/>
            </w:tcMar>
          </w:tcPr>
          <w:p w14:paraId="00BD9D0A" w14:textId="77777777" w:rsidR="00AB70A3" w:rsidRDefault="00B56DB4">
            <w:pPr>
              <w:spacing w:after="0"/>
            </w:pPr>
            <w:r>
              <w:rPr>
                <w:rFonts w:ascii="Times New Roman" w:hAnsi="Times New Roman"/>
                <w:color w:val="1E293B"/>
                <w:sz w:val="19"/>
              </w:rPr>
              <w:t>Digital Personal Data Protection Act, 2023 (Act No. 22 of 2023, Republic of India)</w:t>
            </w:r>
          </w:p>
        </w:tc>
      </w:tr>
      <w:tr w:rsidR="00AB70A3" w14:paraId="756C0F06" w14:textId="77777777">
        <w:trPr>
          <w:jc w:val="center"/>
        </w:trPr>
        <w:tc>
          <w:tcPr>
            <w:tcW w:w="2160" w:type="dxa"/>
            <w:shd w:val="clear" w:color="auto" w:fill="F8FAFC"/>
            <w:tcMar>
              <w:top w:w="90" w:type="dxa"/>
              <w:left w:w="120" w:type="dxa"/>
              <w:bottom w:w="90" w:type="dxa"/>
              <w:right w:w="120" w:type="dxa"/>
            </w:tcMar>
          </w:tcPr>
          <w:p w14:paraId="3F2D5480" w14:textId="77777777" w:rsidR="00AB70A3" w:rsidRDefault="00B56DB4">
            <w:pPr>
              <w:spacing w:after="0"/>
            </w:pPr>
            <w:r>
              <w:rPr>
                <w:rFonts w:ascii="Times New Roman" w:hAnsi="Times New Roman"/>
                <w:color w:val="1E293B"/>
                <w:sz w:val="19"/>
              </w:rPr>
              <w:t>DPDP Rules</w:t>
            </w:r>
          </w:p>
        </w:tc>
        <w:tc>
          <w:tcPr>
            <w:tcW w:w="7632" w:type="dxa"/>
            <w:shd w:val="clear" w:color="auto" w:fill="F8FAFC"/>
            <w:tcMar>
              <w:top w:w="90" w:type="dxa"/>
              <w:left w:w="120" w:type="dxa"/>
              <w:bottom w:w="90" w:type="dxa"/>
              <w:right w:w="120" w:type="dxa"/>
            </w:tcMar>
          </w:tcPr>
          <w:p w14:paraId="490F924A" w14:textId="77777777" w:rsidR="00AB70A3" w:rsidRDefault="00B56DB4">
            <w:pPr>
              <w:spacing w:after="0"/>
            </w:pPr>
            <w:r>
              <w:rPr>
                <w:rFonts w:ascii="Times New Roman" w:hAnsi="Times New Roman"/>
                <w:color w:val="1E293B"/>
                <w:sz w:val="19"/>
              </w:rPr>
              <w:t>Digital Personal Data Protection Rules, 2025 (Notified Implementing Procedures)</w:t>
            </w:r>
          </w:p>
        </w:tc>
      </w:tr>
      <w:tr w:rsidR="00AB70A3" w14:paraId="4D707009" w14:textId="77777777">
        <w:trPr>
          <w:jc w:val="center"/>
        </w:trPr>
        <w:tc>
          <w:tcPr>
            <w:tcW w:w="2160" w:type="dxa"/>
            <w:shd w:val="clear" w:color="auto" w:fill="FFFFFF"/>
            <w:tcMar>
              <w:top w:w="90" w:type="dxa"/>
              <w:left w:w="120" w:type="dxa"/>
              <w:bottom w:w="90" w:type="dxa"/>
              <w:right w:w="120" w:type="dxa"/>
            </w:tcMar>
          </w:tcPr>
          <w:p w14:paraId="4D8959D5" w14:textId="77777777" w:rsidR="00AB70A3" w:rsidRDefault="00B56DB4">
            <w:pPr>
              <w:spacing w:after="0"/>
            </w:pPr>
            <w:r>
              <w:rPr>
                <w:rFonts w:ascii="Times New Roman" w:hAnsi="Times New Roman"/>
                <w:color w:val="1E293B"/>
                <w:sz w:val="19"/>
              </w:rPr>
              <w:t>RAG</w:t>
            </w:r>
          </w:p>
        </w:tc>
        <w:tc>
          <w:tcPr>
            <w:tcW w:w="7632" w:type="dxa"/>
            <w:shd w:val="clear" w:color="auto" w:fill="FFFFFF"/>
            <w:tcMar>
              <w:top w:w="90" w:type="dxa"/>
              <w:left w:w="120" w:type="dxa"/>
              <w:bottom w:w="90" w:type="dxa"/>
              <w:right w:w="120" w:type="dxa"/>
            </w:tcMar>
          </w:tcPr>
          <w:p w14:paraId="29481593" w14:textId="77777777" w:rsidR="00AB70A3" w:rsidRDefault="00B56DB4">
            <w:pPr>
              <w:spacing w:after="0"/>
            </w:pPr>
            <w:r>
              <w:rPr>
                <w:rFonts w:ascii="Times New Roman" w:hAnsi="Times New Roman"/>
                <w:color w:val="1E293B"/>
                <w:sz w:val="19"/>
              </w:rPr>
              <w:t>Retrieval-Augmented Generation (Grounding LLMs with External Canonical Knowledge)</w:t>
            </w:r>
          </w:p>
        </w:tc>
      </w:tr>
      <w:tr w:rsidR="00AB70A3" w14:paraId="5ECA15B0" w14:textId="77777777">
        <w:trPr>
          <w:jc w:val="center"/>
        </w:trPr>
        <w:tc>
          <w:tcPr>
            <w:tcW w:w="2160" w:type="dxa"/>
            <w:shd w:val="clear" w:color="auto" w:fill="F8FAFC"/>
            <w:tcMar>
              <w:top w:w="90" w:type="dxa"/>
              <w:left w:w="120" w:type="dxa"/>
              <w:bottom w:w="90" w:type="dxa"/>
              <w:right w:w="120" w:type="dxa"/>
            </w:tcMar>
          </w:tcPr>
          <w:p w14:paraId="6D86D59E" w14:textId="77777777" w:rsidR="00AB70A3" w:rsidRDefault="00B56DB4">
            <w:pPr>
              <w:spacing w:after="0"/>
            </w:pPr>
            <w:r>
              <w:rPr>
                <w:rFonts w:ascii="Times New Roman" w:hAnsi="Times New Roman"/>
                <w:color w:val="1E293B"/>
                <w:sz w:val="19"/>
              </w:rPr>
              <w:t>RRF</w:t>
            </w:r>
          </w:p>
        </w:tc>
        <w:tc>
          <w:tcPr>
            <w:tcW w:w="7632" w:type="dxa"/>
            <w:shd w:val="clear" w:color="auto" w:fill="F8FAFC"/>
            <w:tcMar>
              <w:top w:w="90" w:type="dxa"/>
              <w:left w:w="120" w:type="dxa"/>
              <w:bottom w:w="90" w:type="dxa"/>
              <w:right w:w="120" w:type="dxa"/>
            </w:tcMar>
          </w:tcPr>
          <w:p w14:paraId="68BE121F" w14:textId="77777777" w:rsidR="00AB70A3" w:rsidRDefault="00B56DB4">
            <w:pPr>
              <w:spacing w:after="0"/>
            </w:pPr>
            <w:r>
              <w:rPr>
                <w:rFonts w:ascii="Times New Roman" w:hAnsi="Times New Roman"/>
                <w:color w:val="1E293B"/>
                <w:sz w:val="19"/>
              </w:rPr>
              <w:t>Reciprocal Rank Fusion (Non-Parametric Rank-Score Merging Algorithm, k=60)</w:t>
            </w:r>
          </w:p>
        </w:tc>
      </w:tr>
      <w:tr w:rsidR="00AB70A3" w14:paraId="69BE5B2C" w14:textId="77777777">
        <w:trPr>
          <w:jc w:val="center"/>
        </w:trPr>
        <w:tc>
          <w:tcPr>
            <w:tcW w:w="2160" w:type="dxa"/>
            <w:shd w:val="clear" w:color="auto" w:fill="FFFFFF"/>
            <w:tcMar>
              <w:top w:w="90" w:type="dxa"/>
              <w:left w:w="120" w:type="dxa"/>
              <w:bottom w:w="90" w:type="dxa"/>
              <w:right w:w="120" w:type="dxa"/>
            </w:tcMar>
          </w:tcPr>
          <w:p w14:paraId="09AEE665" w14:textId="77777777" w:rsidR="00AB70A3" w:rsidRDefault="00B56DB4">
            <w:pPr>
              <w:spacing w:after="0"/>
            </w:pPr>
            <w:r>
              <w:rPr>
                <w:rFonts w:ascii="Times New Roman" w:hAnsi="Times New Roman"/>
                <w:color w:val="1E293B"/>
                <w:sz w:val="19"/>
              </w:rPr>
              <w:t>BM25</w:t>
            </w:r>
          </w:p>
        </w:tc>
        <w:tc>
          <w:tcPr>
            <w:tcW w:w="7632" w:type="dxa"/>
            <w:shd w:val="clear" w:color="auto" w:fill="FFFFFF"/>
            <w:tcMar>
              <w:top w:w="90" w:type="dxa"/>
              <w:left w:w="120" w:type="dxa"/>
              <w:bottom w:w="90" w:type="dxa"/>
              <w:right w:w="120" w:type="dxa"/>
            </w:tcMar>
          </w:tcPr>
          <w:p w14:paraId="15C961EC" w14:textId="77777777" w:rsidR="00AB70A3" w:rsidRDefault="00B56DB4">
            <w:pPr>
              <w:spacing w:after="0"/>
            </w:pPr>
            <w:r>
              <w:rPr>
                <w:rFonts w:ascii="Times New Roman" w:hAnsi="Times New Roman"/>
                <w:color w:val="1E293B"/>
                <w:sz w:val="19"/>
              </w:rPr>
              <w:t>Best Matching 25 (Probabilistic Lexical Frequency / Token Inverted Index Retrieval)</w:t>
            </w:r>
          </w:p>
        </w:tc>
      </w:tr>
      <w:tr w:rsidR="00AB70A3" w14:paraId="4D1325BC" w14:textId="77777777">
        <w:trPr>
          <w:jc w:val="center"/>
        </w:trPr>
        <w:tc>
          <w:tcPr>
            <w:tcW w:w="2160" w:type="dxa"/>
            <w:shd w:val="clear" w:color="auto" w:fill="F8FAFC"/>
            <w:tcMar>
              <w:top w:w="90" w:type="dxa"/>
              <w:left w:w="120" w:type="dxa"/>
              <w:bottom w:w="90" w:type="dxa"/>
              <w:right w:w="120" w:type="dxa"/>
            </w:tcMar>
          </w:tcPr>
          <w:p w14:paraId="46BC88EA" w14:textId="77777777" w:rsidR="00AB70A3" w:rsidRDefault="00B56DB4">
            <w:pPr>
              <w:spacing w:after="0"/>
            </w:pPr>
            <w:r>
              <w:rPr>
                <w:rFonts w:ascii="Times New Roman" w:hAnsi="Times New Roman"/>
                <w:color w:val="1E293B"/>
                <w:sz w:val="19"/>
              </w:rPr>
              <w:t>pgvector</w:t>
            </w:r>
          </w:p>
        </w:tc>
        <w:tc>
          <w:tcPr>
            <w:tcW w:w="7632" w:type="dxa"/>
            <w:shd w:val="clear" w:color="auto" w:fill="F8FAFC"/>
            <w:tcMar>
              <w:top w:w="90" w:type="dxa"/>
              <w:left w:w="120" w:type="dxa"/>
              <w:bottom w:w="90" w:type="dxa"/>
              <w:right w:w="120" w:type="dxa"/>
            </w:tcMar>
          </w:tcPr>
          <w:p w14:paraId="49DD625B" w14:textId="77777777" w:rsidR="00AB70A3" w:rsidRDefault="00B56DB4">
            <w:pPr>
              <w:spacing w:after="0"/>
            </w:pPr>
            <w:r>
              <w:rPr>
                <w:rFonts w:ascii="Times New Roman" w:hAnsi="Times New Roman"/>
                <w:color w:val="1E293B"/>
                <w:sz w:val="19"/>
              </w:rPr>
              <w:t>PostgreSQL Vector Extension for High-Dimensional Dense Similarity Search</w:t>
            </w:r>
          </w:p>
        </w:tc>
      </w:tr>
      <w:tr w:rsidR="00AB70A3" w14:paraId="76086650" w14:textId="77777777">
        <w:trPr>
          <w:jc w:val="center"/>
        </w:trPr>
        <w:tc>
          <w:tcPr>
            <w:tcW w:w="2160" w:type="dxa"/>
            <w:shd w:val="clear" w:color="auto" w:fill="FFFFFF"/>
            <w:tcMar>
              <w:top w:w="90" w:type="dxa"/>
              <w:left w:w="120" w:type="dxa"/>
              <w:bottom w:w="90" w:type="dxa"/>
              <w:right w:w="120" w:type="dxa"/>
            </w:tcMar>
          </w:tcPr>
          <w:p w14:paraId="729B6D9E" w14:textId="77777777" w:rsidR="00AB70A3" w:rsidRDefault="00B56DB4">
            <w:pPr>
              <w:spacing w:after="0"/>
            </w:pPr>
            <w:r>
              <w:rPr>
                <w:rFonts w:ascii="Times New Roman" w:hAnsi="Times New Roman"/>
                <w:color w:val="1E293B"/>
                <w:sz w:val="19"/>
              </w:rPr>
              <w:t>LLM</w:t>
            </w:r>
          </w:p>
        </w:tc>
        <w:tc>
          <w:tcPr>
            <w:tcW w:w="7632" w:type="dxa"/>
            <w:shd w:val="clear" w:color="auto" w:fill="FFFFFF"/>
            <w:tcMar>
              <w:top w:w="90" w:type="dxa"/>
              <w:left w:w="120" w:type="dxa"/>
              <w:bottom w:w="90" w:type="dxa"/>
              <w:right w:w="120" w:type="dxa"/>
            </w:tcMar>
          </w:tcPr>
          <w:p w14:paraId="4FC93BCF" w14:textId="77777777" w:rsidR="00AB70A3" w:rsidRDefault="00B56DB4">
            <w:pPr>
              <w:spacing w:after="0"/>
            </w:pPr>
            <w:r>
              <w:rPr>
                <w:rFonts w:ascii="Times New Roman" w:hAnsi="Times New Roman"/>
                <w:color w:val="1E293B"/>
                <w:sz w:val="19"/>
              </w:rPr>
              <w:t>Large Language Model (Generative Foundation Model for Reasoning &amp; Analysis)</w:t>
            </w:r>
          </w:p>
        </w:tc>
      </w:tr>
      <w:tr w:rsidR="00AB70A3" w14:paraId="1827D33C" w14:textId="77777777">
        <w:trPr>
          <w:jc w:val="center"/>
        </w:trPr>
        <w:tc>
          <w:tcPr>
            <w:tcW w:w="2160" w:type="dxa"/>
            <w:shd w:val="clear" w:color="auto" w:fill="F8FAFC"/>
            <w:tcMar>
              <w:top w:w="90" w:type="dxa"/>
              <w:left w:w="120" w:type="dxa"/>
              <w:bottom w:w="90" w:type="dxa"/>
              <w:right w:w="120" w:type="dxa"/>
            </w:tcMar>
          </w:tcPr>
          <w:p w14:paraId="3B49FD67" w14:textId="77777777" w:rsidR="00AB70A3" w:rsidRDefault="00B56DB4">
            <w:pPr>
              <w:spacing w:after="0"/>
            </w:pPr>
            <w:r>
              <w:rPr>
                <w:rFonts w:ascii="Times New Roman" w:hAnsi="Times New Roman"/>
                <w:color w:val="1E293B"/>
                <w:sz w:val="19"/>
              </w:rPr>
              <w:t>LPU</w:t>
            </w:r>
          </w:p>
        </w:tc>
        <w:tc>
          <w:tcPr>
            <w:tcW w:w="7632" w:type="dxa"/>
            <w:shd w:val="clear" w:color="auto" w:fill="F8FAFC"/>
            <w:tcMar>
              <w:top w:w="90" w:type="dxa"/>
              <w:left w:w="120" w:type="dxa"/>
              <w:bottom w:w="90" w:type="dxa"/>
              <w:right w:w="120" w:type="dxa"/>
            </w:tcMar>
          </w:tcPr>
          <w:p w14:paraId="208B3974" w14:textId="77777777" w:rsidR="00AB70A3" w:rsidRDefault="00B56DB4">
            <w:pPr>
              <w:spacing w:after="0"/>
            </w:pPr>
            <w:r>
              <w:rPr>
                <w:rFonts w:ascii="Times New Roman" w:hAnsi="Times New Roman"/>
                <w:color w:val="1E293B"/>
                <w:sz w:val="19"/>
              </w:rPr>
              <w:t>Language Processing Unit (Groq Hardware Architecture for Ultra-Low Latency Inference)</w:t>
            </w:r>
          </w:p>
        </w:tc>
      </w:tr>
      <w:tr w:rsidR="00AB70A3" w14:paraId="48C1A801" w14:textId="77777777">
        <w:trPr>
          <w:jc w:val="center"/>
        </w:trPr>
        <w:tc>
          <w:tcPr>
            <w:tcW w:w="2160" w:type="dxa"/>
            <w:shd w:val="clear" w:color="auto" w:fill="FFFFFF"/>
            <w:tcMar>
              <w:top w:w="90" w:type="dxa"/>
              <w:left w:w="120" w:type="dxa"/>
              <w:bottom w:w="90" w:type="dxa"/>
              <w:right w:w="120" w:type="dxa"/>
            </w:tcMar>
          </w:tcPr>
          <w:p w14:paraId="4ADF7233" w14:textId="77777777" w:rsidR="00AB70A3" w:rsidRDefault="00B56DB4">
            <w:pPr>
              <w:spacing w:after="0"/>
            </w:pPr>
            <w:r>
              <w:rPr>
                <w:rFonts w:ascii="Times New Roman" w:hAnsi="Times New Roman"/>
                <w:color w:val="1E293B"/>
                <w:sz w:val="19"/>
              </w:rPr>
              <w:t>RLS</w:t>
            </w:r>
          </w:p>
        </w:tc>
        <w:tc>
          <w:tcPr>
            <w:tcW w:w="7632" w:type="dxa"/>
            <w:shd w:val="clear" w:color="auto" w:fill="FFFFFF"/>
            <w:tcMar>
              <w:top w:w="90" w:type="dxa"/>
              <w:left w:w="120" w:type="dxa"/>
              <w:bottom w:w="90" w:type="dxa"/>
              <w:right w:w="120" w:type="dxa"/>
            </w:tcMar>
          </w:tcPr>
          <w:p w14:paraId="792CDA5A" w14:textId="77777777" w:rsidR="00AB70A3" w:rsidRDefault="00B56DB4">
            <w:pPr>
              <w:spacing w:after="0"/>
            </w:pPr>
            <w:r>
              <w:rPr>
                <w:rFonts w:ascii="Times New Roman" w:hAnsi="Times New Roman"/>
                <w:color w:val="1E293B"/>
                <w:sz w:val="19"/>
              </w:rPr>
              <w:t>Row-Level Security (PostgreSQL Database Table Tenant Isolation Policy)</w:t>
            </w:r>
          </w:p>
        </w:tc>
      </w:tr>
      <w:tr w:rsidR="00AB70A3" w14:paraId="4104ED54" w14:textId="77777777">
        <w:trPr>
          <w:jc w:val="center"/>
        </w:trPr>
        <w:tc>
          <w:tcPr>
            <w:tcW w:w="2160" w:type="dxa"/>
            <w:shd w:val="clear" w:color="auto" w:fill="F8FAFC"/>
            <w:tcMar>
              <w:top w:w="90" w:type="dxa"/>
              <w:left w:w="120" w:type="dxa"/>
              <w:bottom w:w="90" w:type="dxa"/>
              <w:right w:w="120" w:type="dxa"/>
            </w:tcMar>
          </w:tcPr>
          <w:p w14:paraId="48570B33" w14:textId="77777777" w:rsidR="00AB70A3" w:rsidRDefault="00B56DB4">
            <w:pPr>
              <w:spacing w:after="0"/>
            </w:pPr>
            <w:r>
              <w:rPr>
                <w:rFonts w:ascii="Times New Roman" w:hAnsi="Times New Roman"/>
                <w:color w:val="1E293B"/>
                <w:sz w:val="19"/>
              </w:rPr>
              <w:t>IDOR</w:t>
            </w:r>
          </w:p>
        </w:tc>
        <w:tc>
          <w:tcPr>
            <w:tcW w:w="7632" w:type="dxa"/>
            <w:shd w:val="clear" w:color="auto" w:fill="F8FAFC"/>
            <w:tcMar>
              <w:top w:w="90" w:type="dxa"/>
              <w:left w:w="120" w:type="dxa"/>
              <w:bottom w:w="90" w:type="dxa"/>
              <w:right w:w="120" w:type="dxa"/>
            </w:tcMar>
          </w:tcPr>
          <w:p w14:paraId="4E557F64" w14:textId="77777777" w:rsidR="00AB70A3" w:rsidRDefault="00B56DB4">
            <w:pPr>
              <w:spacing w:after="0"/>
            </w:pPr>
            <w:r>
              <w:rPr>
                <w:rFonts w:ascii="Times New Roman" w:hAnsi="Times New Roman"/>
                <w:color w:val="1E293B"/>
                <w:sz w:val="19"/>
              </w:rPr>
              <w:t>Insecure Direct Object Reference (Access Control Vulnerability Class)</w:t>
            </w:r>
          </w:p>
        </w:tc>
      </w:tr>
      <w:tr w:rsidR="00AB70A3" w14:paraId="5747317A" w14:textId="77777777">
        <w:trPr>
          <w:jc w:val="center"/>
        </w:trPr>
        <w:tc>
          <w:tcPr>
            <w:tcW w:w="2160" w:type="dxa"/>
            <w:shd w:val="clear" w:color="auto" w:fill="FFFFFF"/>
            <w:tcMar>
              <w:top w:w="90" w:type="dxa"/>
              <w:left w:w="120" w:type="dxa"/>
              <w:bottom w:w="90" w:type="dxa"/>
              <w:right w:w="120" w:type="dxa"/>
            </w:tcMar>
          </w:tcPr>
          <w:p w14:paraId="75118CB9" w14:textId="77777777" w:rsidR="00AB70A3" w:rsidRDefault="00B56DB4">
            <w:pPr>
              <w:spacing w:after="0"/>
            </w:pPr>
            <w:r>
              <w:rPr>
                <w:rFonts w:ascii="Times New Roman" w:hAnsi="Times New Roman"/>
                <w:color w:val="1E293B"/>
                <w:sz w:val="19"/>
              </w:rPr>
              <w:t>DPO</w:t>
            </w:r>
          </w:p>
        </w:tc>
        <w:tc>
          <w:tcPr>
            <w:tcW w:w="7632" w:type="dxa"/>
            <w:shd w:val="clear" w:color="auto" w:fill="FFFFFF"/>
            <w:tcMar>
              <w:top w:w="90" w:type="dxa"/>
              <w:left w:w="120" w:type="dxa"/>
              <w:bottom w:w="90" w:type="dxa"/>
              <w:right w:w="120" w:type="dxa"/>
            </w:tcMar>
          </w:tcPr>
          <w:p w14:paraId="3D5093E9" w14:textId="77777777" w:rsidR="00AB70A3" w:rsidRDefault="00B56DB4">
            <w:pPr>
              <w:spacing w:after="0"/>
            </w:pPr>
            <w:r>
              <w:rPr>
                <w:rFonts w:ascii="Times New Roman" w:hAnsi="Times New Roman"/>
                <w:color w:val="1E293B"/>
                <w:sz w:val="19"/>
              </w:rPr>
              <w:t>Data Protection Officer (Statutory Compliance Executive under DPDP Section 8)</w:t>
            </w:r>
          </w:p>
        </w:tc>
      </w:tr>
      <w:tr w:rsidR="00AB70A3" w14:paraId="5397053E" w14:textId="77777777">
        <w:trPr>
          <w:jc w:val="center"/>
        </w:trPr>
        <w:tc>
          <w:tcPr>
            <w:tcW w:w="2160" w:type="dxa"/>
            <w:shd w:val="clear" w:color="auto" w:fill="F8FAFC"/>
            <w:tcMar>
              <w:top w:w="90" w:type="dxa"/>
              <w:left w:w="120" w:type="dxa"/>
              <w:bottom w:w="90" w:type="dxa"/>
              <w:right w:w="120" w:type="dxa"/>
            </w:tcMar>
          </w:tcPr>
          <w:p w14:paraId="6141FB5F" w14:textId="77777777" w:rsidR="00AB70A3" w:rsidRDefault="00B56DB4">
            <w:pPr>
              <w:spacing w:after="0"/>
            </w:pPr>
            <w:r>
              <w:rPr>
                <w:rFonts w:ascii="Times New Roman" w:hAnsi="Times New Roman"/>
                <w:color w:val="1E293B"/>
                <w:sz w:val="19"/>
              </w:rPr>
              <w:t>MeitY</w:t>
            </w:r>
          </w:p>
        </w:tc>
        <w:tc>
          <w:tcPr>
            <w:tcW w:w="7632" w:type="dxa"/>
            <w:shd w:val="clear" w:color="auto" w:fill="F8FAFC"/>
            <w:tcMar>
              <w:top w:w="90" w:type="dxa"/>
              <w:left w:w="120" w:type="dxa"/>
              <w:bottom w:w="90" w:type="dxa"/>
              <w:right w:w="120" w:type="dxa"/>
            </w:tcMar>
          </w:tcPr>
          <w:p w14:paraId="3B55547D" w14:textId="77777777" w:rsidR="00AB70A3" w:rsidRDefault="00B56DB4">
            <w:pPr>
              <w:spacing w:after="0"/>
            </w:pPr>
            <w:r>
              <w:rPr>
                <w:rFonts w:ascii="Times New Roman" w:hAnsi="Times New Roman"/>
                <w:color w:val="1E293B"/>
                <w:sz w:val="19"/>
              </w:rPr>
              <w:t>Ministry of Electronics and Information Technology, Government of India</w:t>
            </w:r>
          </w:p>
        </w:tc>
      </w:tr>
      <w:tr w:rsidR="00AB70A3" w14:paraId="630313B6" w14:textId="77777777">
        <w:trPr>
          <w:jc w:val="center"/>
        </w:trPr>
        <w:tc>
          <w:tcPr>
            <w:tcW w:w="2160" w:type="dxa"/>
            <w:shd w:val="clear" w:color="auto" w:fill="FFFFFF"/>
            <w:tcMar>
              <w:top w:w="90" w:type="dxa"/>
              <w:left w:w="120" w:type="dxa"/>
              <w:bottom w:w="90" w:type="dxa"/>
              <w:right w:w="120" w:type="dxa"/>
            </w:tcMar>
          </w:tcPr>
          <w:p w14:paraId="63B10073" w14:textId="77777777" w:rsidR="00AB70A3" w:rsidRDefault="00B56DB4">
            <w:pPr>
              <w:spacing w:after="0"/>
            </w:pPr>
            <w:r>
              <w:rPr>
                <w:rFonts w:ascii="Times New Roman" w:hAnsi="Times New Roman"/>
                <w:color w:val="1E293B"/>
                <w:sz w:val="19"/>
              </w:rPr>
              <w:t>MoE</w:t>
            </w:r>
          </w:p>
        </w:tc>
        <w:tc>
          <w:tcPr>
            <w:tcW w:w="7632" w:type="dxa"/>
            <w:shd w:val="clear" w:color="auto" w:fill="FFFFFF"/>
            <w:tcMar>
              <w:top w:w="90" w:type="dxa"/>
              <w:left w:w="120" w:type="dxa"/>
              <w:bottom w:w="90" w:type="dxa"/>
              <w:right w:w="120" w:type="dxa"/>
            </w:tcMar>
          </w:tcPr>
          <w:p w14:paraId="186B2F52" w14:textId="77777777" w:rsidR="00AB70A3" w:rsidRDefault="00B56DB4">
            <w:pPr>
              <w:spacing w:after="0"/>
            </w:pPr>
            <w:r>
              <w:rPr>
                <w:rFonts w:ascii="Times New Roman" w:hAnsi="Times New Roman"/>
                <w:color w:val="1E293B"/>
                <w:sz w:val="19"/>
              </w:rPr>
              <w:t>Mixture-of-Experts (Sparse Neural Network Architecture e.g. GPT-OSS-120B)</w:t>
            </w:r>
          </w:p>
        </w:tc>
      </w:tr>
      <w:tr w:rsidR="00AB70A3" w14:paraId="59B41641" w14:textId="77777777">
        <w:trPr>
          <w:jc w:val="center"/>
        </w:trPr>
        <w:tc>
          <w:tcPr>
            <w:tcW w:w="2160" w:type="dxa"/>
            <w:shd w:val="clear" w:color="auto" w:fill="F8FAFC"/>
            <w:tcMar>
              <w:top w:w="90" w:type="dxa"/>
              <w:left w:w="120" w:type="dxa"/>
              <w:bottom w:w="90" w:type="dxa"/>
              <w:right w:w="120" w:type="dxa"/>
            </w:tcMar>
          </w:tcPr>
          <w:p w14:paraId="08180C6E" w14:textId="77777777" w:rsidR="00AB70A3" w:rsidRDefault="00B56DB4">
            <w:pPr>
              <w:spacing w:after="0"/>
            </w:pPr>
            <w:r>
              <w:rPr>
                <w:rFonts w:ascii="Times New Roman" w:hAnsi="Times New Roman"/>
                <w:color w:val="1E293B"/>
                <w:sz w:val="19"/>
              </w:rPr>
              <w:t>Hit@K</w:t>
            </w:r>
          </w:p>
        </w:tc>
        <w:tc>
          <w:tcPr>
            <w:tcW w:w="7632" w:type="dxa"/>
            <w:shd w:val="clear" w:color="auto" w:fill="F8FAFC"/>
            <w:tcMar>
              <w:top w:w="90" w:type="dxa"/>
              <w:left w:w="120" w:type="dxa"/>
              <w:bottom w:w="90" w:type="dxa"/>
              <w:right w:w="120" w:type="dxa"/>
            </w:tcMar>
          </w:tcPr>
          <w:p w14:paraId="1DA18D3D" w14:textId="77777777" w:rsidR="00AB70A3" w:rsidRDefault="00B56DB4">
            <w:pPr>
              <w:spacing w:after="0"/>
            </w:pPr>
            <w:r>
              <w:rPr>
                <w:rFonts w:ascii="Times New Roman" w:hAnsi="Times New Roman"/>
                <w:color w:val="1E293B"/>
                <w:sz w:val="19"/>
              </w:rPr>
              <w:t>Percentage of queries where at least one authoritative chunk appears in top K</w:t>
            </w:r>
          </w:p>
        </w:tc>
      </w:tr>
      <w:tr w:rsidR="00AB70A3" w14:paraId="156565FE" w14:textId="77777777">
        <w:trPr>
          <w:jc w:val="center"/>
        </w:trPr>
        <w:tc>
          <w:tcPr>
            <w:tcW w:w="2160" w:type="dxa"/>
            <w:shd w:val="clear" w:color="auto" w:fill="FFFFFF"/>
            <w:tcMar>
              <w:top w:w="90" w:type="dxa"/>
              <w:left w:w="120" w:type="dxa"/>
              <w:bottom w:w="90" w:type="dxa"/>
              <w:right w:w="120" w:type="dxa"/>
            </w:tcMar>
          </w:tcPr>
          <w:p w14:paraId="6CC6A52F" w14:textId="77777777" w:rsidR="00AB70A3" w:rsidRDefault="00B56DB4">
            <w:pPr>
              <w:spacing w:after="0"/>
            </w:pPr>
            <w:r>
              <w:rPr>
                <w:rFonts w:ascii="Times New Roman" w:hAnsi="Times New Roman"/>
                <w:color w:val="1E293B"/>
                <w:sz w:val="19"/>
              </w:rPr>
              <w:t>MRR@5</w:t>
            </w:r>
          </w:p>
        </w:tc>
        <w:tc>
          <w:tcPr>
            <w:tcW w:w="7632" w:type="dxa"/>
            <w:shd w:val="clear" w:color="auto" w:fill="FFFFFF"/>
            <w:tcMar>
              <w:top w:w="90" w:type="dxa"/>
              <w:left w:w="120" w:type="dxa"/>
              <w:bottom w:w="90" w:type="dxa"/>
              <w:right w:w="120" w:type="dxa"/>
            </w:tcMar>
          </w:tcPr>
          <w:p w14:paraId="1BBBF9A8" w14:textId="77777777" w:rsidR="00AB70A3" w:rsidRDefault="00B56DB4">
            <w:pPr>
              <w:spacing w:after="0"/>
            </w:pPr>
            <w:r>
              <w:rPr>
                <w:rFonts w:ascii="Times New Roman" w:hAnsi="Times New Roman"/>
                <w:color w:val="1E293B"/>
                <w:sz w:val="19"/>
              </w:rPr>
              <w:t>Mean Reciprocal Rank (Average reciprocal rank of the first relevant legal chunk)</w:t>
            </w:r>
          </w:p>
        </w:tc>
      </w:tr>
      <w:tr w:rsidR="00AB70A3" w14:paraId="53B063D2" w14:textId="77777777">
        <w:trPr>
          <w:jc w:val="center"/>
        </w:trPr>
        <w:tc>
          <w:tcPr>
            <w:tcW w:w="2160" w:type="dxa"/>
            <w:shd w:val="clear" w:color="auto" w:fill="F8FAFC"/>
            <w:tcMar>
              <w:top w:w="90" w:type="dxa"/>
              <w:left w:w="120" w:type="dxa"/>
              <w:bottom w:w="90" w:type="dxa"/>
              <w:right w:w="120" w:type="dxa"/>
            </w:tcMar>
          </w:tcPr>
          <w:p w14:paraId="6E069172" w14:textId="77777777" w:rsidR="00AB70A3" w:rsidRDefault="00B56DB4">
            <w:pPr>
              <w:spacing w:after="0"/>
            </w:pPr>
            <w:r>
              <w:rPr>
                <w:rFonts w:ascii="Times New Roman" w:hAnsi="Times New Roman"/>
                <w:color w:val="1E293B"/>
                <w:sz w:val="19"/>
              </w:rPr>
              <w:t>NDCG@5</w:t>
            </w:r>
          </w:p>
        </w:tc>
        <w:tc>
          <w:tcPr>
            <w:tcW w:w="7632" w:type="dxa"/>
            <w:shd w:val="clear" w:color="auto" w:fill="F8FAFC"/>
            <w:tcMar>
              <w:top w:w="90" w:type="dxa"/>
              <w:left w:w="120" w:type="dxa"/>
              <w:bottom w:w="90" w:type="dxa"/>
              <w:right w:w="120" w:type="dxa"/>
            </w:tcMar>
          </w:tcPr>
          <w:p w14:paraId="0D06A9E5" w14:textId="77777777" w:rsidR="00AB70A3" w:rsidRDefault="00B56DB4">
            <w:pPr>
              <w:spacing w:after="0"/>
            </w:pPr>
            <w:r>
              <w:rPr>
                <w:rFonts w:ascii="Times New Roman" w:hAnsi="Times New Roman"/>
                <w:color w:val="1E293B"/>
                <w:sz w:val="19"/>
              </w:rPr>
              <w:t>Normalized Discounted Cumulative Gain (Graded relevance position metric)</w:t>
            </w:r>
          </w:p>
        </w:tc>
      </w:tr>
    </w:tbl>
    <w:p w14:paraId="30F260E2" w14:textId="77777777" w:rsidR="00AB70A3" w:rsidRDefault="00AB70A3">
      <w:pPr>
        <w:spacing w:after="120"/>
      </w:pPr>
    </w:p>
    <w:p w14:paraId="5D7B7FAA" w14:textId="77777777" w:rsidR="00AB70A3" w:rsidRDefault="00B56DB4">
      <w:r>
        <w:br w:type="page"/>
      </w:r>
    </w:p>
    <w:p w14:paraId="65DD741F" w14:textId="77777777" w:rsidR="00AB70A3" w:rsidRDefault="00B56DB4">
      <w:pPr>
        <w:keepNext/>
        <w:spacing w:before="240" w:after="240"/>
      </w:pPr>
      <w:r>
        <w:rPr>
          <w:rFonts w:ascii="Times New Roman" w:hAnsi="Times New Roman"/>
          <w:b/>
          <w:color w:val="1F4E79"/>
          <w:sz w:val="28"/>
        </w:rPr>
        <w:lastRenderedPageBreak/>
        <w:t>CHAPTER 1: UNDERSTANDING TRUSTFORGE</w:t>
      </w:r>
    </w:p>
    <w:p w14:paraId="7BBCC185" w14:textId="77777777" w:rsidR="00AB70A3" w:rsidRDefault="00B56DB4">
      <w:pPr>
        <w:keepNext/>
        <w:spacing w:before="160" w:after="80"/>
      </w:pPr>
      <w:r>
        <w:rPr>
          <w:rFonts w:ascii="Times New Roman" w:hAnsi="Times New Roman"/>
          <w:b/>
          <w:color w:val="0F172A"/>
          <w:sz w:val="24"/>
        </w:rPr>
        <w:t>1.1 Introduction to TrustForge</w:t>
      </w:r>
    </w:p>
    <w:p w14:paraId="1358F99D" w14:textId="77777777" w:rsidR="00AB70A3" w:rsidRDefault="00B56DB4">
      <w:pPr>
        <w:spacing w:after="120"/>
        <w:jc w:val="both"/>
      </w:pPr>
      <w:r>
        <w:rPr>
          <w:rFonts w:ascii="Times New Roman" w:hAnsi="Times New Roman"/>
          <w:color w:val="1E293B"/>
        </w:rPr>
        <w:t>TrustForge is an evidence-grounded compliance assessment and benchmarking platform engineered to evaluate an organization's digital personal data processing practices against India's Digital Personal Data Protection (DPDP) Act, 2023 and the notified DPDP Rules, 2025. Unlike conventional compliance management tools that rely primarily on subjective, self-attested multiple-choice questionnaires, TrustForge couples automated browser collection of live digital artifacts with an authoritative hybrid statutory re</w:t>
      </w:r>
      <w:r>
        <w:rPr>
          <w:rFonts w:ascii="Times New Roman" w:hAnsi="Times New Roman"/>
          <w:color w:val="1E293B"/>
        </w:rPr>
        <w:t>trieval pipeline and a parallel multi-LLM consensus framework. The platform provides privacy officers, software architects, and institutional leadership with an objective, reproducible assessment of their public compliance posture, complete with precise statutory citations, prioritized remediation roadmaps, and verifiable audit artifacts.</w:t>
      </w:r>
    </w:p>
    <w:p w14:paraId="576CBDE5" w14:textId="77777777" w:rsidR="00AB70A3" w:rsidRDefault="00B56DB4">
      <w:pPr>
        <w:keepNext/>
        <w:spacing w:before="200" w:after="80"/>
      </w:pPr>
      <w:r>
        <w:rPr>
          <w:rFonts w:ascii="Times New Roman" w:hAnsi="Times New Roman"/>
          <w:b/>
          <w:color w:val="0F172A"/>
          <w:sz w:val="24"/>
        </w:rPr>
        <w:t>1.2 Background: Personal Data Protection in India</w:t>
      </w:r>
    </w:p>
    <w:p w14:paraId="01BDED6F" w14:textId="77777777" w:rsidR="00AB70A3" w:rsidRDefault="00B56DB4">
      <w:pPr>
        <w:spacing w:after="120"/>
        <w:jc w:val="both"/>
      </w:pPr>
      <w:r>
        <w:rPr>
          <w:rFonts w:ascii="Times New Roman" w:hAnsi="Times New Roman"/>
          <w:color w:val="1E293B"/>
        </w:rPr>
        <w:t>In August 2023, the Parliament of India enacted the Digital Personal Data Protection Act, 2023 (Act No. 22 of 2023), establishing a unified statutory regime governing the processing of digital personal data within India, as well as extraterritorial processing tied to goods or services offered to Data Principals in India. Supported by the notified DPDP Rules, 2025, the Act imposes affirmative legal duties on Data Fiduciaries. Key statutory mandates include:</w:t>
      </w:r>
    </w:p>
    <w:p w14:paraId="6E4A7CBC" w14:textId="77777777" w:rsidR="00AB70A3" w:rsidRDefault="00B56DB4">
      <w:pPr>
        <w:pStyle w:val="ListBullet"/>
        <w:spacing w:after="60"/>
        <w:jc w:val="both"/>
      </w:pPr>
      <w:r>
        <w:rPr>
          <w:rFonts w:ascii="Times New Roman" w:hAnsi="Times New Roman"/>
          <w:b/>
          <w:color w:val="0F172A"/>
        </w:rPr>
        <w:t xml:space="preserve">Notice Obligations (Section 5): </w:t>
      </w:r>
      <w:r>
        <w:rPr>
          <w:rFonts w:ascii="Times New Roman" w:hAnsi="Times New Roman"/>
          <w:color w:val="1E293B"/>
        </w:rPr>
        <w:t>Data Fiduciaries must provide itemized, accessible notices in English and scheduled regional languages prior to collecting personal data, explicitly specifying data categories, processing purposes, and grievance redressal channels.</w:t>
      </w:r>
    </w:p>
    <w:p w14:paraId="3AA02818" w14:textId="77777777" w:rsidR="00AB70A3" w:rsidRDefault="00B56DB4">
      <w:pPr>
        <w:pStyle w:val="ListBullet"/>
        <w:spacing w:after="60"/>
        <w:jc w:val="both"/>
      </w:pPr>
      <w:r>
        <w:rPr>
          <w:rFonts w:ascii="Times New Roman" w:hAnsi="Times New Roman"/>
          <w:b/>
          <w:color w:val="0F172A"/>
        </w:rPr>
        <w:t xml:space="preserve">Valid Consent Framework (Section 6): </w:t>
      </w:r>
      <w:r>
        <w:rPr>
          <w:rFonts w:ascii="Times New Roman" w:hAnsi="Times New Roman"/>
          <w:color w:val="1E293B"/>
        </w:rPr>
        <w:t>Consent must be free, specific, informed, unconditional, and unambiguous, demonstrated through clear affirmative action with accessible withdrawal mechanisms.</w:t>
      </w:r>
    </w:p>
    <w:p w14:paraId="2D2EEB93" w14:textId="77777777" w:rsidR="00AB70A3" w:rsidRDefault="00B56DB4">
      <w:pPr>
        <w:pStyle w:val="ListBullet"/>
        <w:spacing w:after="60"/>
        <w:jc w:val="both"/>
      </w:pPr>
      <w:r>
        <w:rPr>
          <w:rFonts w:ascii="Times New Roman" w:hAnsi="Times New Roman"/>
          <w:b/>
          <w:color w:val="0F172A"/>
        </w:rPr>
        <w:t xml:space="preserve">Security &amp; Breach Safeguards (Section 8(5), 8(6)): </w:t>
      </w:r>
      <w:r>
        <w:rPr>
          <w:rFonts w:ascii="Times New Roman" w:hAnsi="Times New Roman"/>
          <w:color w:val="1E293B"/>
        </w:rPr>
        <w:t>Organizations must deploy reasonable security safeguards to protect personal data from breaches and report incidents without delay to the Data Protection Board of India (DPBI) and affected Data Principals.</w:t>
      </w:r>
    </w:p>
    <w:p w14:paraId="7C102B7C" w14:textId="77777777" w:rsidR="00AB70A3" w:rsidRDefault="00B56DB4">
      <w:pPr>
        <w:pStyle w:val="ListBullet"/>
        <w:spacing w:after="60"/>
        <w:jc w:val="both"/>
      </w:pPr>
      <w:r>
        <w:rPr>
          <w:rFonts w:ascii="Times New Roman" w:hAnsi="Times New Roman"/>
          <w:b/>
          <w:color w:val="0F172A"/>
        </w:rPr>
        <w:t xml:space="preserve">Accountability &amp; Grievance (Section 8(9)): </w:t>
      </w:r>
      <w:r>
        <w:rPr>
          <w:rFonts w:ascii="Times New Roman" w:hAnsi="Times New Roman"/>
          <w:color w:val="1E293B"/>
        </w:rPr>
        <w:t>Entities must establish transparent grievance mechanisms and publish the contact details of a Data Protection Officer (DPO) or designated grievance representative.</w:t>
      </w:r>
    </w:p>
    <w:p w14:paraId="13612006" w14:textId="77777777" w:rsidR="00AB70A3" w:rsidRDefault="00B56DB4">
      <w:pPr>
        <w:pStyle w:val="ListBullet"/>
        <w:spacing w:after="60"/>
        <w:jc w:val="both"/>
      </w:pPr>
      <w:r>
        <w:rPr>
          <w:rFonts w:ascii="Times New Roman" w:hAnsi="Times New Roman"/>
          <w:b/>
          <w:color w:val="0F172A"/>
        </w:rPr>
        <w:t xml:space="preserve">Data Principal Rights (Sections 11-13): </w:t>
      </w:r>
      <w:r>
        <w:rPr>
          <w:rFonts w:ascii="Times New Roman" w:hAnsi="Times New Roman"/>
          <w:color w:val="1E293B"/>
        </w:rPr>
        <w:t>Data Principals possess enforceable rights to access information, request correction or erasure of personal data, and register formal grievances.</w:t>
      </w:r>
    </w:p>
    <w:p w14:paraId="10162FEB" w14:textId="77777777" w:rsidR="00AB70A3" w:rsidRDefault="00B56DB4">
      <w:pPr>
        <w:pStyle w:val="ListBullet"/>
        <w:spacing w:after="60"/>
        <w:jc w:val="both"/>
      </w:pPr>
      <w:r>
        <w:rPr>
          <w:rFonts w:ascii="Times New Roman" w:hAnsi="Times New Roman"/>
          <w:b/>
          <w:color w:val="0F172A"/>
        </w:rPr>
        <w:t xml:space="preserve">Children's Governance (Section 9): </w:t>
      </w:r>
      <w:r>
        <w:rPr>
          <w:rFonts w:ascii="Times New Roman" w:hAnsi="Times New Roman"/>
          <w:color w:val="1E293B"/>
        </w:rPr>
        <w:t>Strict prohibitions against tracking, behavioral monitoring, or targeted advertising directed at children, backed by verifiable parental consent mandates.</w:t>
      </w:r>
    </w:p>
    <w:p w14:paraId="3E390484" w14:textId="77777777" w:rsidR="00AB70A3" w:rsidRDefault="00B56DB4">
      <w:pPr>
        <w:keepNext/>
        <w:spacing w:before="200" w:after="80"/>
      </w:pPr>
      <w:r>
        <w:rPr>
          <w:rFonts w:ascii="Times New Roman" w:hAnsi="Times New Roman"/>
          <w:b/>
          <w:color w:val="0F172A"/>
          <w:sz w:val="24"/>
        </w:rPr>
        <w:t>1.3 Problem Statement: Enterprise Compliance Challenges</w:t>
      </w:r>
    </w:p>
    <w:p w14:paraId="2C6F13FF" w14:textId="77777777" w:rsidR="00AB70A3" w:rsidRDefault="00B56DB4">
      <w:pPr>
        <w:spacing w:after="120"/>
        <w:jc w:val="both"/>
      </w:pPr>
      <w:r>
        <w:rPr>
          <w:rFonts w:ascii="Times New Roman" w:hAnsi="Times New Roman"/>
          <w:color w:val="1E293B"/>
        </w:rPr>
        <w:t>Despite clear legislative mandates and financial penalties reaching up to INR 250 Crores under the statutory Schedule, organizations face severe hurdles in operationalizing DPDP requirements:</w:t>
      </w:r>
    </w:p>
    <w:p w14:paraId="3C5EE186" w14:textId="77777777" w:rsidR="00AB70A3" w:rsidRDefault="00B56DB4">
      <w:pPr>
        <w:pStyle w:val="ListBullet"/>
        <w:spacing w:after="60"/>
        <w:jc w:val="both"/>
      </w:pPr>
      <w:r>
        <w:rPr>
          <w:rFonts w:ascii="Times New Roman" w:hAnsi="Times New Roman"/>
          <w:b/>
          <w:color w:val="0F172A"/>
        </w:rPr>
        <w:t xml:space="preserve">Prohibitive Manual Audit Costs: </w:t>
      </w:r>
      <w:r>
        <w:rPr>
          <w:rFonts w:ascii="Times New Roman" w:hAnsi="Times New Roman"/>
          <w:color w:val="1E293B"/>
        </w:rPr>
        <w:t>Comprehensive privacy audits conducted by corporate law firms or advisory consultancies routinely cost several lakhs of rupees per review cycle, pricing out startups and educational institutions.</w:t>
      </w:r>
    </w:p>
    <w:p w14:paraId="1EFE9AE3" w14:textId="77777777" w:rsidR="00AB70A3" w:rsidRDefault="00B56DB4">
      <w:pPr>
        <w:pStyle w:val="ListBullet"/>
        <w:spacing w:after="60"/>
        <w:jc w:val="both"/>
      </w:pPr>
      <w:r>
        <w:rPr>
          <w:rFonts w:ascii="Times New Roman" w:hAnsi="Times New Roman"/>
          <w:b/>
          <w:color w:val="0F172A"/>
        </w:rPr>
        <w:t xml:space="preserve">Disconnect Between Policy and Digital Reality: </w:t>
      </w:r>
      <w:r>
        <w:rPr>
          <w:rFonts w:ascii="Times New Roman" w:hAnsi="Times New Roman"/>
          <w:color w:val="1E293B"/>
        </w:rPr>
        <w:t>Static spreadsheets fail to capture the reality of production web systems. A company's published privacy policy frequently contradicts actual tracking scripts, cookie consent banners, or unencrypted form submissions.</w:t>
      </w:r>
    </w:p>
    <w:p w14:paraId="2888BBB3" w14:textId="77777777" w:rsidR="00AB70A3" w:rsidRDefault="00B56DB4">
      <w:pPr>
        <w:pStyle w:val="ListBullet"/>
        <w:spacing w:after="60"/>
        <w:jc w:val="both"/>
      </w:pPr>
      <w:r>
        <w:rPr>
          <w:rFonts w:ascii="Times New Roman" w:hAnsi="Times New Roman"/>
          <w:b/>
          <w:color w:val="0F172A"/>
        </w:rPr>
        <w:lastRenderedPageBreak/>
        <w:t xml:space="preserve">Hallucination Risks in Off-the-Shelf AI: </w:t>
      </w:r>
      <w:r>
        <w:rPr>
          <w:rFonts w:ascii="Times New Roman" w:hAnsi="Times New Roman"/>
          <w:color w:val="1E293B"/>
        </w:rPr>
        <w:t>Generic Large Language Models deployed without strict statutory grounding frequently hallucinate non-existent sections, conflate foreign frameworks (such as GDPR or CCPA) with Indian law, or generate generic advice without legal defensibility.</w:t>
      </w:r>
    </w:p>
    <w:p w14:paraId="20959593" w14:textId="77777777" w:rsidR="00AB70A3" w:rsidRDefault="00B56DB4">
      <w:pPr>
        <w:pStyle w:val="ListBullet"/>
        <w:spacing w:after="60"/>
        <w:jc w:val="both"/>
      </w:pPr>
      <w:r>
        <w:rPr>
          <w:rFonts w:ascii="Times New Roman" w:hAnsi="Times New Roman"/>
          <w:b/>
          <w:color w:val="0F172A"/>
        </w:rPr>
        <w:t xml:space="preserve">Single-Model Brittleness: </w:t>
      </w:r>
      <w:r>
        <w:rPr>
          <w:rFonts w:ascii="Times New Roman" w:hAnsi="Times New Roman"/>
          <w:color w:val="1E293B"/>
        </w:rPr>
        <w:t>Relying on a single AI model exposes organizations to model-specific biases—for instance, advanced reasoning models frequently display extreme conservative abstention, while smaller models display ungrounded optimism.</w:t>
      </w:r>
    </w:p>
    <w:p w14:paraId="2597F030" w14:textId="77777777" w:rsidR="00AB70A3" w:rsidRDefault="00B56DB4">
      <w:pPr>
        <w:keepNext/>
        <w:spacing w:before="200" w:after="80"/>
      </w:pPr>
      <w:r>
        <w:rPr>
          <w:rFonts w:ascii="Times New Roman" w:hAnsi="Times New Roman"/>
          <w:b/>
          <w:color w:val="0F172A"/>
          <w:sz w:val="24"/>
        </w:rPr>
        <w:t>1.4 Proposed Solution: An Evidence-Grounded Compliance Assistant</w:t>
      </w:r>
    </w:p>
    <w:p w14:paraId="50E6155D" w14:textId="77777777" w:rsidR="00AB70A3" w:rsidRDefault="00B56DB4">
      <w:pPr>
        <w:spacing w:after="120"/>
        <w:jc w:val="both"/>
      </w:pPr>
      <w:r>
        <w:rPr>
          <w:rFonts w:ascii="Times New Roman" w:hAnsi="Times New Roman"/>
          <w:color w:val="1E293B"/>
        </w:rPr>
        <w:t>TrustForge resolves these foundational bottlenecks through a systematic, multi-tiered architecture. When an auditor enters a domain, the platform automatically scans publicly accessible digital endpoints using headless Playwright browser automation, extracting privacy policies, cookie banners, terms of service, and security headers. These empirical artifacts are normalized into eight compliance indicators and mapped across twenty canonical DPDP controls. For every control, a dual-path hybrid retriever fetch</w:t>
      </w:r>
      <w:r>
        <w:rPr>
          <w:rFonts w:ascii="Times New Roman" w:hAnsi="Times New Roman"/>
          <w:color w:val="1E293B"/>
        </w:rPr>
        <w:t>es relevant statutory provisions from an indexed 83-chunk corpus spanning the DPDP Act 2023 and Rules 2025. The evidence and legal chunks are frozen into a canonical context and evaluated simultaneously across accessible models on high-speed Groq LPU hardware. A grounding validator verifies that every citation matches authoritative text, and a Top-3 Majority Voting consensus engine synthesizes individual model verdicts into an objective multi-pillar Trust Score (0-100) with prioritized remediation guidance.</w:t>
      </w:r>
    </w:p>
    <w:p w14:paraId="25CE65E8" w14:textId="77777777" w:rsidR="00AB70A3" w:rsidRDefault="00B56DB4">
      <w:pPr>
        <w:keepNext/>
        <w:spacing w:before="200" w:after="80"/>
      </w:pPr>
      <w:r>
        <w:rPr>
          <w:rFonts w:ascii="Times New Roman" w:hAnsi="Times New Roman"/>
          <w:b/>
          <w:color w:val="0F172A"/>
          <w:sz w:val="24"/>
        </w:rPr>
        <w:t>1.5 Project Objectives: Research vs. Practical Engineering Goals</w:t>
      </w:r>
    </w:p>
    <w:p w14:paraId="7A2835F1" w14:textId="77777777" w:rsidR="00AB70A3" w:rsidRDefault="00B56DB4">
      <w:pPr>
        <w:spacing w:after="120"/>
        <w:jc w:val="both"/>
      </w:pPr>
      <w:r>
        <w:rPr>
          <w:rFonts w:ascii="Times New Roman" w:hAnsi="Times New Roman"/>
          <w:color w:val="1E293B"/>
        </w:rPr>
        <w:t>To preserve academic rigor, the contributions of TrustForge are explicitly delineated into scientific research objectives and software engineering milestones:</w:t>
      </w:r>
    </w:p>
    <w:tbl>
      <w:tblPr>
        <w:tblW w:w="0" w:type="auto"/>
        <w:jc w:val="center"/>
        <w:tblLook w:val="04A0" w:firstRow="1" w:lastRow="0" w:firstColumn="1" w:lastColumn="0" w:noHBand="0" w:noVBand="1"/>
      </w:tblPr>
      <w:tblGrid>
        <w:gridCol w:w="2031"/>
        <w:gridCol w:w="3057"/>
        <w:gridCol w:w="4221"/>
      </w:tblGrid>
      <w:tr w:rsidR="00AB70A3" w14:paraId="17E767AE" w14:textId="77777777">
        <w:trPr>
          <w:jc w:val="center"/>
        </w:trPr>
        <w:tc>
          <w:tcPr>
            <w:tcW w:w="2160" w:type="dxa"/>
            <w:shd w:val="clear" w:color="auto" w:fill="1F4E79"/>
            <w:tcMar>
              <w:top w:w="120" w:type="dxa"/>
              <w:left w:w="140" w:type="dxa"/>
              <w:bottom w:w="120" w:type="dxa"/>
              <w:right w:w="140" w:type="dxa"/>
            </w:tcMar>
          </w:tcPr>
          <w:p w14:paraId="73AA5562" w14:textId="77777777" w:rsidR="00AB70A3" w:rsidRDefault="00B56DB4">
            <w:pPr>
              <w:spacing w:after="0"/>
              <w:jc w:val="center"/>
            </w:pPr>
            <w:r>
              <w:rPr>
                <w:rFonts w:ascii="Times New Roman" w:hAnsi="Times New Roman"/>
                <w:b/>
                <w:color w:val="FFFFFF"/>
                <w:sz w:val="20"/>
              </w:rPr>
              <w:t>Objective Category</w:t>
            </w:r>
          </w:p>
        </w:tc>
        <w:tc>
          <w:tcPr>
            <w:tcW w:w="3312" w:type="dxa"/>
            <w:shd w:val="clear" w:color="auto" w:fill="1F4E79"/>
            <w:tcMar>
              <w:top w:w="120" w:type="dxa"/>
              <w:left w:w="140" w:type="dxa"/>
              <w:bottom w:w="120" w:type="dxa"/>
              <w:right w:w="140" w:type="dxa"/>
            </w:tcMar>
          </w:tcPr>
          <w:p w14:paraId="689A9419" w14:textId="77777777" w:rsidR="00AB70A3" w:rsidRDefault="00B56DB4">
            <w:pPr>
              <w:spacing w:after="0"/>
              <w:jc w:val="center"/>
            </w:pPr>
            <w:r>
              <w:rPr>
                <w:rFonts w:ascii="Times New Roman" w:hAnsi="Times New Roman"/>
                <w:b/>
                <w:color w:val="FFFFFF"/>
                <w:sz w:val="20"/>
              </w:rPr>
              <w:t>Specific Focus Area</w:t>
            </w:r>
          </w:p>
        </w:tc>
        <w:tc>
          <w:tcPr>
            <w:tcW w:w="4608" w:type="dxa"/>
            <w:shd w:val="clear" w:color="auto" w:fill="1F4E79"/>
            <w:tcMar>
              <w:top w:w="120" w:type="dxa"/>
              <w:left w:w="140" w:type="dxa"/>
              <w:bottom w:w="120" w:type="dxa"/>
              <w:right w:w="140" w:type="dxa"/>
            </w:tcMar>
          </w:tcPr>
          <w:p w14:paraId="0D307AE5" w14:textId="77777777" w:rsidR="00AB70A3" w:rsidRDefault="00B56DB4">
            <w:pPr>
              <w:spacing w:after="0"/>
              <w:jc w:val="center"/>
            </w:pPr>
            <w:r>
              <w:rPr>
                <w:rFonts w:ascii="Times New Roman" w:hAnsi="Times New Roman"/>
                <w:b/>
                <w:color w:val="FFFFFF"/>
                <w:sz w:val="20"/>
              </w:rPr>
              <w:t>Target Milestone &amp; Verification Criteria</w:t>
            </w:r>
          </w:p>
        </w:tc>
      </w:tr>
      <w:tr w:rsidR="00AB70A3" w14:paraId="4B8FD611" w14:textId="77777777">
        <w:trPr>
          <w:jc w:val="center"/>
        </w:trPr>
        <w:tc>
          <w:tcPr>
            <w:tcW w:w="2160" w:type="dxa"/>
            <w:shd w:val="clear" w:color="auto" w:fill="FFFFFF"/>
            <w:tcMar>
              <w:top w:w="90" w:type="dxa"/>
              <w:left w:w="120" w:type="dxa"/>
              <w:bottom w:w="90" w:type="dxa"/>
              <w:right w:w="120" w:type="dxa"/>
            </w:tcMar>
          </w:tcPr>
          <w:p w14:paraId="23813270" w14:textId="77777777" w:rsidR="00AB70A3" w:rsidRDefault="00B56DB4">
            <w:pPr>
              <w:spacing w:after="0"/>
            </w:pPr>
            <w:r>
              <w:rPr>
                <w:rFonts w:ascii="Times New Roman" w:hAnsi="Times New Roman"/>
                <w:color w:val="1E293B"/>
                <w:sz w:val="19"/>
              </w:rPr>
              <w:t>Research Objective</w:t>
            </w:r>
          </w:p>
        </w:tc>
        <w:tc>
          <w:tcPr>
            <w:tcW w:w="3312" w:type="dxa"/>
            <w:shd w:val="clear" w:color="auto" w:fill="FFFFFF"/>
            <w:tcMar>
              <w:top w:w="90" w:type="dxa"/>
              <w:left w:w="120" w:type="dxa"/>
              <w:bottom w:w="90" w:type="dxa"/>
              <w:right w:w="120" w:type="dxa"/>
            </w:tcMar>
          </w:tcPr>
          <w:p w14:paraId="2E78BD51" w14:textId="77777777" w:rsidR="00AB70A3" w:rsidRDefault="00B56DB4">
            <w:pPr>
              <w:spacing w:after="0"/>
            </w:pPr>
            <w:r>
              <w:rPr>
                <w:rFonts w:ascii="Times New Roman" w:hAnsi="Times New Roman"/>
                <w:color w:val="1E293B"/>
                <w:sz w:val="19"/>
              </w:rPr>
              <w:t>Hybrid Statutory Retrieval Relevance</w:t>
            </w:r>
          </w:p>
        </w:tc>
        <w:tc>
          <w:tcPr>
            <w:tcW w:w="4608" w:type="dxa"/>
            <w:shd w:val="clear" w:color="auto" w:fill="FFFFFF"/>
            <w:tcMar>
              <w:top w:w="90" w:type="dxa"/>
              <w:left w:w="120" w:type="dxa"/>
              <w:bottom w:w="90" w:type="dxa"/>
              <w:right w:w="120" w:type="dxa"/>
            </w:tcMar>
          </w:tcPr>
          <w:p w14:paraId="6903A2F7" w14:textId="77777777" w:rsidR="00AB70A3" w:rsidRDefault="00B56DB4">
            <w:pPr>
              <w:spacing w:after="0"/>
            </w:pPr>
            <w:r>
              <w:rPr>
                <w:rFonts w:ascii="Times New Roman" w:hAnsi="Times New Roman"/>
                <w:color w:val="1E293B"/>
                <w:sz w:val="19"/>
              </w:rPr>
              <w:t>Measure BM25 vs. Vector vs. Hybrid RRF over 45 queries; resolve marginal-note penalty schedule bleeding (Sections 40/44).</w:t>
            </w:r>
          </w:p>
        </w:tc>
      </w:tr>
      <w:tr w:rsidR="00AB70A3" w14:paraId="187B5214" w14:textId="77777777">
        <w:trPr>
          <w:jc w:val="center"/>
        </w:trPr>
        <w:tc>
          <w:tcPr>
            <w:tcW w:w="2160" w:type="dxa"/>
            <w:shd w:val="clear" w:color="auto" w:fill="F8FAFC"/>
            <w:tcMar>
              <w:top w:w="90" w:type="dxa"/>
              <w:left w:w="120" w:type="dxa"/>
              <w:bottom w:w="90" w:type="dxa"/>
              <w:right w:w="120" w:type="dxa"/>
            </w:tcMar>
          </w:tcPr>
          <w:p w14:paraId="68141913" w14:textId="77777777" w:rsidR="00AB70A3" w:rsidRDefault="00B56DB4">
            <w:pPr>
              <w:spacing w:after="0"/>
            </w:pPr>
            <w:r>
              <w:rPr>
                <w:rFonts w:ascii="Times New Roman" w:hAnsi="Times New Roman"/>
                <w:color w:val="1E293B"/>
                <w:sz w:val="19"/>
              </w:rPr>
              <w:t>Research Objective</w:t>
            </w:r>
          </w:p>
        </w:tc>
        <w:tc>
          <w:tcPr>
            <w:tcW w:w="3312" w:type="dxa"/>
            <w:shd w:val="clear" w:color="auto" w:fill="F8FAFC"/>
            <w:tcMar>
              <w:top w:w="90" w:type="dxa"/>
              <w:left w:w="120" w:type="dxa"/>
              <w:bottom w:w="90" w:type="dxa"/>
              <w:right w:w="120" w:type="dxa"/>
            </w:tcMar>
          </w:tcPr>
          <w:p w14:paraId="6612D201" w14:textId="77777777" w:rsidR="00AB70A3" w:rsidRDefault="00B56DB4">
            <w:pPr>
              <w:spacing w:after="0"/>
            </w:pPr>
            <w:r>
              <w:rPr>
                <w:rFonts w:ascii="Times New Roman" w:hAnsi="Times New Roman"/>
                <w:color w:val="1E293B"/>
                <w:sz w:val="19"/>
              </w:rPr>
              <w:t>Multi-Model Empirical Comparison</w:t>
            </w:r>
          </w:p>
        </w:tc>
        <w:tc>
          <w:tcPr>
            <w:tcW w:w="4608" w:type="dxa"/>
            <w:shd w:val="clear" w:color="auto" w:fill="F8FAFC"/>
            <w:tcMar>
              <w:top w:w="90" w:type="dxa"/>
              <w:left w:w="120" w:type="dxa"/>
              <w:bottom w:w="90" w:type="dxa"/>
              <w:right w:w="120" w:type="dxa"/>
            </w:tcMar>
          </w:tcPr>
          <w:p w14:paraId="7B0F63F9" w14:textId="77777777" w:rsidR="00AB70A3" w:rsidRDefault="00B56DB4">
            <w:pPr>
              <w:spacing w:after="0"/>
            </w:pPr>
            <w:r>
              <w:rPr>
                <w:rFonts w:ascii="Times New Roman" w:hAnsi="Times New Roman"/>
                <w:color w:val="1E293B"/>
                <w:sz w:val="19"/>
              </w:rPr>
              <w:t>Benchmark candidate LLMs on 60 controlled ground-truth cases; report authentic accuracy, Macro F1, and abstention.</w:t>
            </w:r>
          </w:p>
        </w:tc>
      </w:tr>
      <w:tr w:rsidR="00AB70A3" w14:paraId="785C5F5D" w14:textId="77777777">
        <w:trPr>
          <w:jc w:val="center"/>
        </w:trPr>
        <w:tc>
          <w:tcPr>
            <w:tcW w:w="2160" w:type="dxa"/>
            <w:shd w:val="clear" w:color="auto" w:fill="FFFFFF"/>
            <w:tcMar>
              <w:top w:w="90" w:type="dxa"/>
              <w:left w:w="120" w:type="dxa"/>
              <w:bottom w:w="90" w:type="dxa"/>
              <w:right w:w="120" w:type="dxa"/>
            </w:tcMar>
          </w:tcPr>
          <w:p w14:paraId="4E087E3D" w14:textId="77777777" w:rsidR="00AB70A3" w:rsidRDefault="00B56DB4">
            <w:pPr>
              <w:spacing w:after="0"/>
            </w:pPr>
            <w:r>
              <w:rPr>
                <w:rFonts w:ascii="Times New Roman" w:hAnsi="Times New Roman"/>
                <w:color w:val="1E293B"/>
                <w:sz w:val="19"/>
              </w:rPr>
              <w:t>Research Objective</w:t>
            </w:r>
          </w:p>
        </w:tc>
        <w:tc>
          <w:tcPr>
            <w:tcW w:w="3312" w:type="dxa"/>
            <w:shd w:val="clear" w:color="auto" w:fill="FFFFFF"/>
            <w:tcMar>
              <w:top w:w="90" w:type="dxa"/>
              <w:left w:w="120" w:type="dxa"/>
              <w:bottom w:w="90" w:type="dxa"/>
              <w:right w:w="120" w:type="dxa"/>
            </w:tcMar>
          </w:tcPr>
          <w:p w14:paraId="36DFD41C" w14:textId="77777777" w:rsidR="00AB70A3" w:rsidRDefault="00B56DB4">
            <w:pPr>
              <w:spacing w:after="0"/>
            </w:pPr>
            <w:r>
              <w:rPr>
                <w:rFonts w:ascii="Times New Roman" w:hAnsi="Times New Roman"/>
                <w:color w:val="1E293B"/>
                <w:sz w:val="19"/>
              </w:rPr>
              <w:t>Mitigating Legal AI Hallucinations</w:t>
            </w:r>
          </w:p>
        </w:tc>
        <w:tc>
          <w:tcPr>
            <w:tcW w:w="4608" w:type="dxa"/>
            <w:shd w:val="clear" w:color="auto" w:fill="FFFFFF"/>
            <w:tcMar>
              <w:top w:w="90" w:type="dxa"/>
              <w:left w:w="120" w:type="dxa"/>
              <w:bottom w:w="90" w:type="dxa"/>
              <w:right w:w="120" w:type="dxa"/>
            </w:tcMar>
          </w:tcPr>
          <w:p w14:paraId="43D909DE" w14:textId="77777777" w:rsidR="00AB70A3" w:rsidRDefault="00B56DB4">
            <w:pPr>
              <w:spacing w:after="0"/>
            </w:pPr>
            <w:r>
              <w:rPr>
                <w:rFonts w:ascii="Times New Roman" w:hAnsi="Times New Roman"/>
                <w:color w:val="1E293B"/>
                <w:sz w:val="19"/>
              </w:rPr>
              <w:t>Enforce strict statutory grounding validation; verify that all returned citations exist verbatim in retrieved legal text.</w:t>
            </w:r>
          </w:p>
        </w:tc>
      </w:tr>
      <w:tr w:rsidR="00AB70A3" w14:paraId="77A0F757" w14:textId="77777777">
        <w:trPr>
          <w:jc w:val="center"/>
        </w:trPr>
        <w:tc>
          <w:tcPr>
            <w:tcW w:w="2160" w:type="dxa"/>
            <w:shd w:val="clear" w:color="auto" w:fill="F8FAFC"/>
            <w:tcMar>
              <w:top w:w="90" w:type="dxa"/>
              <w:left w:w="120" w:type="dxa"/>
              <w:bottom w:w="90" w:type="dxa"/>
              <w:right w:w="120" w:type="dxa"/>
            </w:tcMar>
          </w:tcPr>
          <w:p w14:paraId="0AC36B33" w14:textId="77777777" w:rsidR="00AB70A3" w:rsidRDefault="00B56DB4">
            <w:pPr>
              <w:spacing w:after="0"/>
            </w:pPr>
            <w:r>
              <w:rPr>
                <w:rFonts w:ascii="Times New Roman" w:hAnsi="Times New Roman"/>
                <w:color w:val="1E293B"/>
                <w:sz w:val="19"/>
              </w:rPr>
              <w:t>Engineering Milestone</w:t>
            </w:r>
          </w:p>
        </w:tc>
        <w:tc>
          <w:tcPr>
            <w:tcW w:w="3312" w:type="dxa"/>
            <w:shd w:val="clear" w:color="auto" w:fill="F8FAFC"/>
            <w:tcMar>
              <w:top w:w="90" w:type="dxa"/>
              <w:left w:w="120" w:type="dxa"/>
              <w:bottom w:w="90" w:type="dxa"/>
              <w:right w:w="120" w:type="dxa"/>
            </w:tcMar>
          </w:tcPr>
          <w:p w14:paraId="05F4331C" w14:textId="77777777" w:rsidR="00AB70A3" w:rsidRDefault="00B56DB4">
            <w:pPr>
              <w:spacing w:after="0"/>
            </w:pPr>
            <w:r>
              <w:rPr>
                <w:rFonts w:ascii="Times New Roman" w:hAnsi="Times New Roman"/>
                <w:color w:val="1E293B"/>
                <w:sz w:val="19"/>
              </w:rPr>
              <w:t>Automated Artifact Collection</w:t>
            </w:r>
          </w:p>
        </w:tc>
        <w:tc>
          <w:tcPr>
            <w:tcW w:w="4608" w:type="dxa"/>
            <w:shd w:val="clear" w:color="auto" w:fill="F8FAFC"/>
            <w:tcMar>
              <w:top w:w="90" w:type="dxa"/>
              <w:left w:w="120" w:type="dxa"/>
              <w:bottom w:w="90" w:type="dxa"/>
              <w:right w:w="120" w:type="dxa"/>
            </w:tcMar>
          </w:tcPr>
          <w:p w14:paraId="045979C4" w14:textId="77777777" w:rsidR="00AB70A3" w:rsidRDefault="00B56DB4">
            <w:pPr>
              <w:spacing w:after="0"/>
            </w:pPr>
            <w:r>
              <w:rPr>
                <w:rFonts w:ascii="Times New Roman" w:hAnsi="Times New Roman"/>
                <w:color w:val="1E293B"/>
                <w:sz w:val="19"/>
              </w:rPr>
              <w:t>Implement Playwright headless crawler with robots.txt compliance, DOM extraction, and cookie banner inspection.</w:t>
            </w:r>
          </w:p>
        </w:tc>
      </w:tr>
      <w:tr w:rsidR="00AB70A3" w14:paraId="0CAE0F30" w14:textId="77777777">
        <w:trPr>
          <w:jc w:val="center"/>
        </w:trPr>
        <w:tc>
          <w:tcPr>
            <w:tcW w:w="2160" w:type="dxa"/>
            <w:shd w:val="clear" w:color="auto" w:fill="FFFFFF"/>
            <w:tcMar>
              <w:top w:w="90" w:type="dxa"/>
              <w:left w:w="120" w:type="dxa"/>
              <w:bottom w:w="90" w:type="dxa"/>
              <w:right w:w="120" w:type="dxa"/>
            </w:tcMar>
          </w:tcPr>
          <w:p w14:paraId="753DCC13" w14:textId="77777777" w:rsidR="00AB70A3" w:rsidRDefault="00B56DB4">
            <w:pPr>
              <w:spacing w:after="0"/>
            </w:pPr>
            <w:r>
              <w:rPr>
                <w:rFonts w:ascii="Times New Roman" w:hAnsi="Times New Roman"/>
                <w:color w:val="1E293B"/>
                <w:sz w:val="19"/>
              </w:rPr>
              <w:t>Engineering Milestone</w:t>
            </w:r>
          </w:p>
        </w:tc>
        <w:tc>
          <w:tcPr>
            <w:tcW w:w="3312" w:type="dxa"/>
            <w:shd w:val="clear" w:color="auto" w:fill="FFFFFF"/>
            <w:tcMar>
              <w:top w:w="90" w:type="dxa"/>
              <w:left w:w="120" w:type="dxa"/>
              <w:bottom w:w="90" w:type="dxa"/>
              <w:right w:w="120" w:type="dxa"/>
            </w:tcMar>
          </w:tcPr>
          <w:p w14:paraId="5ECADE53" w14:textId="77777777" w:rsidR="00AB70A3" w:rsidRDefault="00B56DB4">
            <w:pPr>
              <w:spacing w:after="0"/>
            </w:pPr>
            <w:r>
              <w:rPr>
                <w:rFonts w:ascii="Times New Roman" w:hAnsi="Times New Roman"/>
                <w:color w:val="1E293B"/>
                <w:sz w:val="19"/>
              </w:rPr>
              <w:t>Tenant Isolation &amp; RLS Security</w:t>
            </w:r>
          </w:p>
        </w:tc>
        <w:tc>
          <w:tcPr>
            <w:tcW w:w="4608" w:type="dxa"/>
            <w:shd w:val="clear" w:color="auto" w:fill="FFFFFF"/>
            <w:tcMar>
              <w:top w:w="90" w:type="dxa"/>
              <w:left w:w="120" w:type="dxa"/>
              <w:bottom w:w="90" w:type="dxa"/>
              <w:right w:w="120" w:type="dxa"/>
            </w:tcMar>
          </w:tcPr>
          <w:p w14:paraId="27C005DF" w14:textId="77777777" w:rsidR="00AB70A3" w:rsidRDefault="00B56DB4">
            <w:pPr>
              <w:spacing w:after="0"/>
            </w:pPr>
            <w:r>
              <w:rPr>
                <w:rFonts w:ascii="Times New Roman" w:hAnsi="Times New Roman"/>
                <w:color w:val="1E293B"/>
                <w:sz w:val="19"/>
              </w:rPr>
              <w:t>Enforce server-side API authorization middleware preventing IDOR vulnerabilities across Supabase database records.</w:t>
            </w:r>
          </w:p>
        </w:tc>
      </w:tr>
      <w:tr w:rsidR="00AB70A3" w14:paraId="4F93FBD5" w14:textId="77777777">
        <w:trPr>
          <w:jc w:val="center"/>
        </w:trPr>
        <w:tc>
          <w:tcPr>
            <w:tcW w:w="2160" w:type="dxa"/>
            <w:shd w:val="clear" w:color="auto" w:fill="F8FAFC"/>
            <w:tcMar>
              <w:top w:w="90" w:type="dxa"/>
              <w:left w:w="120" w:type="dxa"/>
              <w:bottom w:w="90" w:type="dxa"/>
              <w:right w:w="120" w:type="dxa"/>
            </w:tcMar>
          </w:tcPr>
          <w:p w14:paraId="0C894961" w14:textId="77777777" w:rsidR="00AB70A3" w:rsidRDefault="00B56DB4">
            <w:pPr>
              <w:spacing w:after="0"/>
            </w:pPr>
            <w:r>
              <w:rPr>
                <w:rFonts w:ascii="Times New Roman" w:hAnsi="Times New Roman"/>
                <w:color w:val="1E293B"/>
                <w:sz w:val="19"/>
              </w:rPr>
              <w:t>Engineering Milestone</w:t>
            </w:r>
          </w:p>
        </w:tc>
        <w:tc>
          <w:tcPr>
            <w:tcW w:w="3312" w:type="dxa"/>
            <w:shd w:val="clear" w:color="auto" w:fill="F8FAFC"/>
            <w:tcMar>
              <w:top w:w="90" w:type="dxa"/>
              <w:left w:w="120" w:type="dxa"/>
              <w:bottom w:w="90" w:type="dxa"/>
              <w:right w:w="120" w:type="dxa"/>
            </w:tcMar>
          </w:tcPr>
          <w:p w14:paraId="09D0D6C6" w14:textId="77777777" w:rsidR="00AB70A3" w:rsidRDefault="00B56DB4">
            <w:pPr>
              <w:spacing w:after="0"/>
            </w:pPr>
            <w:r>
              <w:rPr>
                <w:rFonts w:ascii="Times New Roman" w:hAnsi="Times New Roman"/>
                <w:color w:val="1E293B"/>
                <w:sz w:val="19"/>
              </w:rPr>
              <w:t>True Parallel Orchestration</w:t>
            </w:r>
          </w:p>
        </w:tc>
        <w:tc>
          <w:tcPr>
            <w:tcW w:w="4608" w:type="dxa"/>
            <w:shd w:val="clear" w:color="auto" w:fill="F8FAFC"/>
            <w:tcMar>
              <w:top w:w="90" w:type="dxa"/>
              <w:left w:w="120" w:type="dxa"/>
              <w:bottom w:w="90" w:type="dxa"/>
              <w:right w:w="120" w:type="dxa"/>
            </w:tcMar>
          </w:tcPr>
          <w:p w14:paraId="2BCC16D0" w14:textId="77777777" w:rsidR="00AB70A3" w:rsidRDefault="00B56DB4">
            <w:pPr>
              <w:spacing w:after="0"/>
            </w:pPr>
            <w:r>
              <w:rPr>
                <w:rFonts w:ascii="Times New Roman" w:hAnsi="Times New Roman"/>
                <w:color w:val="1E293B"/>
                <w:sz w:val="19"/>
              </w:rPr>
              <w:t>Replace sequential loops with Promise.allSettled concurrent dispatch; demonstrate &gt;2x wall-clock acceleration.</w:t>
            </w:r>
          </w:p>
        </w:tc>
      </w:tr>
      <w:tr w:rsidR="00AB70A3" w14:paraId="50748E85" w14:textId="77777777">
        <w:trPr>
          <w:jc w:val="center"/>
        </w:trPr>
        <w:tc>
          <w:tcPr>
            <w:tcW w:w="2160" w:type="dxa"/>
            <w:shd w:val="clear" w:color="auto" w:fill="FFFFFF"/>
            <w:tcMar>
              <w:top w:w="90" w:type="dxa"/>
              <w:left w:w="120" w:type="dxa"/>
              <w:bottom w:w="90" w:type="dxa"/>
              <w:right w:w="120" w:type="dxa"/>
            </w:tcMar>
          </w:tcPr>
          <w:p w14:paraId="7B310526" w14:textId="77777777" w:rsidR="00AB70A3" w:rsidRDefault="00B56DB4">
            <w:pPr>
              <w:spacing w:after="0"/>
            </w:pPr>
            <w:r>
              <w:rPr>
                <w:rFonts w:ascii="Times New Roman" w:hAnsi="Times New Roman"/>
                <w:color w:val="1E293B"/>
                <w:sz w:val="19"/>
              </w:rPr>
              <w:t>Engineering Milestone</w:t>
            </w:r>
          </w:p>
        </w:tc>
        <w:tc>
          <w:tcPr>
            <w:tcW w:w="3312" w:type="dxa"/>
            <w:shd w:val="clear" w:color="auto" w:fill="FFFFFF"/>
            <w:tcMar>
              <w:top w:w="90" w:type="dxa"/>
              <w:left w:w="120" w:type="dxa"/>
              <w:bottom w:w="90" w:type="dxa"/>
              <w:right w:w="120" w:type="dxa"/>
            </w:tcMar>
          </w:tcPr>
          <w:p w14:paraId="229F7CCA" w14:textId="77777777" w:rsidR="00AB70A3" w:rsidRDefault="00B56DB4">
            <w:pPr>
              <w:spacing w:after="0"/>
            </w:pPr>
            <w:r>
              <w:rPr>
                <w:rFonts w:ascii="Times New Roman" w:hAnsi="Times New Roman"/>
                <w:color w:val="1E293B"/>
                <w:sz w:val="19"/>
              </w:rPr>
              <w:t>Executive PDF &amp; CSV Reporting</w:t>
            </w:r>
          </w:p>
        </w:tc>
        <w:tc>
          <w:tcPr>
            <w:tcW w:w="4608" w:type="dxa"/>
            <w:shd w:val="clear" w:color="auto" w:fill="FFFFFF"/>
            <w:tcMar>
              <w:top w:w="90" w:type="dxa"/>
              <w:left w:w="120" w:type="dxa"/>
              <w:bottom w:w="90" w:type="dxa"/>
              <w:right w:w="120" w:type="dxa"/>
            </w:tcMar>
          </w:tcPr>
          <w:p w14:paraId="5B832022" w14:textId="77777777" w:rsidR="00AB70A3" w:rsidRDefault="00B56DB4">
            <w:pPr>
              <w:spacing w:after="0"/>
            </w:pPr>
            <w:r>
              <w:rPr>
                <w:rFonts w:ascii="Times New Roman" w:hAnsi="Times New Roman"/>
                <w:color w:val="1E293B"/>
                <w:sz w:val="19"/>
              </w:rPr>
              <w:t xml:space="preserve">Stream dynamically rendered PDF audit certificates </w:t>
            </w:r>
            <w:r>
              <w:rPr>
                <w:rFonts w:ascii="Times New Roman" w:hAnsi="Times New Roman"/>
                <w:color w:val="1E293B"/>
                <w:sz w:val="19"/>
              </w:rPr>
              <w:lastRenderedPageBreak/>
              <w:t>(%PDF-) and machine-readable CSV benchmark matrices.</w:t>
            </w:r>
          </w:p>
        </w:tc>
      </w:tr>
    </w:tbl>
    <w:p w14:paraId="228C59D0" w14:textId="77777777" w:rsidR="00AB70A3" w:rsidRDefault="00AB70A3">
      <w:pPr>
        <w:spacing w:after="120"/>
      </w:pPr>
    </w:p>
    <w:p w14:paraId="7D5E3DB3" w14:textId="77777777" w:rsidR="00AB70A3" w:rsidRDefault="00B56DB4">
      <w:pPr>
        <w:keepNext/>
        <w:spacing w:before="200" w:after="80"/>
      </w:pPr>
      <w:r>
        <w:rPr>
          <w:rFonts w:ascii="Times New Roman" w:hAnsi="Times New Roman"/>
          <w:b/>
          <w:color w:val="0F172A"/>
          <w:sz w:val="24"/>
        </w:rPr>
        <w:t>1.6 Scope and Delimitations: Boundaries of Automated Web Audits</w:t>
      </w:r>
    </w:p>
    <w:p w14:paraId="237204A0" w14:textId="77777777" w:rsidR="00AB70A3" w:rsidRDefault="00B56DB4">
      <w:pPr>
        <w:spacing w:after="120"/>
        <w:jc w:val="both"/>
      </w:pPr>
      <w:r>
        <w:rPr>
          <w:rFonts w:ascii="Times New Roman" w:hAnsi="Times New Roman"/>
          <w:color w:val="1E293B"/>
        </w:rPr>
        <w:t>Maintaining scientific and professional integrity requires clearly demarcating what an automated platform can and cannot evaluate:</w:t>
      </w:r>
    </w:p>
    <w:p w14:paraId="682826B2" w14:textId="77777777" w:rsidR="00AB70A3" w:rsidRDefault="00B56DB4">
      <w:pPr>
        <w:pStyle w:val="ListBullet"/>
        <w:spacing w:after="60"/>
        <w:jc w:val="both"/>
      </w:pPr>
      <w:r>
        <w:rPr>
          <w:rFonts w:ascii="Times New Roman" w:hAnsi="Times New Roman"/>
          <w:b/>
          <w:color w:val="0F172A"/>
        </w:rPr>
        <w:t xml:space="preserve">What the Platform Evaluates: </w:t>
      </w:r>
      <w:r>
        <w:rPr>
          <w:rFonts w:ascii="Times New Roman" w:hAnsi="Times New Roman"/>
          <w:color w:val="1E293B"/>
        </w:rPr>
        <w:t>TrustForge inspects publicly accessible digital touchpoints. It reliably verifies whether a privacy policy itemizes data categories, whether cookie consent is requested prior to tracking, whether a DPO email is published, and whether transport encryption (HTTPS) is enforced.</w:t>
      </w:r>
    </w:p>
    <w:p w14:paraId="676159D2" w14:textId="77777777" w:rsidR="00AB70A3" w:rsidRDefault="00B56DB4">
      <w:pPr>
        <w:pStyle w:val="ListBullet"/>
        <w:spacing w:after="60"/>
        <w:jc w:val="both"/>
      </w:pPr>
      <w:r>
        <w:rPr>
          <w:rFonts w:ascii="Times New Roman" w:hAnsi="Times New Roman"/>
          <w:b/>
          <w:color w:val="0F172A"/>
        </w:rPr>
        <w:t xml:space="preserve">What Lies Beyond System Scope: </w:t>
      </w:r>
      <w:r>
        <w:rPr>
          <w:rFonts w:ascii="Times New Roman" w:hAnsi="Times New Roman"/>
          <w:color w:val="1E293B"/>
        </w:rPr>
        <w:t>An automated external web inspection cannot examine internal corporate databases, employee access control logs, offline data retention purging routines, or physical facility security.</w:t>
      </w:r>
    </w:p>
    <w:p w14:paraId="1CBFC15B" w14:textId="77777777" w:rsidR="00AB70A3" w:rsidRDefault="00B56DB4">
      <w:pPr>
        <w:pStyle w:val="ListBullet"/>
        <w:spacing w:after="60"/>
        <w:jc w:val="both"/>
      </w:pPr>
      <w:r>
        <w:rPr>
          <w:rFonts w:ascii="Times New Roman" w:hAnsi="Times New Roman"/>
          <w:b/>
          <w:color w:val="0F172A"/>
        </w:rPr>
        <w:t xml:space="preserve">Statutory Non-Certification Disclaimer: </w:t>
      </w:r>
      <w:r>
        <w:rPr>
          <w:rFonts w:ascii="Times New Roman" w:hAnsi="Times New Roman"/>
          <w:color w:val="1E293B"/>
        </w:rPr>
        <w:t>TrustForge produces an algorithmic technical readiness assessment to support internal privacy engineering and audit preparation. It does not provide legal advice, formal judicial certification, or immunity from statutory enforcement by the Data Protection Board of India.</w:t>
      </w:r>
    </w:p>
    <w:p w14:paraId="03698166" w14:textId="77777777" w:rsidR="00AB70A3" w:rsidRDefault="00B56DB4">
      <w:r>
        <w:br w:type="page"/>
      </w:r>
    </w:p>
    <w:p w14:paraId="0195E885" w14:textId="77777777" w:rsidR="00AB70A3" w:rsidRDefault="00B56DB4">
      <w:pPr>
        <w:keepNext/>
        <w:spacing w:before="240" w:after="240"/>
      </w:pPr>
      <w:r>
        <w:rPr>
          <w:rFonts w:ascii="Times New Roman" w:hAnsi="Times New Roman"/>
          <w:b/>
          <w:color w:val="1F4E79"/>
          <w:sz w:val="28"/>
        </w:rPr>
        <w:lastRenderedPageBreak/>
        <w:t>CHAPTER 2: SOFTWARE ARCHITECTURE AND DESIGN</w:t>
      </w:r>
    </w:p>
    <w:p w14:paraId="6F05EE36" w14:textId="77777777" w:rsidR="00AB70A3" w:rsidRDefault="00B56DB4">
      <w:pPr>
        <w:keepNext/>
        <w:spacing w:before="160" w:after="80"/>
      </w:pPr>
      <w:r>
        <w:rPr>
          <w:rFonts w:ascii="Times New Roman" w:hAnsi="Times New Roman"/>
          <w:b/>
          <w:color w:val="0F172A"/>
          <w:sz w:val="24"/>
        </w:rPr>
        <w:t>2.1 System Overview</w:t>
      </w:r>
    </w:p>
    <w:p w14:paraId="51907ACA" w14:textId="77777777" w:rsidR="00AB70A3" w:rsidRDefault="00B56DB4">
      <w:pPr>
        <w:spacing w:after="120"/>
        <w:jc w:val="both"/>
      </w:pPr>
      <w:r>
        <w:rPr>
          <w:rFonts w:ascii="Times New Roman" w:hAnsi="Times New Roman"/>
          <w:color w:val="1E293B"/>
        </w:rPr>
        <w:t>TrustForge is engineered following a decoupled three-tier architectural pattern consisting of a single-page client interface, an Express REST API orchestrator, and a cloud PostgreSQL database. Decoupling the client presentation from heavy computational tasks ensures that browser crawling, vector generation, and multi-model inference can be scaled and maintained independently without degrading interface responsiveness.</w:t>
      </w:r>
    </w:p>
    <w:p w14:paraId="2EC36F6D" w14:textId="77777777" w:rsidR="00AB70A3" w:rsidRDefault="00B56DB4">
      <w:pPr>
        <w:keepNext/>
        <w:spacing w:before="200" w:after="80"/>
      </w:pPr>
      <w:r>
        <w:rPr>
          <w:rFonts w:ascii="Times New Roman" w:hAnsi="Times New Roman"/>
          <w:b/>
          <w:color w:val="0F172A"/>
          <w:sz w:val="24"/>
        </w:rPr>
        <w:t>2.2 Selected Technologies and Engineering Justifications</w:t>
      </w:r>
    </w:p>
    <w:p w14:paraId="1A966C7C" w14:textId="77777777" w:rsidR="00AB70A3" w:rsidRDefault="00B56DB4">
      <w:pPr>
        <w:spacing w:after="120"/>
        <w:jc w:val="both"/>
      </w:pPr>
      <w:r>
        <w:rPr>
          <w:rFonts w:ascii="Times New Roman" w:hAnsi="Times New Roman"/>
          <w:color w:val="1E293B"/>
        </w:rPr>
        <w:t>The architectural stack was selected based on strict engineering benchmarks for type safety, sub-second latency, and cloud deployability:</w:t>
      </w:r>
    </w:p>
    <w:tbl>
      <w:tblPr>
        <w:tblW w:w="0" w:type="auto"/>
        <w:jc w:val="center"/>
        <w:tblLook w:val="04A0" w:firstRow="1" w:lastRow="0" w:firstColumn="1" w:lastColumn="0" w:noHBand="0" w:noVBand="1"/>
      </w:tblPr>
      <w:tblGrid>
        <w:gridCol w:w="2035"/>
        <w:gridCol w:w="2420"/>
        <w:gridCol w:w="4854"/>
      </w:tblGrid>
      <w:tr w:rsidR="00AB70A3" w14:paraId="53995D05" w14:textId="77777777">
        <w:trPr>
          <w:jc w:val="center"/>
        </w:trPr>
        <w:tc>
          <w:tcPr>
            <w:tcW w:w="2160" w:type="dxa"/>
            <w:shd w:val="clear" w:color="auto" w:fill="1F4E79"/>
            <w:tcMar>
              <w:top w:w="120" w:type="dxa"/>
              <w:left w:w="140" w:type="dxa"/>
              <w:bottom w:w="120" w:type="dxa"/>
              <w:right w:w="140" w:type="dxa"/>
            </w:tcMar>
          </w:tcPr>
          <w:p w14:paraId="17CC9A41" w14:textId="77777777" w:rsidR="00AB70A3" w:rsidRDefault="00B56DB4">
            <w:pPr>
              <w:spacing w:after="0"/>
              <w:jc w:val="center"/>
            </w:pPr>
            <w:r>
              <w:rPr>
                <w:rFonts w:ascii="Times New Roman" w:hAnsi="Times New Roman"/>
                <w:b/>
                <w:color w:val="FFFFFF"/>
                <w:sz w:val="20"/>
              </w:rPr>
              <w:t>Technology</w:t>
            </w:r>
          </w:p>
        </w:tc>
        <w:tc>
          <w:tcPr>
            <w:tcW w:w="2592" w:type="dxa"/>
            <w:shd w:val="clear" w:color="auto" w:fill="1F4E79"/>
            <w:tcMar>
              <w:top w:w="120" w:type="dxa"/>
              <w:left w:w="140" w:type="dxa"/>
              <w:bottom w:w="120" w:type="dxa"/>
              <w:right w:w="140" w:type="dxa"/>
            </w:tcMar>
          </w:tcPr>
          <w:p w14:paraId="1F4674D9" w14:textId="77777777" w:rsidR="00AB70A3" w:rsidRDefault="00B56DB4">
            <w:pPr>
              <w:spacing w:after="0"/>
              <w:jc w:val="center"/>
            </w:pPr>
            <w:r>
              <w:rPr>
                <w:rFonts w:ascii="Times New Roman" w:hAnsi="Times New Roman"/>
                <w:b/>
                <w:color w:val="FFFFFF"/>
                <w:sz w:val="20"/>
              </w:rPr>
              <w:t>Role in Architecture</w:t>
            </w:r>
          </w:p>
        </w:tc>
        <w:tc>
          <w:tcPr>
            <w:tcW w:w="5328" w:type="dxa"/>
            <w:shd w:val="clear" w:color="auto" w:fill="1F4E79"/>
            <w:tcMar>
              <w:top w:w="120" w:type="dxa"/>
              <w:left w:w="140" w:type="dxa"/>
              <w:bottom w:w="120" w:type="dxa"/>
              <w:right w:w="140" w:type="dxa"/>
            </w:tcMar>
          </w:tcPr>
          <w:p w14:paraId="6CFD7C60" w14:textId="77777777" w:rsidR="00AB70A3" w:rsidRDefault="00B56DB4">
            <w:pPr>
              <w:spacing w:after="0"/>
              <w:jc w:val="center"/>
            </w:pPr>
            <w:r>
              <w:rPr>
                <w:rFonts w:ascii="Times New Roman" w:hAnsi="Times New Roman"/>
                <w:b/>
                <w:color w:val="FFFFFF"/>
                <w:sz w:val="20"/>
              </w:rPr>
              <w:t>Engineering Justification</w:t>
            </w:r>
          </w:p>
        </w:tc>
      </w:tr>
      <w:tr w:rsidR="00AB70A3" w14:paraId="31F6EA81" w14:textId="77777777">
        <w:trPr>
          <w:jc w:val="center"/>
        </w:trPr>
        <w:tc>
          <w:tcPr>
            <w:tcW w:w="2160" w:type="dxa"/>
            <w:shd w:val="clear" w:color="auto" w:fill="FFFFFF"/>
            <w:tcMar>
              <w:top w:w="90" w:type="dxa"/>
              <w:left w:w="120" w:type="dxa"/>
              <w:bottom w:w="90" w:type="dxa"/>
              <w:right w:w="120" w:type="dxa"/>
            </w:tcMar>
          </w:tcPr>
          <w:p w14:paraId="3D926341" w14:textId="77777777" w:rsidR="00AB70A3" w:rsidRDefault="00B56DB4">
            <w:pPr>
              <w:spacing w:after="0"/>
            </w:pPr>
            <w:r>
              <w:rPr>
                <w:rFonts w:ascii="Times New Roman" w:hAnsi="Times New Roman"/>
                <w:color w:val="1E293B"/>
                <w:sz w:val="19"/>
              </w:rPr>
              <w:t>React 19 &amp; Vite</w:t>
            </w:r>
          </w:p>
        </w:tc>
        <w:tc>
          <w:tcPr>
            <w:tcW w:w="2592" w:type="dxa"/>
            <w:shd w:val="clear" w:color="auto" w:fill="FFFFFF"/>
            <w:tcMar>
              <w:top w:w="90" w:type="dxa"/>
              <w:left w:w="120" w:type="dxa"/>
              <w:bottom w:w="90" w:type="dxa"/>
              <w:right w:w="120" w:type="dxa"/>
            </w:tcMar>
          </w:tcPr>
          <w:p w14:paraId="33F697AB" w14:textId="77777777" w:rsidR="00AB70A3" w:rsidRDefault="00B56DB4">
            <w:pPr>
              <w:spacing w:after="0"/>
            </w:pPr>
            <w:r>
              <w:rPr>
                <w:rFonts w:ascii="Times New Roman" w:hAnsi="Times New Roman"/>
                <w:color w:val="1E293B"/>
                <w:sz w:val="19"/>
              </w:rPr>
              <w:t>Frontend Single-Page App</w:t>
            </w:r>
          </w:p>
        </w:tc>
        <w:tc>
          <w:tcPr>
            <w:tcW w:w="5328" w:type="dxa"/>
            <w:shd w:val="clear" w:color="auto" w:fill="FFFFFF"/>
            <w:tcMar>
              <w:top w:w="90" w:type="dxa"/>
              <w:left w:w="120" w:type="dxa"/>
              <w:bottom w:w="90" w:type="dxa"/>
              <w:right w:w="120" w:type="dxa"/>
            </w:tcMar>
          </w:tcPr>
          <w:p w14:paraId="162559E9" w14:textId="77777777" w:rsidR="00AB70A3" w:rsidRDefault="00B56DB4">
            <w:pPr>
              <w:spacing w:after="0"/>
            </w:pPr>
            <w:r>
              <w:rPr>
                <w:rFonts w:ascii="Times New Roman" w:hAnsi="Times New Roman"/>
                <w:color w:val="1E293B"/>
                <w:sz w:val="19"/>
              </w:rPr>
              <w:t>Provides ultra-fast client-side routing, modular component hierarchy, and instant development compilation.</w:t>
            </w:r>
          </w:p>
        </w:tc>
      </w:tr>
      <w:tr w:rsidR="00AB70A3" w14:paraId="27E18493" w14:textId="77777777">
        <w:trPr>
          <w:jc w:val="center"/>
        </w:trPr>
        <w:tc>
          <w:tcPr>
            <w:tcW w:w="2160" w:type="dxa"/>
            <w:shd w:val="clear" w:color="auto" w:fill="F8FAFC"/>
            <w:tcMar>
              <w:top w:w="90" w:type="dxa"/>
              <w:left w:w="120" w:type="dxa"/>
              <w:bottom w:w="90" w:type="dxa"/>
              <w:right w:w="120" w:type="dxa"/>
            </w:tcMar>
          </w:tcPr>
          <w:p w14:paraId="688F2CCE" w14:textId="77777777" w:rsidR="00AB70A3" w:rsidRDefault="00B56DB4">
            <w:pPr>
              <w:spacing w:after="0"/>
            </w:pPr>
            <w:r>
              <w:rPr>
                <w:rFonts w:ascii="Times New Roman" w:hAnsi="Times New Roman"/>
                <w:color w:val="1E293B"/>
                <w:sz w:val="19"/>
              </w:rPr>
              <w:t>TypeScript 5.8</w:t>
            </w:r>
          </w:p>
        </w:tc>
        <w:tc>
          <w:tcPr>
            <w:tcW w:w="2592" w:type="dxa"/>
            <w:shd w:val="clear" w:color="auto" w:fill="F8FAFC"/>
            <w:tcMar>
              <w:top w:w="90" w:type="dxa"/>
              <w:left w:w="120" w:type="dxa"/>
              <w:bottom w:w="90" w:type="dxa"/>
              <w:right w:w="120" w:type="dxa"/>
            </w:tcMar>
          </w:tcPr>
          <w:p w14:paraId="57B6C1C9" w14:textId="77777777" w:rsidR="00AB70A3" w:rsidRDefault="00B56DB4">
            <w:pPr>
              <w:spacing w:after="0"/>
            </w:pPr>
            <w:r>
              <w:rPr>
                <w:rFonts w:ascii="Times New Roman" w:hAnsi="Times New Roman"/>
                <w:color w:val="1E293B"/>
                <w:sz w:val="19"/>
              </w:rPr>
              <w:t>Full-Stack Type Safety</w:t>
            </w:r>
          </w:p>
        </w:tc>
        <w:tc>
          <w:tcPr>
            <w:tcW w:w="5328" w:type="dxa"/>
            <w:shd w:val="clear" w:color="auto" w:fill="F8FAFC"/>
            <w:tcMar>
              <w:top w:w="90" w:type="dxa"/>
              <w:left w:w="120" w:type="dxa"/>
              <w:bottom w:w="90" w:type="dxa"/>
              <w:right w:w="120" w:type="dxa"/>
            </w:tcMar>
          </w:tcPr>
          <w:p w14:paraId="19352BE4" w14:textId="77777777" w:rsidR="00AB70A3" w:rsidRDefault="00B56DB4">
            <w:pPr>
              <w:spacing w:after="0"/>
            </w:pPr>
            <w:r>
              <w:rPr>
                <w:rFonts w:ascii="Times New Roman" w:hAnsi="Times New Roman"/>
                <w:color w:val="1E293B"/>
                <w:sz w:val="19"/>
              </w:rPr>
              <w:t>Enforces strict type contracts between REST APIs, crawler outputs, RAG statutory passages, and LLM payloads.</w:t>
            </w:r>
          </w:p>
        </w:tc>
      </w:tr>
      <w:tr w:rsidR="00AB70A3" w14:paraId="0C879840" w14:textId="77777777">
        <w:trPr>
          <w:jc w:val="center"/>
        </w:trPr>
        <w:tc>
          <w:tcPr>
            <w:tcW w:w="2160" w:type="dxa"/>
            <w:shd w:val="clear" w:color="auto" w:fill="FFFFFF"/>
            <w:tcMar>
              <w:top w:w="90" w:type="dxa"/>
              <w:left w:w="120" w:type="dxa"/>
              <w:bottom w:w="90" w:type="dxa"/>
              <w:right w:w="120" w:type="dxa"/>
            </w:tcMar>
          </w:tcPr>
          <w:p w14:paraId="11A7BE77" w14:textId="77777777" w:rsidR="00AB70A3" w:rsidRDefault="00B56DB4">
            <w:pPr>
              <w:spacing w:after="0"/>
            </w:pPr>
            <w:r>
              <w:rPr>
                <w:rFonts w:ascii="Times New Roman" w:hAnsi="Times New Roman"/>
                <w:color w:val="1E293B"/>
                <w:sz w:val="19"/>
              </w:rPr>
              <w:t>Tailwind CSS 4</w:t>
            </w:r>
          </w:p>
        </w:tc>
        <w:tc>
          <w:tcPr>
            <w:tcW w:w="2592" w:type="dxa"/>
            <w:shd w:val="clear" w:color="auto" w:fill="FFFFFF"/>
            <w:tcMar>
              <w:top w:w="90" w:type="dxa"/>
              <w:left w:w="120" w:type="dxa"/>
              <w:bottom w:w="90" w:type="dxa"/>
              <w:right w:w="120" w:type="dxa"/>
            </w:tcMar>
          </w:tcPr>
          <w:p w14:paraId="6B42A482" w14:textId="77777777" w:rsidR="00AB70A3" w:rsidRDefault="00B56DB4">
            <w:pPr>
              <w:spacing w:after="0"/>
            </w:pPr>
            <w:r>
              <w:rPr>
                <w:rFonts w:ascii="Times New Roman" w:hAnsi="Times New Roman"/>
                <w:color w:val="1E293B"/>
                <w:sz w:val="19"/>
              </w:rPr>
              <w:t>Responsive Design System</w:t>
            </w:r>
          </w:p>
        </w:tc>
        <w:tc>
          <w:tcPr>
            <w:tcW w:w="5328" w:type="dxa"/>
            <w:shd w:val="clear" w:color="auto" w:fill="FFFFFF"/>
            <w:tcMar>
              <w:top w:w="90" w:type="dxa"/>
              <w:left w:w="120" w:type="dxa"/>
              <w:bottom w:w="90" w:type="dxa"/>
              <w:right w:w="120" w:type="dxa"/>
            </w:tcMar>
          </w:tcPr>
          <w:p w14:paraId="76AE01CA" w14:textId="77777777" w:rsidR="00AB70A3" w:rsidRDefault="00B56DB4">
            <w:pPr>
              <w:spacing w:after="0"/>
            </w:pPr>
            <w:r>
              <w:rPr>
                <w:rFonts w:ascii="Times New Roman" w:hAnsi="Times New Roman"/>
                <w:color w:val="1E293B"/>
                <w:sz w:val="19"/>
              </w:rPr>
              <w:t>Enables clean, accessible, academic-grade user interfaces with consistent visual typography and color tokens.</w:t>
            </w:r>
          </w:p>
        </w:tc>
      </w:tr>
      <w:tr w:rsidR="00AB70A3" w14:paraId="0BD29C72" w14:textId="77777777">
        <w:trPr>
          <w:jc w:val="center"/>
        </w:trPr>
        <w:tc>
          <w:tcPr>
            <w:tcW w:w="2160" w:type="dxa"/>
            <w:shd w:val="clear" w:color="auto" w:fill="F8FAFC"/>
            <w:tcMar>
              <w:top w:w="90" w:type="dxa"/>
              <w:left w:w="120" w:type="dxa"/>
              <w:bottom w:w="90" w:type="dxa"/>
              <w:right w:w="120" w:type="dxa"/>
            </w:tcMar>
          </w:tcPr>
          <w:p w14:paraId="48E87816" w14:textId="77777777" w:rsidR="00AB70A3" w:rsidRDefault="00B56DB4">
            <w:pPr>
              <w:spacing w:after="0"/>
            </w:pPr>
            <w:r>
              <w:rPr>
                <w:rFonts w:ascii="Times New Roman" w:hAnsi="Times New Roman"/>
                <w:color w:val="1E293B"/>
                <w:sz w:val="19"/>
              </w:rPr>
              <w:t>Node.js &amp; Express</w:t>
            </w:r>
          </w:p>
        </w:tc>
        <w:tc>
          <w:tcPr>
            <w:tcW w:w="2592" w:type="dxa"/>
            <w:shd w:val="clear" w:color="auto" w:fill="F8FAFC"/>
            <w:tcMar>
              <w:top w:w="90" w:type="dxa"/>
              <w:left w:w="120" w:type="dxa"/>
              <w:bottom w:w="90" w:type="dxa"/>
              <w:right w:w="120" w:type="dxa"/>
            </w:tcMar>
          </w:tcPr>
          <w:p w14:paraId="1953BD9C" w14:textId="77777777" w:rsidR="00AB70A3" w:rsidRDefault="00B56DB4">
            <w:pPr>
              <w:spacing w:after="0"/>
            </w:pPr>
            <w:r>
              <w:rPr>
                <w:rFonts w:ascii="Times New Roman" w:hAnsi="Times New Roman"/>
                <w:color w:val="1E293B"/>
                <w:sz w:val="19"/>
              </w:rPr>
              <w:t>API Backend Orchestrator</w:t>
            </w:r>
          </w:p>
        </w:tc>
        <w:tc>
          <w:tcPr>
            <w:tcW w:w="5328" w:type="dxa"/>
            <w:shd w:val="clear" w:color="auto" w:fill="F8FAFC"/>
            <w:tcMar>
              <w:top w:w="90" w:type="dxa"/>
              <w:left w:w="120" w:type="dxa"/>
              <w:bottom w:w="90" w:type="dxa"/>
              <w:right w:w="120" w:type="dxa"/>
            </w:tcMar>
          </w:tcPr>
          <w:p w14:paraId="3C9DC670" w14:textId="77777777" w:rsidR="00AB70A3" w:rsidRDefault="00B56DB4">
            <w:pPr>
              <w:spacing w:after="0"/>
            </w:pPr>
            <w:r>
              <w:rPr>
                <w:rFonts w:ascii="Times New Roman" w:hAnsi="Times New Roman"/>
                <w:color w:val="1E293B"/>
                <w:sz w:val="19"/>
              </w:rPr>
              <w:t>Provides event-driven non-blocking I/O ideal for managing concurrent HTTP streams, crawler tasks, and LLM dispatch.</w:t>
            </w:r>
          </w:p>
        </w:tc>
      </w:tr>
      <w:tr w:rsidR="00AB70A3" w14:paraId="19A86196" w14:textId="77777777">
        <w:trPr>
          <w:jc w:val="center"/>
        </w:trPr>
        <w:tc>
          <w:tcPr>
            <w:tcW w:w="2160" w:type="dxa"/>
            <w:shd w:val="clear" w:color="auto" w:fill="FFFFFF"/>
            <w:tcMar>
              <w:top w:w="90" w:type="dxa"/>
              <w:left w:w="120" w:type="dxa"/>
              <w:bottom w:w="90" w:type="dxa"/>
              <w:right w:w="120" w:type="dxa"/>
            </w:tcMar>
          </w:tcPr>
          <w:p w14:paraId="29C86827" w14:textId="77777777" w:rsidR="00AB70A3" w:rsidRDefault="00B56DB4">
            <w:pPr>
              <w:spacing w:after="0"/>
            </w:pPr>
            <w:r>
              <w:rPr>
                <w:rFonts w:ascii="Times New Roman" w:hAnsi="Times New Roman"/>
                <w:color w:val="1E293B"/>
                <w:sz w:val="19"/>
              </w:rPr>
              <w:t>Playwright</w:t>
            </w:r>
          </w:p>
        </w:tc>
        <w:tc>
          <w:tcPr>
            <w:tcW w:w="2592" w:type="dxa"/>
            <w:shd w:val="clear" w:color="auto" w:fill="FFFFFF"/>
            <w:tcMar>
              <w:top w:w="90" w:type="dxa"/>
              <w:left w:w="120" w:type="dxa"/>
              <w:bottom w:w="90" w:type="dxa"/>
              <w:right w:w="120" w:type="dxa"/>
            </w:tcMar>
          </w:tcPr>
          <w:p w14:paraId="0850767D" w14:textId="77777777" w:rsidR="00AB70A3" w:rsidRDefault="00B56DB4">
            <w:pPr>
              <w:spacing w:after="0"/>
            </w:pPr>
            <w:r>
              <w:rPr>
                <w:rFonts w:ascii="Times New Roman" w:hAnsi="Times New Roman"/>
                <w:color w:val="1E293B"/>
                <w:sz w:val="19"/>
              </w:rPr>
              <w:t>Headless Web Automation</w:t>
            </w:r>
          </w:p>
        </w:tc>
        <w:tc>
          <w:tcPr>
            <w:tcW w:w="5328" w:type="dxa"/>
            <w:shd w:val="clear" w:color="auto" w:fill="FFFFFF"/>
            <w:tcMar>
              <w:top w:w="90" w:type="dxa"/>
              <w:left w:w="120" w:type="dxa"/>
              <w:bottom w:w="90" w:type="dxa"/>
              <w:right w:w="120" w:type="dxa"/>
            </w:tcMar>
          </w:tcPr>
          <w:p w14:paraId="11DE567B" w14:textId="77777777" w:rsidR="00AB70A3" w:rsidRDefault="00B56DB4">
            <w:pPr>
              <w:spacing w:after="0"/>
            </w:pPr>
            <w:r>
              <w:rPr>
                <w:rFonts w:ascii="Times New Roman" w:hAnsi="Times New Roman"/>
                <w:color w:val="1E293B"/>
                <w:sz w:val="19"/>
              </w:rPr>
              <w:t>Renders dynamic single-page applications, interacts with cookie banners, parses DOM structures, and respects robots.txt.</w:t>
            </w:r>
          </w:p>
        </w:tc>
      </w:tr>
      <w:tr w:rsidR="00AB70A3" w14:paraId="410B4B2F" w14:textId="77777777">
        <w:trPr>
          <w:jc w:val="center"/>
        </w:trPr>
        <w:tc>
          <w:tcPr>
            <w:tcW w:w="2160" w:type="dxa"/>
            <w:shd w:val="clear" w:color="auto" w:fill="F8FAFC"/>
            <w:tcMar>
              <w:top w:w="90" w:type="dxa"/>
              <w:left w:w="120" w:type="dxa"/>
              <w:bottom w:w="90" w:type="dxa"/>
              <w:right w:w="120" w:type="dxa"/>
            </w:tcMar>
          </w:tcPr>
          <w:p w14:paraId="6BB4741B" w14:textId="77777777" w:rsidR="00AB70A3" w:rsidRDefault="00B56DB4">
            <w:pPr>
              <w:spacing w:after="0"/>
            </w:pPr>
            <w:r>
              <w:rPr>
                <w:rFonts w:ascii="Times New Roman" w:hAnsi="Times New Roman"/>
                <w:color w:val="1E293B"/>
                <w:sz w:val="19"/>
              </w:rPr>
              <w:t>Python 3.11</w:t>
            </w:r>
          </w:p>
        </w:tc>
        <w:tc>
          <w:tcPr>
            <w:tcW w:w="2592" w:type="dxa"/>
            <w:shd w:val="clear" w:color="auto" w:fill="F8FAFC"/>
            <w:tcMar>
              <w:top w:w="90" w:type="dxa"/>
              <w:left w:w="120" w:type="dxa"/>
              <w:bottom w:w="90" w:type="dxa"/>
              <w:right w:w="120" w:type="dxa"/>
            </w:tcMar>
          </w:tcPr>
          <w:p w14:paraId="04D72DFE" w14:textId="77777777" w:rsidR="00AB70A3" w:rsidRDefault="00B56DB4">
            <w:pPr>
              <w:spacing w:after="0"/>
            </w:pPr>
            <w:r>
              <w:rPr>
                <w:rFonts w:ascii="Times New Roman" w:hAnsi="Times New Roman"/>
                <w:color w:val="1E293B"/>
                <w:sz w:val="19"/>
              </w:rPr>
              <w:t>Embedding Daemon Runtime</w:t>
            </w:r>
          </w:p>
        </w:tc>
        <w:tc>
          <w:tcPr>
            <w:tcW w:w="5328" w:type="dxa"/>
            <w:shd w:val="clear" w:color="auto" w:fill="F8FAFC"/>
            <w:tcMar>
              <w:top w:w="90" w:type="dxa"/>
              <w:left w:w="120" w:type="dxa"/>
              <w:bottom w:w="90" w:type="dxa"/>
              <w:right w:w="120" w:type="dxa"/>
            </w:tcMar>
          </w:tcPr>
          <w:p w14:paraId="4E0C1841" w14:textId="77777777" w:rsidR="00AB70A3" w:rsidRDefault="00B56DB4">
            <w:pPr>
              <w:spacing w:after="0"/>
            </w:pPr>
            <w:r>
              <w:rPr>
                <w:rFonts w:ascii="Times New Roman" w:hAnsi="Times New Roman"/>
                <w:color w:val="1E293B"/>
                <w:sz w:val="19"/>
              </w:rPr>
              <w:t>Executes SentenceTransformers models with optimized CPU PyTorch bindings, serving normalized 384d vectors on port 8008.</w:t>
            </w:r>
          </w:p>
        </w:tc>
      </w:tr>
      <w:tr w:rsidR="00AB70A3" w14:paraId="5637E45E" w14:textId="77777777">
        <w:trPr>
          <w:jc w:val="center"/>
        </w:trPr>
        <w:tc>
          <w:tcPr>
            <w:tcW w:w="2160" w:type="dxa"/>
            <w:shd w:val="clear" w:color="auto" w:fill="FFFFFF"/>
            <w:tcMar>
              <w:top w:w="90" w:type="dxa"/>
              <w:left w:w="120" w:type="dxa"/>
              <w:bottom w:w="90" w:type="dxa"/>
              <w:right w:w="120" w:type="dxa"/>
            </w:tcMar>
          </w:tcPr>
          <w:p w14:paraId="69500E2F" w14:textId="77777777" w:rsidR="00AB70A3" w:rsidRDefault="00B56DB4">
            <w:pPr>
              <w:spacing w:after="0"/>
            </w:pPr>
            <w:r>
              <w:rPr>
                <w:rFonts w:ascii="Times New Roman" w:hAnsi="Times New Roman"/>
                <w:color w:val="1E293B"/>
                <w:sz w:val="19"/>
              </w:rPr>
              <w:t>Supabase PostgreSQL</w:t>
            </w:r>
          </w:p>
        </w:tc>
        <w:tc>
          <w:tcPr>
            <w:tcW w:w="2592" w:type="dxa"/>
            <w:shd w:val="clear" w:color="auto" w:fill="FFFFFF"/>
            <w:tcMar>
              <w:top w:w="90" w:type="dxa"/>
              <w:left w:w="120" w:type="dxa"/>
              <w:bottom w:w="90" w:type="dxa"/>
              <w:right w:w="120" w:type="dxa"/>
            </w:tcMar>
          </w:tcPr>
          <w:p w14:paraId="3F3CFF2F" w14:textId="77777777" w:rsidR="00AB70A3" w:rsidRDefault="00B56DB4">
            <w:pPr>
              <w:spacing w:after="0"/>
            </w:pPr>
            <w:r>
              <w:rPr>
                <w:rFonts w:ascii="Times New Roman" w:hAnsi="Times New Roman"/>
                <w:color w:val="1E293B"/>
                <w:sz w:val="19"/>
              </w:rPr>
              <w:t>Primary Cloud Database</w:t>
            </w:r>
          </w:p>
        </w:tc>
        <w:tc>
          <w:tcPr>
            <w:tcW w:w="5328" w:type="dxa"/>
            <w:shd w:val="clear" w:color="auto" w:fill="FFFFFF"/>
            <w:tcMar>
              <w:top w:w="90" w:type="dxa"/>
              <w:left w:w="120" w:type="dxa"/>
              <w:bottom w:w="90" w:type="dxa"/>
              <w:right w:w="120" w:type="dxa"/>
            </w:tcMar>
          </w:tcPr>
          <w:p w14:paraId="22168D4F" w14:textId="77777777" w:rsidR="00AB70A3" w:rsidRDefault="00B56DB4">
            <w:pPr>
              <w:spacing w:after="0"/>
            </w:pPr>
            <w:r>
              <w:rPr>
                <w:rFonts w:ascii="Times New Roman" w:hAnsi="Times New Roman"/>
                <w:color w:val="1E293B"/>
                <w:sz w:val="19"/>
              </w:rPr>
              <w:t>Enterprise-grade managed relational database supporting relational data models, Row-Level Security, and ACID transactions.</w:t>
            </w:r>
          </w:p>
        </w:tc>
      </w:tr>
      <w:tr w:rsidR="00AB70A3" w14:paraId="1FD671E7" w14:textId="77777777">
        <w:trPr>
          <w:jc w:val="center"/>
        </w:trPr>
        <w:tc>
          <w:tcPr>
            <w:tcW w:w="2160" w:type="dxa"/>
            <w:shd w:val="clear" w:color="auto" w:fill="F8FAFC"/>
            <w:tcMar>
              <w:top w:w="90" w:type="dxa"/>
              <w:left w:w="120" w:type="dxa"/>
              <w:bottom w:w="90" w:type="dxa"/>
              <w:right w:w="120" w:type="dxa"/>
            </w:tcMar>
          </w:tcPr>
          <w:p w14:paraId="3940CDBB" w14:textId="77777777" w:rsidR="00AB70A3" w:rsidRDefault="00B56DB4">
            <w:pPr>
              <w:spacing w:after="0"/>
            </w:pPr>
            <w:r>
              <w:rPr>
                <w:rFonts w:ascii="Times New Roman" w:hAnsi="Times New Roman"/>
                <w:color w:val="1E293B"/>
                <w:sz w:val="19"/>
              </w:rPr>
              <w:t>pgvector</w:t>
            </w:r>
          </w:p>
        </w:tc>
        <w:tc>
          <w:tcPr>
            <w:tcW w:w="2592" w:type="dxa"/>
            <w:shd w:val="clear" w:color="auto" w:fill="F8FAFC"/>
            <w:tcMar>
              <w:top w:w="90" w:type="dxa"/>
              <w:left w:w="120" w:type="dxa"/>
              <w:bottom w:w="90" w:type="dxa"/>
              <w:right w:w="120" w:type="dxa"/>
            </w:tcMar>
          </w:tcPr>
          <w:p w14:paraId="062141C6" w14:textId="77777777" w:rsidR="00AB70A3" w:rsidRDefault="00B56DB4">
            <w:pPr>
              <w:spacing w:after="0"/>
            </w:pPr>
            <w:r>
              <w:rPr>
                <w:rFonts w:ascii="Times New Roman" w:hAnsi="Times New Roman"/>
                <w:color w:val="1E293B"/>
                <w:sz w:val="19"/>
              </w:rPr>
              <w:t>Dense Vector Similarity Search</w:t>
            </w:r>
          </w:p>
        </w:tc>
        <w:tc>
          <w:tcPr>
            <w:tcW w:w="5328" w:type="dxa"/>
            <w:shd w:val="clear" w:color="auto" w:fill="F8FAFC"/>
            <w:tcMar>
              <w:top w:w="90" w:type="dxa"/>
              <w:left w:w="120" w:type="dxa"/>
              <w:bottom w:w="90" w:type="dxa"/>
              <w:right w:w="120" w:type="dxa"/>
            </w:tcMar>
          </w:tcPr>
          <w:p w14:paraId="44E4FD4E" w14:textId="77777777" w:rsidR="00AB70A3" w:rsidRDefault="00B56DB4">
            <w:pPr>
              <w:spacing w:after="0"/>
            </w:pPr>
            <w:r>
              <w:rPr>
                <w:rFonts w:ascii="Times New Roman" w:hAnsi="Times New Roman"/>
                <w:color w:val="1E293B"/>
                <w:sz w:val="19"/>
              </w:rPr>
              <w:t>Enables cosine similarity vector queries directly within SQL, allowing native hybrid joins with relational tenant tables.</w:t>
            </w:r>
          </w:p>
        </w:tc>
      </w:tr>
      <w:tr w:rsidR="00AB70A3" w14:paraId="2A312FAB" w14:textId="77777777">
        <w:trPr>
          <w:jc w:val="center"/>
        </w:trPr>
        <w:tc>
          <w:tcPr>
            <w:tcW w:w="2160" w:type="dxa"/>
            <w:shd w:val="clear" w:color="auto" w:fill="FFFFFF"/>
            <w:tcMar>
              <w:top w:w="90" w:type="dxa"/>
              <w:left w:w="120" w:type="dxa"/>
              <w:bottom w:w="90" w:type="dxa"/>
              <w:right w:w="120" w:type="dxa"/>
            </w:tcMar>
          </w:tcPr>
          <w:p w14:paraId="00DC7939" w14:textId="77777777" w:rsidR="00AB70A3" w:rsidRDefault="00B56DB4">
            <w:pPr>
              <w:spacing w:after="0"/>
            </w:pPr>
            <w:r>
              <w:rPr>
                <w:rFonts w:ascii="Times New Roman" w:hAnsi="Times New Roman"/>
                <w:color w:val="1E293B"/>
                <w:sz w:val="19"/>
              </w:rPr>
              <w:t>all-MiniLM-L6-v2</w:t>
            </w:r>
          </w:p>
        </w:tc>
        <w:tc>
          <w:tcPr>
            <w:tcW w:w="2592" w:type="dxa"/>
            <w:shd w:val="clear" w:color="auto" w:fill="FFFFFF"/>
            <w:tcMar>
              <w:top w:w="90" w:type="dxa"/>
              <w:left w:w="120" w:type="dxa"/>
              <w:bottom w:w="90" w:type="dxa"/>
              <w:right w:w="120" w:type="dxa"/>
            </w:tcMar>
          </w:tcPr>
          <w:p w14:paraId="25232C11" w14:textId="77777777" w:rsidR="00AB70A3" w:rsidRDefault="00B56DB4">
            <w:pPr>
              <w:spacing w:after="0"/>
            </w:pPr>
            <w:r>
              <w:rPr>
                <w:rFonts w:ascii="Times New Roman" w:hAnsi="Times New Roman"/>
                <w:color w:val="1E293B"/>
                <w:sz w:val="19"/>
              </w:rPr>
              <w:t>Sentence Transformers Model</w:t>
            </w:r>
          </w:p>
        </w:tc>
        <w:tc>
          <w:tcPr>
            <w:tcW w:w="5328" w:type="dxa"/>
            <w:shd w:val="clear" w:color="auto" w:fill="FFFFFF"/>
            <w:tcMar>
              <w:top w:w="90" w:type="dxa"/>
              <w:left w:w="120" w:type="dxa"/>
              <w:bottom w:w="90" w:type="dxa"/>
              <w:right w:w="120" w:type="dxa"/>
            </w:tcMar>
          </w:tcPr>
          <w:p w14:paraId="515E5008" w14:textId="77777777" w:rsidR="00AB70A3" w:rsidRDefault="00B56DB4">
            <w:pPr>
              <w:spacing w:after="0"/>
            </w:pPr>
            <w:r>
              <w:rPr>
                <w:rFonts w:ascii="Times New Roman" w:hAnsi="Times New Roman"/>
                <w:color w:val="1E293B"/>
                <w:sz w:val="19"/>
              </w:rPr>
              <w:t>Produces high-quality 384-dimensional dense semantic embeddings with low computational overhead (sub-30ms generation).</w:t>
            </w:r>
          </w:p>
        </w:tc>
      </w:tr>
      <w:tr w:rsidR="00AB70A3" w14:paraId="7C5BE433" w14:textId="77777777">
        <w:trPr>
          <w:jc w:val="center"/>
        </w:trPr>
        <w:tc>
          <w:tcPr>
            <w:tcW w:w="2160" w:type="dxa"/>
            <w:shd w:val="clear" w:color="auto" w:fill="F8FAFC"/>
            <w:tcMar>
              <w:top w:w="90" w:type="dxa"/>
              <w:left w:w="120" w:type="dxa"/>
              <w:bottom w:w="90" w:type="dxa"/>
              <w:right w:w="120" w:type="dxa"/>
            </w:tcMar>
          </w:tcPr>
          <w:p w14:paraId="3BFE6C5E" w14:textId="77777777" w:rsidR="00AB70A3" w:rsidRDefault="00B56DB4">
            <w:pPr>
              <w:spacing w:after="0"/>
            </w:pPr>
            <w:r>
              <w:rPr>
                <w:rFonts w:ascii="Times New Roman" w:hAnsi="Times New Roman"/>
                <w:color w:val="1E293B"/>
                <w:sz w:val="19"/>
              </w:rPr>
              <w:t>BM25 Algorithm</w:t>
            </w:r>
          </w:p>
        </w:tc>
        <w:tc>
          <w:tcPr>
            <w:tcW w:w="2592" w:type="dxa"/>
            <w:shd w:val="clear" w:color="auto" w:fill="F8FAFC"/>
            <w:tcMar>
              <w:top w:w="90" w:type="dxa"/>
              <w:left w:w="120" w:type="dxa"/>
              <w:bottom w:w="90" w:type="dxa"/>
              <w:right w:w="120" w:type="dxa"/>
            </w:tcMar>
          </w:tcPr>
          <w:p w14:paraId="2A90234C" w14:textId="77777777" w:rsidR="00AB70A3" w:rsidRDefault="00B56DB4">
            <w:pPr>
              <w:spacing w:after="0"/>
            </w:pPr>
            <w:r>
              <w:rPr>
                <w:rFonts w:ascii="Times New Roman" w:hAnsi="Times New Roman"/>
                <w:color w:val="1E293B"/>
                <w:sz w:val="19"/>
              </w:rPr>
              <w:t>Lexical Inverted Index Search</w:t>
            </w:r>
          </w:p>
        </w:tc>
        <w:tc>
          <w:tcPr>
            <w:tcW w:w="5328" w:type="dxa"/>
            <w:shd w:val="clear" w:color="auto" w:fill="F8FAFC"/>
            <w:tcMar>
              <w:top w:w="90" w:type="dxa"/>
              <w:left w:w="120" w:type="dxa"/>
              <w:bottom w:w="90" w:type="dxa"/>
              <w:right w:w="120" w:type="dxa"/>
            </w:tcMar>
          </w:tcPr>
          <w:p w14:paraId="76A6E995" w14:textId="77777777" w:rsidR="00AB70A3" w:rsidRDefault="00B56DB4">
            <w:pPr>
              <w:spacing w:after="0"/>
            </w:pPr>
            <w:r>
              <w:rPr>
                <w:rFonts w:ascii="Times New Roman" w:hAnsi="Times New Roman"/>
                <w:color w:val="1E293B"/>
                <w:sz w:val="19"/>
              </w:rPr>
              <w:t>Provides exact token frequency matching with term-saturation dampening, indispensable for precise statutory section lookups.</w:t>
            </w:r>
          </w:p>
        </w:tc>
      </w:tr>
      <w:tr w:rsidR="00AB70A3" w14:paraId="1A446C01" w14:textId="77777777">
        <w:trPr>
          <w:jc w:val="center"/>
        </w:trPr>
        <w:tc>
          <w:tcPr>
            <w:tcW w:w="2160" w:type="dxa"/>
            <w:shd w:val="clear" w:color="auto" w:fill="FFFFFF"/>
            <w:tcMar>
              <w:top w:w="90" w:type="dxa"/>
              <w:left w:w="120" w:type="dxa"/>
              <w:bottom w:w="90" w:type="dxa"/>
              <w:right w:w="120" w:type="dxa"/>
            </w:tcMar>
          </w:tcPr>
          <w:p w14:paraId="6C4E6818" w14:textId="77777777" w:rsidR="00AB70A3" w:rsidRDefault="00B56DB4">
            <w:pPr>
              <w:spacing w:after="0"/>
            </w:pPr>
            <w:r>
              <w:rPr>
                <w:rFonts w:ascii="Times New Roman" w:hAnsi="Times New Roman"/>
                <w:color w:val="1E293B"/>
                <w:sz w:val="19"/>
              </w:rPr>
              <w:t>Groq LPUs</w:t>
            </w:r>
          </w:p>
        </w:tc>
        <w:tc>
          <w:tcPr>
            <w:tcW w:w="2592" w:type="dxa"/>
            <w:shd w:val="clear" w:color="auto" w:fill="FFFFFF"/>
            <w:tcMar>
              <w:top w:w="90" w:type="dxa"/>
              <w:left w:w="120" w:type="dxa"/>
              <w:bottom w:w="90" w:type="dxa"/>
              <w:right w:w="120" w:type="dxa"/>
            </w:tcMar>
          </w:tcPr>
          <w:p w14:paraId="16FC4C65" w14:textId="77777777" w:rsidR="00AB70A3" w:rsidRDefault="00B56DB4">
            <w:pPr>
              <w:spacing w:after="0"/>
            </w:pPr>
            <w:r>
              <w:rPr>
                <w:rFonts w:ascii="Times New Roman" w:hAnsi="Times New Roman"/>
                <w:color w:val="1E293B"/>
                <w:sz w:val="19"/>
              </w:rPr>
              <w:t>Ultra-Fast Inference Infrastructure</w:t>
            </w:r>
          </w:p>
        </w:tc>
        <w:tc>
          <w:tcPr>
            <w:tcW w:w="5328" w:type="dxa"/>
            <w:shd w:val="clear" w:color="auto" w:fill="FFFFFF"/>
            <w:tcMar>
              <w:top w:w="90" w:type="dxa"/>
              <w:left w:w="120" w:type="dxa"/>
              <w:bottom w:w="90" w:type="dxa"/>
              <w:right w:w="120" w:type="dxa"/>
            </w:tcMar>
          </w:tcPr>
          <w:p w14:paraId="680B72EA" w14:textId="77777777" w:rsidR="00AB70A3" w:rsidRDefault="00B56DB4">
            <w:pPr>
              <w:spacing w:after="0"/>
            </w:pPr>
            <w:r>
              <w:rPr>
                <w:rFonts w:ascii="Times New Roman" w:hAnsi="Times New Roman"/>
                <w:color w:val="1E293B"/>
                <w:sz w:val="19"/>
              </w:rPr>
              <w:t>Language Processing Unit hardware delivering 300-800 tokens per second, enabling parallel multi-model execution in under 7s.</w:t>
            </w:r>
          </w:p>
        </w:tc>
      </w:tr>
      <w:tr w:rsidR="00AB70A3" w14:paraId="7004D7E0" w14:textId="77777777">
        <w:trPr>
          <w:jc w:val="center"/>
        </w:trPr>
        <w:tc>
          <w:tcPr>
            <w:tcW w:w="2160" w:type="dxa"/>
            <w:shd w:val="clear" w:color="auto" w:fill="F8FAFC"/>
            <w:tcMar>
              <w:top w:w="90" w:type="dxa"/>
              <w:left w:w="120" w:type="dxa"/>
              <w:bottom w:w="90" w:type="dxa"/>
              <w:right w:w="120" w:type="dxa"/>
            </w:tcMar>
          </w:tcPr>
          <w:p w14:paraId="4DF0128B" w14:textId="77777777" w:rsidR="00AB70A3" w:rsidRDefault="00B56DB4">
            <w:pPr>
              <w:spacing w:after="0"/>
            </w:pPr>
            <w:r>
              <w:rPr>
                <w:rFonts w:ascii="Times New Roman" w:hAnsi="Times New Roman"/>
                <w:color w:val="1E293B"/>
                <w:sz w:val="19"/>
              </w:rPr>
              <w:lastRenderedPageBreak/>
              <w:t>Vercel</w:t>
            </w:r>
          </w:p>
        </w:tc>
        <w:tc>
          <w:tcPr>
            <w:tcW w:w="2592" w:type="dxa"/>
            <w:shd w:val="clear" w:color="auto" w:fill="F8FAFC"/>
            <w:tcMar>
              <w:top w:w="90" w:type="dxa"/>
              <w:left w:w="120" w:type="dxa"/>
              <w:bottom w:w="90" w:type="dxa"/>
              <w:right w:w="120" w:type="dxa"/>
            </w:tcMar>
          </w:tcPr>
          <w:p w14:paraId="0E043079" w14:textId="77777777" w:rsidR="00AB70A3" w:rsidRDefault="00B56DB4">
            <w:pPr>
              <w:spacing w:after="0"/>
            </w:pPr>
            <w:r>
              <w:rPr>
                <w:rFonts w:ascii="Times New Roman" w:hAnsi="Times New Roman"/>
                <w:color w:val="1E293B"/>
                <w:sz w:val="19"/>
              </w:rPr>
              <w:t>Frontend Cloud Hosting</w:t>
            </w:r>
          </w:p>
        </w:tc>
        <w:tc>
          <w:tcPr>
            <w:tcW w:w="5328" w:type="dxa"/>
            <w:shd w:val="clear" w:color="auto" w:fill="F8FAFC"/>
            <w:tcMar>
              <w:top w:w="90" w:type="dxa"/>
              <w:left w:w="120" w:type="dxa"/>
              <w:bottom w:w="90" w:type="dxa"/>
              <w:right w:w="120" w:type="dxa"/>
            </w:tcMar>
          </w:tcPr>
          <w:p w14:paraId="51C43A7E" w14:textId="77777777" w:rsidR="00AB70A3" w:rsidRDefault="00B56DB4">
            <w:pPr>
              <w:spacing w:after="0"/>
            </w:pPr>
            <w:r>
              <w:rPr>
                <w:rFonts w:ascii="Times New Roman" w:hAnsi="Times New Roman"/>
                <w:color w:val="1E293B"/>
                <w:sz w:val="19"/>
              </w:rPr>
              <w:t>Global edge network providing atomic deployments, immutable build artifacts, and automatic SSL termination for the SPA.</w:t>
            </w:r>
          </w:p>
        </w:tc>
      </w:tr>
      <w:tr w:rsidR="00AB70A3" w14:paraId="37740251" w14:textId="77777777">
        <w:trPr>
          <w:jc w:val="center"/>
        </w:trPr>
        <w:tc>
          <w:tcPr>
            <w:tcW w:w="2160" w:type="dxa"/>
            <w:shd w:val="clear" w:color="auto" w:fill="FFFFFF"/>
            <w:tcMar>
              <w:top w:w="90" w:type="dxa"/>
              <w:left w:w="120" w:type="dxa"/>
              <w:bottom w:w="90" w:type="dxa"/>
              <w:right w:w="120" w:type="dxa"/>
            </w:tcMar>
          </w:tcPr>
          <w:p w14:paraId="04DA9FFE" w14:textId="77777777" w:rsidR="00AB70A3" w:rsidRDefault="00B56DB4">
            <w:pPr>
              <w:spacing w:after="0"/>
            </w:pPr>
            <w:r>
              <w:rPr>
                <w:rFonts w:ascii="Times New Roman" w:hAnsi="Times New Roman"/>
                <w:color w:val="1E293B"/>
                <w:sz w:val="19"/>
              </w:rPr>
              <w:t>Render</w:t>
            </w:r>
          </w:p>
        </w:tc>
        <w:tc>
          <w:tcPr>
            <w:tcW w:w="2592" w:type="dxa"/>
            <w:shd w:val="clear" w:color="auto" w:fill="FFFFFF"/>
            <w:tcMar>
              <w:top w:w="90" w:type="dxa"/>
              <w:left w:w="120" w:type="dxa"/>
              <w:bottom w:w="90" w:type="dxa"/>
              <w:right w:w="120" w:type="dxa"/>
            </w:tcMar>
          </w:tcPr>
          <w:p w14:paraId="5238913D" w14:textId="77777777" w:rsidR="00AB70A3" w:rsidRDefault="00B56DB4">
            <w:pPr>
              <w:spacing w:after="0"/>
            </w:pPr>
            <w:r>
              <w:rPr>
                <w:rFonts w:ascii="Times New Roman" w:hAnsi="Times New Roman"/>
                <w:color w:val="1E293B"/>
                <w:sz w:val="19"/>
              </w:rPr>
              <w:t>Backend Container Hosting</w:t>
            </w:r>
          </w:p>
        </w:tc>
        <w:tc>
          <w:tcPr>
            <w:tcW w:w="5328" w:type="dxa"/>
            <w:shd w:val="clear" w:color="auto" w:fill="FFFFFF"/>
            <w:tcMar>
              <w:top w:w="90" w:type="dxa"/>
              <w:left w:w="120" w:type="dxa"/>
              <w:bottom w:w="90" w:type="dxa"/>
              <w:right w:w="120" w:type="dxa"/>
            </w:tcMar>
          </w:tcPr>
          <w:p w14:paraId="5F28B351" w14:textId="77777777" w:rsidR="00AB70A3" w:rsidRDefault="00B56DB4">
            <w:pPr>
              <w:spacing w:after="0"/>
            </w:pPr>
            <w:r>
              <w:rPr>
                <w:rFonts w:ascii="Times New Roman" w:hAnsi="Times New Roman"/>
                <w:color w:val="1E293B"/>
                <w:sz w:val="19"/>
              </w:rPr>
              <w:t>Scalable cloud container environment supporting Docker multi-process execution, environment variable vaults, and health monitoring.</w:t>
            </w:r>
          </w:p>
        </w:tc>
      </w:tr>
    </w:tbl>
    <w:p w14:paraId="7889B9BC" w14:textId="77777777" w:rsidR="00AB70A3" w:rsidRDefault="00AB70A3">
      <w:pPr>
        <w:spacing w:after="120"/>
      </w:pPr>
    </w:p>
    <w:p w14:paraId="56A7591B" w14:textId="77777777" w:rsidR="00AB70A3" w:rsidRDefault="00B56DB4">
      <w:pPr>
        <w:keepNext/>
        <w:spacing w:before="200" w:after="80"/>
      </w:pPr>
      <w:r>
        <w:rPr>
          <w:rFonts w:ascii="Times New Roman" w:hAnsi="Times New Roman"/>
          <w:b/>
          <w:color w:val="0F172A"/>
          <w:sz w:val="24"/>
        </w:rPr>
        <w:t>2.3 Software Architecture Diagram</w:t>
      </w:r>
    </w:p>
    <w:p w14:paraId="6D124BBB" w14:textId="77777777" w:rsidR="00AB70A3" w:rsidRDefault="00B56DB4">
      <w:pPr>
        <w:spacing w:after="120"/>
        <w:jc w:val="both"/>
      </w:pPr>
      <w:r>
        <w:rPr>
          <w:rFonts w:ascii="Times New Roman" w:hAnsi="Times New Roman"/>
          <w:color w:val="1E293B"/>
        </w:rPr>
        <w:t>Figure 1 illustrates the overall system architecture of TrustForge, depicting the flow from client intake to browser automation, hybrid retrieval, concurrent inference, and cloud persistence.</w:t>
      </w:r>
    </w:p>
    <w:p w14:paraId="71F0267D" w14:textId="77777777" w:rsidR="00AB70A3" w:rsidRDefault="00B56DB4">
      <w:pPr>
        <w:keepNext/>
        <w:spacing w:before="120" w:after="40"/>
        <w:jc w:val="center"/>
      </w:pPr>
      <w:r>
        <w:rPr>
          <w:noProof/>
        </w:rPr>
        <w:drawing>
          <wp:inline distT="0" distB="0" distL="0" distR="0" wp14:anchorId="7AD0819E" wp14:editId="2C0988CE">
            <wp:extent cx="5669280" cy="3644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6"/>
                    <a:stretch>
                      <a:fillRect/>
                    </a:stretch>
                  </pic:blipFill>
                  <pic:spPr>
                    <a:xfrm>
                      <a:off x="0" y="0"/>
                      <a:ext cx="5669280" cy="3644537"/>
                    </a:xfrm>
                    <a:prstGeom prst="rect">
                      <a:avLst/>
                    </a:prstGeom>
                  </pic:spPr>
                </pic:pic>
              </a:graphicData>
            </a:graphic>
          </wp:inline>
        </w:drawing>
      </w:r>
    </w:p>
    <w:p w14:paraId="2501766F" w14:textId="77777777" w:rsidR="00AB70A3" w:rsidRDefault="00B56DB4">
      <w:pPr>
        <w:spacing w:before="40"/>
        <w:jc w:val="center"/>
      </w:pPr>
      <w:r>
        <w:rPr>
          <w:rFonts w:ascii="Times New Roman" w:hAnsi="Times New Roman"/>
          <w:b/>
          <w:color w:val="1F4E79"/>
          <w:sz w:val="20"/>
        </w:rPr>
        <w:t xml:space="preserve">Fig. 1. </w:t>
      </w:r>
      <w:r>
        <w:rPr>
          <w:rFonts w:ascii="Times New Roman" w:hAnsi="Times New Roman"/>
          <w:i/>
          <w:color w:val="334155"/>
          <w:sz w:val="20"/>
        </w:rPr>
        <w:t>TrustForge System Architecture — Three-tier architecture showing React SPA (Vercel), Express API Orchestrator (Render), Hybrid Statutory RAG, 10-LLM Gateway (Groq LPUs), and Supabase PostgreSQL Persistence.</w:t>
      </w:r>
    </w:p>
    <w:p w14:paraId="44293EE4" w14:textId="77777777" w:rsidR="00AB70A3" w:rsidRDefault="00B56DB4">
      <w:pPr>
        <w:keepNext/>
        <w:spacing w:before="200" w:after="80"/>
      </w:pPr>
      <w:r>
        <w:rPr>
          <w:rFonts w:ascii="Times New Roman" w:hAnsi="Times New Roman"/>
          <w:b/>
          <w:color w:val="0F172A"/>
          <w:sz w:val="24"/>
        </w:rPr>
        <w:t>2.4 Database Architecture and Schema Design</w:t>
      </w:r>
    </w:p>
    <w:p w14:paraId="7D5E7E00" w14:textId="77777777" w:rsidR="00AB70A3" w:rsidRDefault="00B56DB4">
      <w:pPr>
        <w:spacing w:after="120"/>
        <w:jc w:val="both"/>
      </w:pPr>
      <w:r>
        <w:rPr>
          <w:rFonts w:ascii="Times New Roman" w:hAnsi="Times New Roman"/>
          <w:color w:val="1E293B"/>
        </w:rPr>
        <w:t>The database schema in Supabase PostgreSQL is engineered to manage multi-tenant privacy assessments while supporting high-dimensional vector similarity operations. The schema consists of nine core relational tables:</w:t>
      </w:r>
    </w:p>
    <w:p w14:paraId="2D14C9A7" w14:textId="77777777" w:rsidR="00AB70A3" w:rsidRDefault="00B56DB4">
      <w:pPr>
        <w:pStyle w:val="ListBullet"/>
        <w:spacing w:after="60"/>
        <w:jc w:val="both"/>
      </w:pPr>
      <w:r>
        <w:rPr>
          <w:rFonts w:ascii="Times New Roman" w:hAnsi="Times New Roman"/>
          <w:b/>
          <w:color w:val="0F172A"/>
        </w:rPr>
        <w:t xml:space="preserve">organisations: </w:t>
      </w:r>
      <w:r>
        <w:rPr>
          <w:rFonts w:ascii="Times New Roman" w:hAnsi="Times New Roman"/>
          <w:color w:val="1E293B"/>
        </w:rPr>
        <w:t>Stores enterprise profiles, corporate identification numbers (CIN), GSTIN records, primary domains, and assigned Data Protection Officers.</w:t>
      </w:r>
    </w:p>
    <w:p w14:paraId="1188C4B1" w14:textId="77777777" w:rsidR="00AB70A3" w:rsidRDefault="00B56DB4">
      <w:pPr>
        <w:pStyle w:val="ListBullet"/>
        <w:spacing w:after="60"/>
        <w:jc w:val="both"/>
      </w:pPr>
      <w:r>
        <w:rPr>
          <w:rFonts w:ascii="Times New Roman" w:hAnsi="Times New Roman"/>
          <w:b/>
          <w:color w:val="0F172A"/>
        </w:rPr>
        <w:t xml:space="preserve">organisation_memberships: </w:t>
      </w:r>
      <w:r>
        <w:rPr>
          <w:rFonts w:ascii="Times New Roman" w:hAnsi="Times New Roman"/>
          <w:color w:val="1E293B"/>
        </w:rPr>
        <w:t>Associates authenticated users with organizations, defining role-based access permissions (Owner, DPO, Auditor).</w:t>
      </w:r>
    </w:p>
    <w:p w14:paraId="46EE768B" w14:textId="77777777" w:rsidR="00AB70A3" w:rsidRDefault="00B56DB4">
      <w:pPr>
        <w:pStyle w:val="ListBullet"/>
        <w:spacing w:after="60"/>
        <w:jc w:val="both"/>
      </w:pPr>
      <w:r>
        <w:rPr>
          <w:rFonts w:ascii="Times New Roman" w:hAnsi="Times New Roman"/>
          <w:b/>
          <w:color w:val="0F172A"/>
        </w:rPr>
        <w:t xml:space="preserve">assessments: </w:t>
      </w:r>
      <w:r>
        <w:rPr>
          <w:rFonts w:ascii="Times New Roman" w:hAnsi="Times New Roman"/>
          <w:color w:val="1E293B"/>
        </w:rPr>
        <w:t>Top-level assessment records containing target domain, overall Trust Score, posture ratings, progress states, and audit timestamps.</w:t>
      </w:r>
    </w:p>
    <w:p w14:paraId="45468DD5" w14:textId="77777777" w:rsidR="00AB70A3" w:rsidRDefault="00B56DB4">
      <w:pPr>
        <w:pStyle w:val="ListBullet"/>
        <w:spacing w:after="60"/>
        <w:jc w:val="both"/>
      </w:pPr>
      <w:r>
        <w:rPr>
          <w:rFonts w:ascii="Times New Roman" w:hAnsi="Times New Roman"/>
          <w:b/>
          <w:color w:val="0F172A"/>
        </w:rPr>
        <w:lastRenderedPageBreak/>
        <w:t xml:space="preserve">website_scans: </w:t>
      </w:r>
      <w:r>
        <w:rPr>
          <w:rFonts w:ascii="Times New Roman" w:hAnsi="Times New Roman"/>
          <w:color w:val="1E293B"/>
        </w:rPr>
        <w:t>Maintains raw Playwright crawl outputs, parsed DOM text trees, HTTP security headers, and extracted evidence checks.</w:t>
      </w:r>
    </w:p>
    <w:p w14:paraId="3EBC0E54" w14:textId="77777777" w:rsidR="00AB70A3" w:rsidRDefault="00B56DB4">
      <w:pPr>
        <w:pStyle w:val="ListBullet"/>
        <w:spacing w:after="60"/>
        <w:jc w:val="both"/>
      </w:pPr>
      <w:r>
        <w:rPr>
          <w:rFonts w:ascii="Times New Roman" w:hAnsi="Times New Roman"/>
          <w:b/>
          <w:color w:val="0F172A"/>
        </w:rPr>
        <w:t xml:space="preserve">statutory_chunks (or legal_chunks): </w:t>
      </w:r>
      <w:r>
        <w:rPr>
          <w:rFonts w:ascii="Times New Roman" w:hAnsi="Times New Roman"/>
          <w:color w:val="1E293B"/>
        </w:rPr>
        <w:t>Stores the 83-chunk authoritative legal corpus, complete with statutory section numbers, legal weight, chunk text, and 384-dimensional pgvector embeddings.</w:t>
      </w:r>
    </w:p>
    <w:p w14:paraId="4F7E8036" w14:textId="77777777" w:rsidR="00AB70A3" w:rsidRDefault="00B56DB4">
      <w:pPr>
        <w:pStyle w:val="ListBullet"/>
        <w:spacing w:after="60"/>
        <w:jc w:val="both"/>
      </w:pPr>
      <w:r>
        <w:rPr>
          <w:rFonts w:ascii="Times New Roman" w:hAnsi="Times New Roman"/>
          <w:b/>
          <w:color w:val="0F172A"/>
        </w:rPr>
        <w:t xml:space="preserve">legal_documents: </w:t>
      </w:r>
      <w:r>
        <w:rPr>
          <w:rFonts w:ascii="Times New Roman" w:hAnsi="Times New Roman"/>
          <w:color w:val="1E293B"/>
        </w:rPr>
        <w:t>Maintains parent metadata regarding statutory source documents, legal status, gazette year, and jurisdiction.</w:t>
      </w:r>
    </w:p>
    <w:p w14:paraId="43096D56" w14:textId="77777777" w:rsidR="00AB70A3" w:rsidRDefault="00B56DB4">
      <w:pPr>
        <w:pStyle w:val="ListBullet"/>
        <w:spacing w:after="60"/>
        <w:jc w:val="both"/>
      </w:pPr>
      <w:r>
        <w:rPr>
          <w:rFonts w:ascii="Times New Roman" w:hAnsi="Times New Roman"/>
          <w:b/>
          <w:color w:val="0F172A"/>
        </w:rPr>
        <w:t xml:space="preserve">risk_findings: </w:t>
      </w:r>
      <w:r>
        <w:rPr>
          <w:rFonts w:ascii="Times New Roman" w:hAnsi="Times New Roman"/>
          <w:color w:val="1E293B"/>
        </w:rPr>
        <w:t>Records prioritized legal non-compliance findings, statutory section links, severity ratings (High, Medium, Low), and concrete remediation steps.</w:t>
      </w:r>
    </w:p>
    <w:p w14:paraId="5BB44E4A" w14:textId="77777777" w:rsidR="00AB70A3" w:rsidRDefault="00B56DB4">
      <w:pPr>
        <w:pStyle w:val="ListBullet"/>
        <w:spacing w:after="60"/>
        <w:jc w:val="both"/>
      </w:pPr>
      <w:r>
        <w:rPr>
          <w:rFonts w:ascii="Times New Roman" w:hAnsi="Times New Roman"/>
          <w:b/>
          <w:color w:val="0F172A"/>
        </w:rPr>
        <w:t xml:space="preserve">trust_scores: </w:t>
      </w:r>
      <w:r>
        <w:rPr>
          <w:rFonts w:ascii="Times New Roman" w:hAnsi="Times New Roman"/>
          <w:color w:val="1E293B"/>
        </w:rPr>
        <w:t>Stores computed Trust Scores, pillar breakdowns, control scores, and evidence coverage percentages for each evaluated model.</w:t>
      </w:r>
    </w:p>
    <w:p w14:paraId="2F2C42C1" w14:textId="77777777" w:rsidR="00AB70A3" w:rsidRDefault="00B56DB4">
      <w:pPr>
        <w:pStyle w:val="ListBullet"/>
        <w:spacing w:after="60"/>
        <w:jc w:val="both"/>
      </w:pPr>
      <w:r>
        <w:rPr>
          <w:rFonts w:ascii="Times New Roman" w:hAnsi="Times New Roman"/>
          <w:b/>
          <w:color w:val="0F172A"/>
        </w:rPr>
        <w:t xml:space="preserve">benchmark_runs: </w:t>
      </w:r>
      <w:r>
        <w:rPr>
          <w:rFonts w:ascii="Times New Roman" w:hAnsi="Times New Roman"/>
          <w:color w:val="1E293B"/>
        </w:rPr>
        <w:t>Tracks multi-model execution sessions, shared context SHA-256 snapshot hashes, individual model inference statuses, latencies, and consensus outcomes.</w:t>
      </w:r>
    </w:p>
    <w:p w14:paraId="50099FBC" w14:textId="77777777" w:rsidR="00AB70A3" w:rsidRDefault="00B56DB4">
      <w:pPr>
        <w:keepNext/>
        <w:spacing w:before="120" w:after="40"/>
        <w:jc w:val="center"/>
      </w:pPr>
      <w:r>
        <w:rPr>
          <w:noProof/>
        </w:rPr>
        <w:drawing>
          <wp:inline distT="0" distB="0" distL="0" distR="0" wp14:anchorId="04D20ACD" wp14:editId="08F50449">
            <wp:extent cx="5486400" cy="3526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b_er.png"/>
                    <pic:cNvPicPr/>
                  </pic:nvPicPr>
                  <pic:blipFill>
                    <a:blip r:embed="rId7"/>
                    <a:stretch>
                      <a:fillRect/>
                    </a:stretch>
                  </pic:blipFill>
                  <pic:spPr>
                    <a:xfrm>
                      <a:off x="0" y="0"/>
                      <a:ext cx="5486400" cy="3526971"/>
                    </a:xfrm>
                    <a:prstGeom prst="rect">
                      <a:avLst/>
                    </a:prstGeom>
                  </pic:spPr>
                </pic:pic>
              </a:graphicData>
            </a:graphic>
          </wp:inline>
        </w:drawing>
      </w:r>
    </w:p>
    <w:p w14:paraId="1C41BCED" w14:textId="77777777" w:rsidR="00AB70A3" w:rsidRDefault="00B56DB4">
      <w:pPr>
        <w:spacing w:before="40"/>
        <w:jc w:val="center"/>
      </w:pPr>
      <w:r>
        <w:rPr>
          <w:rFonts w:ascii="Times New Roman" w:hAnsi="Times New Roman"/>
          <w:b/>
          <w:color w:val="1F4E79"/>
          <w:sz w:val="20"/>
        </w:rPr>
        <w:t xml:space="preserve">Fig. 2. </w:t>
      </w:r>
      <w:r>
        <w:rPr>
          <w:rFonts w:ascii="Times New Roman" w:hAnsi="Times New Roman"/>
          <w:i/>
          <w:color w:val="334155"/>
          <w:sz w:val="20"/>
        </w:rPr>
        <w:t>Database Architecture (Supabase PostgreSQL ER Diagram) — Relational schema showing organization multi-tenancy, assessment linkages, risk findings, benchmark runs, and pgvector statutory embeddings.</w:t>
      </w:r>
    </w:p>
    <w:p w14:paraId="20F98A78" w14:textId="77777777" w:rsidR="00AB70A3" w:rsidRDefault="00B56DB4">
      <w:pPr>
        <w:keepNext/>
        <w:spacing w:before="200" w:after="80"/>
      </w:pPr>
      <w:r>
        <w:rPr>
          <w:rFonts w:ascii="Times New Roman" w:hAnsi="Times New Roman"/>
          <w:b/>
          <w:color w:val="0F172A"/>
          <w:sz w:val="24"/>
        </w:rPr>
        <w:t>2.5 Security Architecture and Tenant Isolation</w:t>
      </w:r>
    </w:p>
    <w:p w14:paraId="2041E42E" w14:textId="77777777" w:rsidR="00AB70A3" w:rsidRDefault="00B56DB4">
      <w:pPr>
        <w:spacing w:after="120"/>
        <w:jc w:val="both"/>
      </w:pPr>
      <w:r>
        <w:rPr>
          <w:rFonts w:ascii="Times New Roman" w:hAnsi="Times New Roman"/>
          <w:color w:val="1E293B"/>
        </w:rPr>
        <w:t>A critical security challenge in cloud architectures is that backend services communicate with Supabase using privileged service-role credentials to execute complex relational joins and vector distance calculations. Because service-role keys bypass PostgreSQL Row-Level Security (RLS) policies, database-level SQL policies alone cannot guarantee tenant isolation. TrustForge implements multi-layered security:</w:t>
      </w:r>
    </w:p>
    <w:p w14:paraId="1ADB703C" w14:textId="77777777" w:rsidR="00AB70A3" w:rsidRDefault="00B56DB4">
      <w:pPr>
        <w:pStyle w:val="ListBullet"/>
        <w:spacing w:after="60"/>
        <w:jc w:val="both"/>
      </w:pPr>
      <w:r>
        <w:rPr>
          <w:rFonts w:ascii="Times New Roman" w:hAnsi="Times New Roman"/>
          <w:b/>
          <w:color w:val="0F172A"/>
        </w:rPr>
        <w:t xml:space="preserve">Server-Side API Authorization: </w:t>
      </w:r>
      <w:r>
        <w:rPr>
          <w:rFonts w:ascii="Times New Roman" w:hAnsi="Times New Roman"/>
          <w:color w:val="1E293B"/>
        </w:rPr>
        <w:t>Every private API route is intercepted by authMiddleware.ts, resolving user identity from bearer JWTs or signed session cookies. Unauthenticated requests are terminated immediately with HTTP 401 Unauthorized.</w:t>
      </w:r>
    </w:p>
    <w:p w14:paraId="6F6D7820" w14:textId="77777777" w:rsidR="00AB70A3" w:rsidRDefault="00B56DB4">
      <w:pPr>
        <w:pStyle w:val="ListBullet"/>
        <w:spacing w:after="60"/>
        <w:jc w:val="both"/>
      </w:pPr>
      <w:r>
        <w:rPr>
          <w:rFonts w:ascii="Times New Roman" w:hAnsi="Times New Roman"/>
          <w:b/>
          <w:color w:val="0F172A"/>
        </w:rPr>
        <w:t xml:space="preserve">IDOR and Cross-Tenant Defense: </w:t>
      </w:r>
      <w:r>
        <w:rPr>
          <w:rFonts w:ascii="Times New Roman" w:hAnsi="Times New Roman"/>
          <w:color w:val="1E293B"/>
        </w:rPr>
        <w:t xml:space="preserve">When retrieving assessments, findings, or PDF reports, the validateTenantAccess middleware retrieves the target record and verifies that its organisation_id </w:t>
      </w:r>
      <w:r>
        <w:rPr>
          <w:rFonts w:ascii="Times New Roman" w:hAnsi="Times New Roman"/>
          <w:color w:val="1E293B"/>
        </w:rPr>
        <w:lastRenderedPageBreak/>
        <w:t>matches the caller's verified identity. Cross-organization queries are blocked with HTTP 403 Forbidden (CROSS_ORGANISATION_ACCESS_DENIED), eliminating Insecure Direct Object Reference (IDOR) vulnerabilities.</w:t>
      </w:r>
    </w:p>
    <w:p w14:paraId="55A644A8" w14:textId="77777777" w:rsidR="00AB70A3" w:rsidRDefault="00B56DB4">
      <w:pPr>
        <w:pStyle w:val="ListBullet"/>
        <w:spacing w:after="60"/>
        <w:jc w:val="both"/>
      </w:pPr>
      <w:r>
        <w:rPr>
          <w:rFonts w:ascii="Times New Roman" w:hAnsi="Times New Roman"/>
          <w:b/>
          <w:color w:val="0F172A"/>
        </w:rPr>
        <w:t xml:space="preserve">Parameter Tampering Prevention: </w:t>
      </w:r>
      <w:r>
        <w:rPr>
          <w:rFonts w:ascii="Times New Roman" w:hAnsi="Times New Roman"/>
          <w:color w:val="1E293B"/>
        </w:rPr>
        <w:t>In POST /api/assessments, client-supplied organisation_id parameters in the JSON payload are explicitly overridden with the cryptographically verified session identity, preventing tenant impersonation.</w:t>
      </w:r>
    </w:p>
    <w:p w14:paraId="66A4C38F" w14:textId="77777777" w:rsidR="00AB70A3" w:rsidRDefault="00B56DB4">
      <w:pPr>
        <w:pStyle w:val="ListBullet"/>
        <w:spacing w:after="60"/>
        <w:jc w:val="both"/>
      </w:pPr>
      <w:r>
        <w:rPr>
          <w:rFonts w:ascii="Times New Roman" w:hAnsi="Times New Roman"/>
          <w:b/>
          <w:color w:val="0F172A"/>
        </w:rPr>
        <w:t xml:space="preserve">Secret Containment: </w:t>
      </w:r>
      <w:r>
        <w:rPr>
          <w:rFonts w:ascii="Times New Roman" w:hAnsi="Times New Roman"/>
          <w:color w:val="1E293B"/>
        </w:rPr>
        <w:t>API keys for Groq, OpenRouter, Sarvam, and Supabase service-role secrets exist strictly in backend server environment variables and are never bundled into client JavaScript.</w:t>
      </w:r>
    </w:p>
    <w:p w14:paraId="59EF3FAE" w14:textId="77777777" w:rsidR="00AB70A3" w:rsidRDefault="00B56DB4">
      <w:r>
        <w:br w:type="page"/>
      </w:r>
    </w:p>
    <w:p w14:paraId="4A6AE448" w14:textId="77777777" w:rsidR="00AB70A3" w:rsidRDefault="00B56DB4">
      <w:pPr>
        <w:keepNext/>
        <w:spacing w:before="240" w:after="240"/>
      </w:pPr>
      <w:r>
        <w:rPr>
          <w:rFonts w:ascii="Times New Roman" w:hAnsi="Times New Roman"/>
          <w:b/>
          <w:color w:val="1F4E79"/>
          <w:sz w:val="28"/>
        </w:rPr>
        <w:lastRenderedPageBreak/>
        <w:t>CHAPTER 3: COMPLETE SYSTEM WORKFLOW</w:t>
      </w:r>
    </w:p>
    <w:p w14:paraId="01C4717B" w14:textId="77777777" w:rsidR="00AB70A3" w:rsidRDefault="00B56DB4">
      <w:pPr>
        <w:spacing w:after="120"/>
        <w:jc w:val="both"/>
      </w:pPr>
      <w:r>
        <w:rPr>
          <w:rFonts w:ascii="Times New Roman" w:hAnsi="Times New Roman"/>
          <w:color w:val="1E293B"/>
        </w:rPr>
        <w:t>The operation of TrustForge follows a deterministic ten-step pipeline that transforms a target domain URL into an evidence-grounded, multi-LLM compliance report:</w:t>
      </w:r>
    </w:p>
    <w:p w14:paraId="68422E8F" w14:textId="77777777" w:rsidR="00AB70A3" w:rsidRDefault="00B56DB4">
      <w:pPr>
        <w:keepNext/>
        <w:spacing w:before="120" w:after="40"/>
        <w:jc w:val="center"/>
      </w:pPr>
      <w:r>
        <w:rPr>
          <w:noProof/>
        </w:rPr>
        <w:drawing>
          <wp:inline distT="0" distB="0" distL="0" distR="0" wp14:anchorId="3AB225A2" wp14:editId="5F5A8BC5">
            <wp:extent cx="5669280" cy="36445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8"/>
                    <a:stretch>
                      <a:fillRect/>
                    </a:stretch>
                  </pic:blipFill>
                  <pic:spPr>
                    <a:xfrm>
                      <a:off x="0" y="0"/>
                      <a:ext cx="5669280" cy="3644537"/>
                    </a:xfrm>
                    <a:prstGeom prst="rect">
                      <a:avLst/>
                    </a:prstGeom>
                  </pic:spPr>
                </pic:pic>
              </a:graphicData>
            </a:graphic>
          </wp:inline>
        </w:drawing>
      </w:r>
    </w:p>
    <w:p w14:paraId="4E010A9A" w14:textId="77777777" w:rsidR="00AB70A3" w:rsidRDefault="00B56DB4">
      <w:pPr>
        <w:spacing w:before="40"/>
        <w:jc w:val="center"/>
      </w:pPr>
      <w:r>
        <w:rPr>
          <w:rFonts w:ascii="Times New Roman" w:hAnsi="Times New Roman"/>
          <w:b/>
          <w:color w:val="1F4E79"/>
          <w:sz w:val="20"/>
        </w:rPr>
        <w:t xml:space="preserve">Fig. 3. </w:t>
      </w:r>
      <w:r>
        <w:rPr>
          <w:rFonts w:ascii="Times New Roman" w:hAnsi="Times New Roman"/>
          <w:i/>
          <w:color w:val="334155"/>
          <w:sz w:val="20"/>
        </w:rPr>
        <w:t>Complete 10-Step Assessment Workflow — Step-by-step pipeline from URL intake and browser crawling to hybrid retrieval, parallel LLM inference, consensus synthesis, and PDF generation.</w:t>
      </w:r>
    </w:p>
    <w:p w14:paraId="1900A0F2" w14:textId="77777777" w:rsidR="00AB70A3" w:rsidRDefault="00B56DB4">
      <w:pPr>
        <w:keepNext/>
        <w:spacing w:before="160" w:after="40"/>
      </w:pPr>
      <w:r>
        <w:rPr>
          <w:rFonts w:ascii="Times New Roman" w:hAnsi="Times New Roman"/>
          <w:b/>
          <w:color w:val="0F172A"/>
          <w:sz w:val="23"/>
        </w:rPr>
        <w:t>3.1 Website URL Submission &amp; SSRF Defense</w:t>
      </w:r>
    </w:p>
    <w:p w14:paraId="482B2613" w14:textId="77777777" w:rsidR="00AB70A3" w:rsidRDefault="00B56DB4">
      <w:pPr>
        <w:spacing w:after="120"/>
        <w:jc w:val="both"/>
      </w:pPr>
      <w:r>
        <w:rPr>
          <w:rFonts w:ascii="Times New Roman" w:hAnsi="Times New Roman"/>
          <w:color w:val="1E293B"/>
        </w:rPr>
        <w:t>What it is: The entry point where an auditor submits a target web domain.</w:t>
      </w:r>
      <w:r>
        <w:rPr>
          <w:rFonts w:ascii="Times New Roman" w:hAnsi="Times New Roman"/>
          <w:color w:val="1E293B"/>
        </w:rPr>
        <w:br/>
      </w:r>
      <w:r>
        <w:rPr>
          <w:rFonts w:ascii="Times New Roman" w:hAnsi="Times New Roman"/>
          <w:color w:val="1E293B"/>
        </w:rPr>
        <w:t>Why TrustForge needs it: Validates target syntax and prevents Server-Side Request Forgery (SSRF) attacks.</w:t>
      </w:r>
      <w:r>
        <w:rPr>
          <w:rFonts w:ascii="Times New Roman" w:hAnsi="Times New Roman"/>
          <w:color w:val="1E293B"/>
        </w:rPr>
        <w:br/>
        <w:t>How it works: The backend validates URL protocol (HTTP/HTTPS), resolves domain DNS, and rejects IP addresses resolving to internal loopback or private subnets (127.0.0.1, 10.0.0.0/8, 192.168.0.0/16).</w:t>
      </w:r>
      <w:r>
        <w:rPr>
          <w:rFonts w:ascii="Times New Roman" w:hAnsi="Times New Roman"/>
          <w:color w:val="1E293B"/>
        </w:rPr>
        <w:br/>
        <w:t>Input: Target URL string.</w:t>
      </w:r>
      <w:r>
        <w:rPr>
          <w:rFonts w:ascii="Times New Roman" w:hAnsi="Times New Roman"/>
          <w:color w:val="1E293B"/>
        </w:rPr>
        <w:br/>
        <w:t>Processing: Regex validation, DNS lookup, subnet boundary check.</w:t>
      </w:r>
      <w:r>
        <w:rPr>
          <w:rFonts w:ascii="Times New Roman" w:hAnsi="Times New Roman"/>
          <w:color w:val="1E293B"/>
        </w:rPr>
        <w:br/>
        <w:t>Output: Sanitized target domain record.</w:t>
      </w:r>
      <w:r>
        <w:rPr>
          <w:rFonts w:ascii="Times New Roman" w:hAnsi="Times New Roman"/>
          <w:color w:val="1E293B"/>
        </w:rPr>
        <w:br/>
      </w:r>
      <w:r>
        <w:rPr>
          <w:rFonts w:ascii="Times New Roman" w:hAnsi="Times New Roman"/>
          <w:color w:val="1E293B"/>
        </w:rPr>
        <w:t>Simple example: Submitting 'https://technova.in' succeeds; submitting 'http://127.0.0.1:8000' is blocked.</w:t>
      </w:r>
      <w:r>
        <w:rPr>
          <w:rFonts w:ascii="Times New Roman" w:hAnsi="Times New Roman"/>
          <w:color w:val="1E293B"/>
        </w:rPr>
        <w:br/>
        <w:t>Connection: Passes validated domain to the Playwright Crawler.</w:t>
      </w:r>
    </w:p>
    <w:p w14:paraId="3A608FA7" w14:textId="77777777" w:rsidR="00AB70A3" w:rsidRDefault="00B56DB4">
      <w:pPr>
        <w:keepNext/>
        <w:spacing w:before="160" w:after="40"/>
      </w:pPr>
      <w:r>
        <w:rPr>
          <w:rFonts w:ascii="Times New Roman" w:hAnsi="Times New Roman"/>
          <w:b/>
          <w:color w:val="0F172A"/>
          <w:sz w:val="23"/>
        </w:rPr>
        <w:t>3.2 Web Crawling &amp; Robots.txt Inspection</w:t>
      </w:r>
    </w:p>
    <w:p w14:paraId="2573D0F6" w14:textId="77777777" w:rsidR="00AB70A3" w:rsidRDefault="00B56DB4">
      <w:pPr>
        <w:spacing w:after="120"/>
        <w:jc w:val="both"/>
      </w:pPr>
      <w:r>
        <w:rPr>
          <w:rFonts w:ascii="Times New Roman" w:hAnsi="Times New Roman"/>
          <w:color w:val="1E293B"/>
        </w:rPr>
        <w:t>What it is: Automated browser inspection of public digital assets.</w:t>
      </w:r>
      <w:r>
        <w:rPr>
          <w:rFonts w:ascii="Times New Roman" w:hAnsi="Times New Roman"/>
          <w:color w:val="1E293B"/>
        </w:rPr>
        <w:br/>
        <w:t>Why TrustForge needs it: Replaces manual copy-pasting of privacy policies with empirical data collection.</w:t>
      </w:r>
      <w:r>
        <w:rPr>
          <w:rFonts w:ascii="Times New Roman" w:hAnsi="Times New Roman"/>
          <w:color w:val="1E293B"/>
        </w:rPr>
        <w:br/>
      </w:r>
      <w:r>
        <w:rPr>
          <w:rFonts w:ascii="Times New Roman" w:hAnsi="Times New Roman"/>
          <w:color w:val="1E293B"/>
        </w:rPr>
        <w:t>How it works: Headless Playwright Chromium loads the target domain, parses robots.txt for crawling permissions, captures DOM text trees, and extracts HTTP security response headers.</w:t>
      </w:r>
      <w:r>
        <w:rPr>
          <w:rFonts w:ascii="Times New Roman" w:hAnsi="Times New Roman"/>
          <w:color w:val="1E293B"/>
        </w:rPr>
        <w:br/>
        <w:t>Input: Sanitized domain.</w:t>
      </w:r>
      <w:r>
        <w:rPr>
          <w:rFonts w:ascii="Times New Roman" w:hAnsi="Times New Roman"/>
          <w:color w:val="1E293B"/>
        </w:rPr>
        <w:br/>
      </w:r>
      <w:r>
        <w:rPr>
          <w:rFonts w:ascii="Times New Roman" w:hAnsi="Times New Roman"/>
          <w:color w:val="1E293B"/>
        </w:rPr>
        <w:lastRenderedPageBreak/>
        <w:t>Processing: Browser DOM rendering, cookie modal interaction, header parsing.</w:t>
      </w:r>
      <w:r>
        <w:rPr>
          <w:rFonts w:ascii="Times New Roman" w:hAnsi="Times New Roman"/>
          <w:color w:val="1E293B"/>
        </w:rPr>
        <w:br/>
        <w:t>Output: Raw HTML text, script inventories, and security headers.</w:t>
      </w:r>
      <w:r>
        <w:rPr>
          <w:rFonts w:ascii="Times New Roman" w:hAnsi="Times New Roman"/>
          <w:color w:val="1E293B"/>
        </w:rPr>
        <w:br/>
        <w:t>Simple example: Crawling /privacy-policy extracts 4,500 words of legal policy text and identifies Google Analytics cookies.</w:t>
      </w:r>
      <w:r>
        <w:rPr>
          <w:rFonts w:ascii="Times New Roman" w:hAnsi="Times New Roman"/>
          <w:color w:val="1E293B"/>
        </w:rPr>
        <w:br/>
      </w:r>
      <w:r>
        <w:rPr>
          <w:rFonts w:ascii="Times New Roman" w:hAnsi="Times New Roman"/>
          <w:color w:val="1E293B"/>
        </w:rPr>
        <w:t>Connection: Feeds raw text into the Evidence Normalization module.</w:t>
      </w:r>
    </w:p>
    <w:p w14:paraId="6724384B" w14:textId="77777777" w:rsidR="00AB70A3" w:rsidRDefault="00B56DB4">
      <w:pPr>
        <w:keepNext/>
        <w:spacing w:before="160" w:after="40"/>
      </w:pPr>
      <w:r>
        <w:rPr>
          <w:rFonts w:ascii="Times New Roman" w:hAnsi="Times New Roman"/>
          <w:b/>
          <w:color w:val="0F172A"/>
          <w:sz w:val="23"/>
        </w:rPr>
        <w:t>3.3 Evidence Normalization</w:t>
      </w:r>
    </w:p>
    <w:p w14:paraId="739087A9" w14:textId="77777777" w:rsidR="00AB70A3" w:rsidRDefault="00B56DB4">
      <w:pPr>
        <w:spacing w:after="120"/>
        <w:jc w:val="both"/>
      </w:pPr>
      <w:r>
        <w:rPr>
          <w:rFonts w:ascii="Times New Roman" w:hAnsi="Times New Roman"/>
          <w:color w:val="1E293B"/>
        </w:rPr>
        <w:t>What it is: A parsing engine that converts raw DOM trees into standardized compliance indicators.</w:t>
      </w:r>
      <w:r>
        <w:rPr>
          <w:rFonts w:ascii="Times New Roman" w:hAnsi="Times New Roman"/>
          <w:color w:val="1E293B"/>
        </w:rPr>
        <w:br/>
        <w:t>Why TrustForge needs it: Raw HTML is noisy and exceeds LLM context windows; structured indicators enable deterministic mapping.</w:t>
      </w:r>
      <w:r>
        <w:rPr>
          <w:rFonts w:ascii="Times New Roman" w:hAnsi="Times New Roman"/>
          <w:color w:val="1E293B"/>
        </w:rPr>
        <w:br/>
      </w:r>
      <w:r>
        <w:rPr>
          <w:rFonts w:ascii="Times New Roman" w:hAnsi="Times New Roman"/>
          <w:color w:val="1E293B"/>
        </w:rPr>
        <w:t>How it works: Normalizes artifacts into 8 standardized checks: Privacy Notice Existence, Notice Itemisation, Cookie Consent Mechanism, Rights Disclosures, DPO Contact, Data Retention, SSL/Security, and Children's Governance.</w:t>
      </w:r>
      <w:r>
        <w:rPr>
          <w:rFonts w:ascii="Times New Roman" w:hAnsi="Times New Roman"/>
          <w:color w:val="1E293B"/>
        </w:rPr>
        <w:br/>
        <w:t>Input: Raw DOM trees and headers.</w:t>
      </w:r>
      <w:r>
        <w:rPr>
          <w:rFonts w:ascii="Times New Roman" w:hAnsi="Times New Roman"/>
          <w:color w:val="1E293B"/>
        </w:rPr>
        <w:br/>
        <w:t>Processing: Regular expression pattern extraction, cookie classification, header key lookup.</w:t>
      </w:r>
      <w:r>
        <w:rPr>
          <w:rFonts w:ascii="Times New Roman" w:hAnsi="Times New Roman"/>
          <w:color w:val="1E293B"/>
        </w:rPr>
        <w:br/>
        <w:t>Output: 8 structured evidence items with boolean status and supporting text snippets.</w:t>
      </w:r>
      <w:r>
        <w:rPr>
          <w:rFonts w:ascii="Times New Roman" w:hAnsi="Times New Roman"/>
          <w:color w:val="1E293B"/>
        </w:rPr>
        <w:br/>
      </w:r>
      <w:r>
        <w:rPr>
          <w:rFonts w:ascii="Times New Roman" w:hAnsi="Times New Roman"/>
          <w:color w:val="1E293B"/>
        </w:rPr>
        <w:t>Simple example: Finding an email address next to 'Grievance Officer' normalizes to DPO_CONTACT_PRESENT = true.</w:t>
      </w:r>
      <w:r>
        <w:rPr>
          <w:rFonts w:ascii="Times New Roman" w:hAnsi="Times New Roman"/>
          <w:color w:val="1E293B"/>
        </w:rPr>
        <w:br/>
        <w:t>Connection: Supplies empirical evidence to the 20 Canonical Controls Mapping.</w:t>
      </w:r>
    </w:p>
    <w:p w14:paraId="0AB14640" w14:textId="77777777" w:rsidR="00AB70A3" w:rsidRDefault="00B56DB4">
      <w:pPr>
        <w:keepNext/>
        <w:spacing w:before="160" w:after="40"/>
      </w:pPr>
      <w:r>
        <w:rPr>
          <w:rFonts w:ascii="Times New Roman" w:hAnsi="Times New Roman"/>
          <w:b/>
          <w:color w:val="0F172A"/>
          <w:sz w:val="23"/>
        </w:rPr>
        <w:t>3.4 Mapping to 20 Canonical DPDP Controls</w:t>
      </w:r>
    </w:p>
    <w:p w14:paraId="4DE0AF6F" w14:textId="77777777" w:rsidR="00AB70A3" w:rsidRDefault="00B56DB4">
      <w:pPr>
        <w:spacing w:after="120"/>
        <w:jc w:val="both"/>
      </w:pPr>
      <w:r>
        <w:rPr>
          <w:rFonts w:ascii="Times New Roman" w:hAnsi="Times New Roman"/>
          <w:color w:val="1E293B"/>
        </w:rPr>
        <w:t>What it is: A taxonomy linking empirical evidence to specific statutory requirements.</w:t>
      </w:r>
      <w:r>
        <w:rPr>
          <w:rFonts w:ascii="Times New Roman" w:hAnsi="Times New Roman"/>
          <w:color w:val="1E293B"/>
        </w:rPr>
        <w:br/>
        <w:t>Why TrustForge needs it: Bridges technical web artifacts with the legal structure of the DPDP Act.</w:t>
      </w:r>
      <w:r>
        <w:rPr>
          <w:rFonts w:ascii="Times New Roman" w:hAnsi="Times New Roman"/>
          <w:color w:val="1E293B"/>
        </w:rPr>
        <w:br/>
      </w:r>
      <w:r>
        <w:rPr>
          <w:rFonts w:ascii="Times New Roman" w:hAnsi="Times New Roman"/>
          <w:color w:val="1E293B"/>
        </w:rPr>
        <w:t>How it works: Controls are categorized under 6 pillars: Privacy Architecture (5), Security Safeguards (4), Transparency &amp; Notice (2), Governance (3), Lifecycle (3), and Rights (3).</w:t>
      </w:r>
      <w:r>
        <w:rPr>
          <w:rFonts w:ascii="Times New Roman" w:hAnsi="Times New Roman"/>
          <w:color w:val="1E293B"/>
        </w:rPr>
        <w:br/>
        <w:t>Input: 8 normalized evidence items.</w:t>
      </w:r>
      <w:r>
        <w:rPr>
          <w:rFonts w:ascii="Times New Roman" w:hAnsi="Times New Roman"/>
          <w:color w:val="1E293B"/>
        </w:rPr>
        <w:br/>
        <w:t>Processing: Deterministic rule-based association matching evidence to statutory obligations.</w:t>
      </w:r>
      <w:r>
        <w:rPr>
          <w:rFonts w:ascii="Times New Roman" w:hAnsi="Times New Roman"/>
          <w:color w:val="1E293B"/>
        </w:rPr>
        <w:br/>
        <w:t>Output: 20 discrete audit query payloads.</w:t>
      </w:r>
      <w:r>
        <w:rPr>
          <w:rFonts w:ascii="Times New Roman" w:hAnsi="Times New Roman"/>
          <w:color w:val="1E293B"/>
        </w:rPr>
        <w:br/>
        <w:t>Simple example: Lack of cookie consent maps to control TF-PRIV-003 (Affirmative Consent Mechanism).</w:t>
      </w:r>
      <w:r>
        <w:rPr>
          <w:rFonts w:ascii="Times New Roman" w:hAnsi="Times New Roman"/>
          <w:color w:val="1E293B"/>
        </w:rPr>
        <w:br/>
      </w:r>
      <w:r>
        <w:rPr>
          <w:rFonts w:ascii="Times New Roman" w:hAnsi="Times New Roman"/>
          <w:color w:val="1E293B"/>
        </w:rPr>
        <w:t>Connection: Dispatches audit queries to the Hybrid Statutory RAG module.</w:t>
      </w:r>
    </w:p>
    <w:p w14:paraId="3FB71947" w14:textId="77777777" w:rsidR="00AB70A3" w:rsidRDefault="00B56DB4">
      <w:pPr>
        <w:keepNext/>
        <w:spacing w:before="160" w:after="40"/>
      </w:pPr>
      <w:r>
        <w:rPr>
          <w:rFonts w:ascii="Times New Roman" w:hAnsi="Times New Roman"/>
          <w:b/>
          <w:color w:val="0F172A"/>
          <w:sz w:val="23"/>
        </w:rPr>
        <w:t>3.5 Hybrid Statutory RAG Retrieval</w:t>
      </w:r>
    </w:p>
    <w:p w14:paraId="6E519E78" w14:textId="77777777" w:rsidR="00AB70A3" w:rsidRDefault="00B56DB4">
      <w:pPr>
        <w:spacing w:after="120"/>
        <w:jc w:val="both"/>
      </w:pPr>
      <w:r>
        <w:rPr>
          <w:rFonts w:ascii="Times New Roman" w:hAnsi="Times New Roman"/>
          <w:color w:val="1E293B"/>
        </w:rPr>
        <w:t>What it is: A dual-path retrieval pipeline pairing lexical and dense vector search.</w:t>
      </w:r>
      <w:r>
        <w:rPr>
          <w:rFonts w:ascii="Times New Roman" w:hAnsi="Times New Roman"/>
          <w:color w:val="1E293B"/>
        </w:rPr>
        <w:br/>
        <w:t>Why TrustForge needs it: Eliminates hallucinated statutory sections and retrieves precise legal text.</w:t>
      </w:r>
      <w:r>
        <w:rPr>
          <w:rFonts w:ascii="Times New Roman" w:hAnsi="Times New Roman"/>
          <w:color w:val="1E293B"/>
        </w:rPr>
        <w:br/>
      </w:r>
      <w:r>
        <w:rPr>
          <w:rFonts w:ascii="Times New Roman" w:hAnsi="Times New Roman"/>
          <w:color w:val="1E293B"/>
        </w:rPr>
        <w:t>How it works: Executes BM25 lexical search with section designation boosting (2.5x) and pgvector dense cosine search (all-MiniLM-L6-v2, 384d). Merges ranks via Reciprocal Rank Fusion (k=60) with a 0.35x dampening penalty on penalty schedules (Sections 40/44).</w:t>
      </w:r>
      <w:r>
        <w:rPr>
          <w:rFonts w:ascii="Times New Roman" w:hAnsi="Times New Roman"/>
          <w:color w:val="1E293B"/>
        </w:rPr>
        <w:br/>
        <w:t>Input: Control audit query.</w:t>
      </w:r>
      <w:r>
        <w:rPr>
          <w:rFonts w:ascii="Times New Roman" w:hAnsi="Times New Roman"/>
          <w:color w:val="1E293B"/>
        </w:rPr>
        <w:br/>
        <w:t>Processing: BM25 inverted index lookup, embedding generation, pgvector cosine join, RRF aggregation.</w:t>
      </w:r>
      <w:r>
        <w:rPr>
          <w:rFonts w:ascii="Times New Roman" w:hAnsi="Times New Roman"/>
          <w:color w:val="1E293B"/>
        </w:rPr>
        <w:br/>
        <w:t>Output: Top-5 authoritative statutory chunks.</w:t>
      </w:r>
      <w:r>
        <w:rPr>
          <w:rFonts w:ascii="Times New Roman" w:hAnsi="Times New Roman"/>
          <w:color w:val="1E293B"/>
        </w:rPr>
        <w:br/>
      </w:r>
      <w:r>
        <w:rPr>
          <w:rFonts w:ascii="Times New Roman" w:hAnsi="Times New Roman"/>
          <w:color w:val="1E293B"/>
        </w:rPr>
        <w:t>Simple example: Querying 'privacy notice itemisation' returns DPDP Act Section 5(1) as Top-1.</w:t>
      </w:r>
      <w:r>
        <w:rPr>
          <w:rFonts w:ascii="Times New Roman" w:hAnsi="Times New Roman"/>
          <w:color w:val="1E293B"/>
        </w:rPr>
        <w:br/>
        <w:t>Connection: Combines legal chunks with evidence text to create the frozen LLM evaluation prompt.</w:t>
      </w:r>
    </w:p>
    <w:p w14:paraId="4C394E17" w14:textId="77777777" w:rsidR="00AB70A3" w:rsidRDefault="00B56DB4">
      <w:pPr>
        <w:keepNext/>
        <w:spacing w:before="160" w:after="40"/>
      </w:pPr>
      <w:r>
        <w:rPr>
          <w:rFonts w:ascii="Times New Roman" w:hAnsi="Times New Roman"/>
          <w:b/>
          <w:color w:val="0F172A"/>
          <w:sz w:val="23"/>
        </w:rPr>
        <w:t>3.6 Context Freezing &amp; Parallel LLM Inference</w:t>
      </w:r>
    </w:p>
    <w:p w14:paraId="4D75A2CB" w14:textId="77777777" w:rsidR="00AB70A3" w:rsidRDefault="00B56DB4">
      <w:pPr>
        <w:spacing w:after="120"/>
        <w:jc w:val="both"/>
      </w:pPr>
      <w:r>
        <w:rPr>
          <w:rFonts w:ascii="Times New Roman" w:hAnsi="Times New Roman"/>
          <w:color w:val="1E293B"/>
        </w:rPr>
        <w:t>What it is: A concurrent multi-model inference gateway executing across candidate LLMs.</w:t>
      </w:r>
      <w:r>
        <w:rPr>
          <w:rFonts w:ascii="Times New Roman" w:hAnsi="Times New Roman"/>
          <w:color w:val="1E293B"/>
        </w:rPr>
        <w:br/>
        <w:t>Why TrustForge needs it: Compares multiple AI architectures simultaneously while ensuring identical inputs.</w:t>
      </w:r>
      <w:r>
        <w:rPr>
          <w:rFonts w:ascii="Times New Roman" w:hAnsi="Times New Roman"/>
          <w:color w:val="1E293B"/>
        </w:rPr>
        <w:br/>
      </w:r>
      <w:r>
        <w:rPr>
          <w:rFonts w:ascii="Times New Roman" w:hAnsi="Times New Roman"/>
          <w:color w:val="1E293B"/>
        </w:rPr>
        <w:lastRenderedPageBreak/>
        <w:t>How it works: Computes a SHA-256 snapshot hash of the combined evidence and legal context. Concurrently dispatches requests across active models via Promise.allSettled on Groq LPUs.</w:t>
      </w:r>
      <w:r>
        <w:rPr>
          <w:rFonts w:ascii="Times New Roman" w:hAnsi="Times New Roman"/>
          <w:color w:val="1E293B"/>
        </w:rPr>
        <w:br/>
        <w:t>Input: Frozen prompt context and SHA-256 hash.</w:t>
      </w:r>
      <w:r>
        <w:rPr>
          <w:rFonts w:ascii="Times New Roman" w:hAnsi="Times New Roman"/>
          <w:color w:val="1E293B"/>
        </w:rPr>
        <w:br/>
        <w:t>Processing: Concurrent HTTP dispatch, LPU hardware acceleration, timeout/error boundary isolation.</w:t>
      </w:r>
      <w:r>
        <w:rPr>
          <w:rFonts w:ascii="Times New Roman" w:hAnsi="Times New Roman"/>
          <w:color w:val="1E293B"/>
        </w:rPr>
        <w:br/>
        <w:t>Output: Candidate findings from each model.</w:t>
      </w:r>
      <w:r>
        <w:rPr>
          <w:rFonts w:ascii="Times New Roman" w:hAnsi="Times New Roman"/>
          <w:color w:val="1E293B"/>
        </w:rPr>
        <w:br/>
        <w:t>Simple example: M01, M02, and M03 evaluate the same prompt simultaneously in under 7 seconds.</w:t>
      </w:r>
      <w:r>
        <w:rPr>
          <w:rFonts w:ascii="Times New Roman" w:hAnsi="Times New Roman"/>
          <w:color w:val="1E293B"/>
        </w:rPr>
        <w:br/>
      </w:r>
      <w:r>
        <w:rPr>
          <w:rFonts w:ascii="Times New Roman" w:hAnsi="Times New Roman"/>
          <w:color w:val="1E293B"/>
        </w:rPr>
        <w:t>Connection: Forwards candidate findings to the Grounding Validator.</w:t>
      </w:r>
    </w:p>
    <w:p w14:paraId="34F328CD" w14:textId="77777777" w:rsidR="00AB70A3" w:rsidRDefault="00B56DB4">
      <w:pPr>
        <w:keepNext/>
        <w:spacing w:before="160" w:after="40"/>
      </w:pPr>
      <w:r>
        <w:rPr>
          <w:rFonts w:ascii="Times New Roman" w:hAnsi="Times New Roman"/>
          <w:b/>
          <w:color w:val="0F172A"/>
          <w:sz w:val="23"/>
        </w:rPr>
        <w:t>3.7 Grounding Validation</w:t>
      </w:r>
    </w:p>
    <w:p w14:paraId="6F711F41" w14:textId="77777777" w:rsidR="00AB70A3" w:rsidRDefault="00B56DB4">
      <w:pPr>
        <w:spacing w:after="120"/>
        <w:jc w:val="both"/>
      </w:pPr>
      <w:r>
        <w:rPr>
          <w:rFonts w:ascii="Times New Roman" w:hAnsi="Times New Roman"/>
          <w:color w:val="1E293B"/>
        </w:rPr>
        <w:t>What it is: An anti-hallucination verification engine.</w:t>
      </w:r>
      <w:r>
        <w:rPr>
          <w:rFonts w:ascii="Times New Roman" w:hAnsi="Times New Roman"/>
          <w:color w:val="1E293B"/>
        </w:rPr>
        <w:br/>
        <w:t>Why TrustForge needs it: Prevents AI models from inventing statutory provisions or citing foreign laws.</w:t>
      </w:r>
      <w:r>
        <w:rPr>
          <w:rFonts w:ascii="Times New Roman" w:hAnsi="Times New Roman"/>
          <w:color w:val="1E293B"/>
        </w:rPr>
        <w:br/>
        <w:t>How it works: Inspects legal citations in each model's output, checking whether the cited section exists in the retrieved top-5 statutory chunks. Foreign laws (e.g. GDPR Art 6) are flagged and excluded.</w:t>
      </w:r>
      <w:r>
        <w:rPr>
          <w:rFonts w:ascii="Times New Roman" w:hAnsi="Times New Roman"/>
          <w:color w:val="1E293B"/>
        </w:rPr>
        <w:br/>
        <w:t>Input: Candidate findings with citations.</w:t>
      </w:r>
      <w:r>
        <w:rPr>
          <w:rFonts w:ascii="Times New Roman" w:hAnsi="Times New Roman"/>
          <w:color w:val="1E293B"/>
        </w:rPr>
        <w:br/>
      </w:r>
      <w:r>
        <w:rPr>
          <w:rFonts w:ascii="Times New Roman" w:hAnsi="Times New Roman"/>
          <w:color w:val="1E293B"/>
        </w:rPr>
        <w:t>Processing: Set intersection against retrieved chunk sections, string matching.</w:t>
      </w:r>
      <w:r>
        <w:rPr>
          <w:rFonts w:ascii="Times New Roman" w:hAnsi="Times New Roman"/>
          <w:color w:val="1E293B"/>
        </w:rPr>
        <w:br/>
        <w:t>Output: Grounded findings and per-model grounding coverage percentage.</w:t>
      </w:r>
      <w:r>
        <w:rPr>
          <w:rFonts w:ascii="Times New Roman" w:hAnsi="Times New Roman"/>
          <w:color w:val="1E293B"/>
        </w:rPr>
        <w:br/>
        <w:t>Simple example: A finding citing 'Section 5(1)' passes; a finding citing 'GDPR Article 13' is rejected.</w:t>
      </w:r>
      <w:r>
        <w:rPr>
          <w:rFonts w:ascii="Times New Roman" w:hAnsi="Times New Roman"/>
          <w:color w:val="1E293B"/>
        </w:rPr>
        <w:br/>
        <w:t>Connection: Supplies verified findings to the Top-3 Majority Voting Consensus.</w:t>
      </w:r>
    </w:p>
    <w:p w14:paraId="61C8F832" w14:textId="77777777" w:rsidR="00AB70A3" w:rsidRDefault="00B56DB4">
      <w:pPr>
        <w:keepNext/>
        <w:spacing w:before="160" w:after="40"/>
      </w:pPr>
      <w:r>
        <w:rPr>
          <w:rFonts w:ascii="Times New Roman" w:hAnsi="Times New Roman"/>
          <w:b/>
          <w:color w:val="0F172A"/>
          <w:sz w:val="23"/>
        </w:rPr>
        <w:t>3.8 Top-3 Majority Voting Consensus</w:t>
      </w:r>
    </w:p>
    <w:p w14:paraId="75E69278" w14:textId="77777777" w:rsidR="00AB70A3" w:rsidRDefault="00B56DB4">
      <w:pPr>
        <w:spacing w:after="120"/>
        <w:jc w:val="both"/>
      </w:pPr>
      <w:r>
        <w:rPr>
          <w:rFonts w:ascii="Times New Roman" w:hAnsi="Times New Roman"/>
          <w:color w:val="1E293B"/>
        </w:rPr>
        <w:t>What it is: A consensus aggregation engine resolving multi-model disagreements.</w:t>
      </w:r>
      <w:r>
        <w:rPr>
          <w:rFonts w:ascii="Times New Roman" w:hAnsi="Times New Roman"/>
          <w:color w:val="1E293B"/>
        </w:rPr>
        <w:br/>
      </w:r>
      <w:r>
        <w:rPr>
          <w:rFonts w:ascii="Times New Roman" w:hAnsi="Times New Roman"/>
          <w:color w:val="1E293B"/>
        </w:rPr>
        <w:t>Why TrustForge needs it: Prevents single-model hallucinations or conservative abstentions from skewing results.</w:t>
      </w:r>
      <w:r>
        <w:rPr>
          <w:rFonts w:ascii="Times New Roman" w:hAnsi="Times New Roman"/>
          <w:color w:val="1E293B"/>
        </w:rPr>
        <w:br/>
        <w:t>How it works: Ranks models by grounding score and F1. Compares verdicts across M03, M02, and M01 on each control. If 2 of 3 agree, majority verdict is selected. On 3-way ties, applies conservative fail-safe priority.</w:t>
      </w:r>
      <w:r>
        <w:rPr>
          <w:rFonts w:ascii="Times New Roman" w:hAnsi="Times New Roman"/>
          <w:color w:val="1E293B"/>
        </w:rPr>
        <w:br/>
        <w:t>Input: Findings from top 3 verified models.</w:t>
      </w:r>
      <w:r>
        <w:rPr>
          <w:rFonts w:ascii="Times New Roman" w:hAnsi="Times New Roman"/>
          <w:color w:val="1E293B"/>
        </w:rPr>
        <w:br/>
        <w:t>Processing: Frequency voting per control, conservative tie-breaking.</w:t>
      </w:r>
      <w:r>
        <w:rPr>
          <w:rFonts w:ascii="Times New Roman" w:hAnsi="Times New Roman"/>
          <w:color w:val="1E293B"/>
        </w:rPr>
        <w:br/>
        <w:t>Output: Consensus finding list.</w:t>
      </w:r>
      <w:r>
        <w:rPr>
          <w:rFonts w:ascii="Times New Roman" w:hAnsi="Times New Roman"/>
          <w:color w:val="1E293B"/>
        </w:rPr>
        <w:br/>
      </w:r>
      <w:r>
        <w:rPr>
          <w:rFonts w:ascii="Times New Roman" w:hAnsi="Times New Roman"/>
          <w:color w:val="1E293B"/>
        </w:rPr>
        <w:t>Simple example: M03 = POTENTIAL_GAP, M02 = POTENTIAL_GAP, M01 = INSUFFICIENT_EVIDENCE -&gt; Consensus = POTENTIAL_GAP.</w:t>
      </w:r>
      <w:r>
        <w:rPr>
          <w:rFonts w:ascii="Times New Roman" w:hAnsi="Times New Roman"/>
          <w:color w:val="1E293B"/>
        </w:rPr>
        <w:br/>
        <w:t>Connection: Feeds consensus findings into the Trust Score Engine.</w:t>
      </w:r>
    </w:p>
    <w:p w14:paraId="298DEC8C" w14:textId="77777777" w:rsidR="00AB70A3" w:rsidRDefault="00B56DB4">
      <w:pPr>
        <w:keepNext/>
        <w:spacing w:before="160" w:after="40"/>
      </w:pPr>
      <w:r>
        <w:rPr>
          <w:rFonts w:ascii="Times New Roman" w:hAnsi="Times New Roman"/>
          <w:b/>
          <w:color w:val="0F172A"/>
          <w:sz w:val="23"/>
        </w:rPr>
        <w:t>3.9 Trust Score Calculation</w:t>
      </w:r>
    </w:p>
    <w:p w14:paraId="44B88084" w14:textId="77777777" w:rsidR="00AB70A3" w:rsidRDefault="00B56DB4">
      <w:pPr>
        <w:spacing w:after="120"/>
        <w:jc w:val="both"/>
      </w:pPr>
      <w:r>
        <w:rPr>
          <w:rFonts w:ascii="Times New Roman" w:hAnsi="Times New Roman"/>
          <w:color w:val="1E293B"/>
        </w:rPr>
        <w:t>What it is: A deterministic mathematical formula computing institutional compliance readiness.</w:t>
      </w:r>
      <w:r>
        <w:rPr>
          <w:rFonts w:ascii="Times New Roman" w:hAnsi="Times New Roman"/>
          <w:color w:val="1E293B"/>
        </w:rPr>
        <w:br/>
        <w:t>Why TrustForge needs it: Translates qualitative findings into an actionable quantitative index (0-100).</w:t>
      </w:r>
      <w:r>
        <w:rPr>
          <w:rFonts w:ascii="Times New Roman" w:hAnsi="Times New Roman"/>
          <w:color w:val="1E293B"/>
        </w:rPr>
        <w:br/>
      </w:r>
      <w:r>
        <w:rPr>
          <w:rFonts w:ascii="Times New Roman" w:hAnsi="Times New Roman"/>
          <w:color w:val="1E293B"/>
        </w:rPr>
        <w:t>How it works: Calculates earned weights per pillar using control multipliers (Pass=1.0, Gap=0.5, Unknown=0.3, Fail=0.0). Applies pillar weights, deducts critical gap penalties, and maps to posture bands.</w:t>
      </w:r>
      <w:r>
        <w:rPr>
          <w:rFonts w:ascii="Times New Roman" w:hAnsi="Times New Roman"/>
          <w:color w:val="1E293B"/>
        </w:rPr>
        <w:br/>
        <w:t>Input: Consensus findings.</w:t>
      </w:r>
      <w:r>
        <w:rPr>
          <w:rFonts w:ascii="Times New Roman" w:hAnsi="Times New Roman"/>
          <w:color w:val="1E293B"/>
        </w:rPr>
        <w:br/>
        <w:t>Processing: Weighted sum, normalization, penalty subtraction, posture classification.</w:t>
      </w:r>
      <w:r>
        <w:rPr>
          <w:rFonts w:ascii="Times New Roman" w:hAnsi="Times New Roman"/>
          <w:color w:val="1E293B"/>
        </w:rPr>
        <w:br/>
        <w:t>Output: Trust Score (0-100), pillar scores, posture rating.</w:t>
      </w:r>
      <w:r>
        <w:rPr>
          <w:rFonts w:ascii="Times New Roman" w:hAnsi="Times New Roman"/>
          <w:color w:val="1E293B"/>
        </w:rPr>
        <w:br/>
        <w:t>Simple example: An assessment with strong security but gapped notice scores 64.50 (Needs Attention).</w:t>
      </w:r>
      <w:r>
        <w:rPr>
          <w:rFonts w:ascii="Times New Roman" w:hAnsi="Times New Roman"/>
          <w:color w:val="1E293B"/>
        </w:rPr>
        <w:br/>
      </w:r>
      <w:r>
        <w:rPr>
          <w:rFonts w:ascii="Times New Roman" w:hAnsi="Times New Roman"/>
          <w:color w:val="1E293B"/>
        </w:rPr>
        <w:t>Connection: Passes final score and findings to the Persistence and Reporting Engine.</w:t>
      </w:r>
    </w:p>
    <w:p w14:paraId="752710A1" w14:textId="77777777" w:rsidR="00AB70A3" w:rsidRDefault="00B56DB4">
      <w:pPr>
        <w:keepNext/>
        <w:spacing w:before="160" w:after="40"/>
      </w:pPr>
      <w:r>
        <w:rPr>
          <w:rFonts w:ascii="Times New Roman" w:hAnsi="Times New Roman"/>
          <w:b/>
          <w:color w:val="0F172A"/>
          <w:sz w:val="23"/>
        </w:rPr>
        <w:lastRenderedPageBreak/>
        <w:t>3.10 Persistence, Executive Dashboard &amp; PDF Export</w:t>
      </w:r>
    </w:p>
    <w:p w14:paraId="76B5F808" w14:textId="77777777" w:rsidR="00AB70A3" w:rsidRDefault="00B56DB4">
      <w:pPr>
        <w:spacing w:after="120"/>
        <w:jc w:val="both"/>
      </w:pPr>
      <w:r>
        <w:rPr>
          <w:rFonts w:ascii="Times New Roman" w:hAnsi="Times New Roman"/>
          <w:color w:val="1E293B"/>
        </w:rPr>
        <w:t>What it is: The presentation and export subsystem delivering audit artifacts.</w:t>
      </w:r>
      <w:r>
        <w:rPr>
          <w:rFonts w:ascii="Times New Roman" w:hAnsi="Times New Roman"/>
          <w:color w:val="1E293B"/>
        </w:rPr>
        <w:br/>
        <w:t>Why TrustForge needs it: Provides executive leadership and auditors with professional documentation.</w:t>
      </w:r>
      <w:r>
        <w:rPr>
          <w:rFonts w:ascii="Times New Roman" w:hAnsi="Times New Roman"/>
          <w:color w:val="1E293B"/>
        </w:rPr>
        <w:br/>
        <w:t>How it works: Persists results to Supabase PostgreSQL and the durable local store. Streams a dynamically rendered executive PDF report (%PDF-) with statutory citations and remediation roadmaps.</w:t>
      </w:r>
      <w:r>
        <w:rPr>
          <w:rFonts w:ascii="Times New Roman" w:hAnsi="Times New Roman"/>
          <w:color w:val="1E293B"/>
        </w:rPr>
        <w:br/>
      </w:r>
      <w:r>
        <w:rPr>
          <w:rFonts w:ascii="Times New Roman" w:hAnsi="Times New Roman"/>
          <w:color w:val="1E293B"/>
        </w:rPr>
        <w:t>Input: Completed assessment session.</w:t>
      </w:r>
      <w:r>
        <w:rPr>
          <w:rFonts w:ascii="Times New Roman" w:hAnsi="Times New Roman"/>
          <w:color w:val="1E293B"/>
        </w:rPr>
        <w:br/>
        <w:t>Processing: SQL upsert, JSON disk write, PDFKit vector streaming.</w:t>
      </w:r>
      <w:r>
        <w:rPr>
          <w:rFonts w:ascii="Times New Roman" w:hAnsi="Times New Roman"/>
          <w:color w:val="1E293B"/>
        </w:rPr>
        <w:br/>
        <w:t>Output: Interactive dashboard, downloadable CSV matrix, and printable PDF audit report.</w:t>
      </w:r>
      <w:r>
        <w:rPr>
          <w:rFonts w:ascii="Times New Roman" w:hAnsi="Times New Roman"/>
          <w:color w:val="1E293B"/>
        </w:rPr>
        <w:br/>
        <w:t>Simple example: Clicking 'Export PDF' downloads TrustForge_Executive_Assessment_Report.pdf in 1.2 seconds.</w:t>
      </w:r>
      <w:r>
        <w:rPr>
          <w:rFonts w:ascii="Times New Roman" w:hAnsi="Times New Roman"/>
          <w:color w:val="1E293B"/>
        </w:rPr>
        <w:br/>
        <w:t>Connection: Completes the assessment lifecycle.</w:t>
      </w:r>
    </w:p>
    <w:p w14:paraId="3DF93B60" w14:textId="77777777" w:rsidR="00AB70A3" w:rsidRDefault="00B56DB4">
      <w:r>
        <w:br w:type="page"/>
      </w:r>
    </w:p>
    <w:p w14:paraId="1D679E14" w14:textId="77777777" w:rsidR="00AB70A3" w:rsidRDefault="00B56DB4">
      <w:pPr>
        <w:keepNext/>
        <w:spacing w:before="240" w:after="240"/>
      </w:pPr>
      <w:r>
        <w:rPr>
          <w:rFonts w:ascii="Times New Roman" w:hAnsi="Times New Roman"/>
          <w:b/>
          <w:color w:val="1F4E79"/>
          <w:sz w:val="28"/>
        </w:rPr>
        <w:lastRenderedPageBreak/>
        <w:t>CHAPTER 4: UNDERSTANDABLE PRACTICAL EXAMPLES</w:t>
      </w:r>
    </w:p>
    <w:p w14:paraId="2B2834B1" w14:textId="77777777" w:rsidR="00AB70A3" w:rsidRDefault="00B56DB4">
      <w:pPr>
        <w:spacing w:after="120"/>
        <w:jc w:val="both"/>
      </w:pPr>
      <w:r>
        <w:rPr>
          <w:rFonts w:ascii="Times New Roman" w:hAnsi="Times New Roman"/>
          <w:color w:val="1E293B"/>
        </w:rPr>
        <w:t>To ensure that faculty reviewers and non-technical stakeholders can easily understand how TrustForge operates in practice, this chapter presents five concrete worked examples demonstrating the transformation of digital evidence into statutory compliance intelligence.</w:t>
      </w:r>
    </w:p>
    <w:p w14:paraId="407A3275" w14:textId="77777777" w:rsidR="00AB70A3" w:rsidRDefault="00B56DB4">
      <w:pPr>
        <w:keepNext/>
        <w:spacing w:before="200" w:after="80"/>
      </w:pPr>
      <w:r>
        <w:rPr>
          <w:rFonts w:ascii="Times New Roman" w:hAnsi="Times New Roman"/>
          <w:b/>
          <w:color w:val="0F172A"/>
          <w:sz w:val="24"/>
        </w:rPr>
        <w:t>4.1 Example 1: Extracting and Analyzing a Live Website Privacy Notice</w:t>
      </w:r>
    </w:p>
    <w:p w14:paraId="2AEE8946" w14:textId="77777777" w:rsidR="00AB70A3" w:rsidRDefault="00B56DB4">
      <w:pPr>
        <w:spacing w:after="120"/>
        <w:jc w:val="both"/>
      </w:pPr>
      <w:r>
        <w:rPr>
          <w:rFonts w:ascii="Times New Roman" w:hAnsi="Times New Roman"/>
          <w:color w:val="1E293B"/>
        </w:rPr>
        <w:t>Scenario: An e-commerce enterprise publishes a generic privacy policy containing only the statement: 'We collect your personal information to provide our services, improve customer experience, and process payments.'</w:t>
      </w:r>
    </w:p>
    <w:p w14:paraId="1C1502F2" w14:textId="77777777" w:rsidR="00AB70A3" w:rsidRDefault="00B56DB4">
      <w:pPr>
        <w:pStyle w:val="ListBullet"/>
        <w:spacing w:after="60"/>
        <w:jc w:val="both"/>
      </w:pPr>
      <w:r>
        <w:rPr>
          <w:rFonts w:ascii="Times New Roman" w:hAnsi="Times New Roman"/>
          <w:b/>
          <w:color w:val="0F172A"/>
        </w:rPr>
        <w:t xml:space="preserve">1. Empirical Artifact Capture: </w:t>
      </w:r>
      <w:r>
        <w:rPr>
          <w:rFonts w:ascii="Times New Roman" w:hAnsi="Times New Roman"/>
          <w:color w:val="1E293B"/>
        </w:rPr>
        <w:t>The Playwright crawler navigates to /privacy-policy, extracts the text, and evaluates it under control TF-PRIV-001 (Privacy Notice Itemisation).</w:t>
      </w:r>
    </w:p>
    <w:p w14:paraId="6D1EC073" w14:textId="77777777" w:rsidR="00AB70A3" w:rsidRDefault="00B56DB4">
      <w:pPr>
        <w:pStyle w:val="ListBullet"/>
        <w:spacing w:after="60"/>
        <w:jc w:val="both"/>
      </w:pPr>
      <w:r>
        <w:rPr>
          <w:rFonts w:ascii="Times New Roman" w:hAnsi="Times New Roman"/>
          <w:b/>
          <w:color w:val="0F172A"/>
        </w:rPr>
        <w:t xml:space="preserve">2. Statutory Grounding: </w:t>
      </w:r>
      <w:r>
        <w:rPr>
          <w:rFonts w:ascii="Times New Roman" w:hAnsi="Times New Roman"/>
          <w:color w:val="1E293B"/>
        </w:rPr>
        <w:t>The hybrid RAG engine retrieves DPDP Act Section 5(1), which mandates that every notice must explicitly itemize: (i) the specific categories of personal data collected, (ii) the lawful purpose of processing, (iii) the manner in which Data Principals may exercise their rights, and (iv) the contact details of the Data Protection Officer.</w:t>
      </w:r>
    </w:p>
    <w:p w14:paraId="4FC9E101" w14:textId="77777777" w:rsidR="00AB70A3" w:rsidRDefault="00B56DB4">
      <w:pPr>
        <w:pStyle w:val="ListBullet"/>
        <w:spacing w:after="60"/>
        <w:jc w:val="both"/>
      </w:pPr>
      <w:r>
        <w:rPr>
          <w:rFonts w:ascii="Times New Roman" w:hAnsi="Times New Roman"/>
          <w:b/>
          <w:color w:val="0F172A"/>
        </w:rPr>
        <w:t xml:space="preserve">3. Algorithmic Determination: </w:t>
      </w:r>
      <w:r>
        <w:rPr>
          <w:rFonts w:ascii="Times New Roman" w:hAnsi="Times New Roman"/>
          <w:color w:val="1E293B"/>
        </w:rPr>
        <w:t>Because the statement mentions 'personal information' in the abstract without itemizing categories (e.g. phone numbers, delivery addresses, payment tokens) and omits DPO details, the model classifies the control as POTENTIAL_GAP, generating a remediation action requiring an itemized data collection table.</w:t>
      </w:r>
    </w:p>
    <w:p w14:paraId="0EC9CC7E" w14:textId="77777777" w:rsidR="00AB70A3" w:rsidRDefault="00B56DB4">
      <w:pPr>
        <w:keepNext/>
        <w:spacing w:before="200" w:after="80"/>
      </w:pPr>
      <w:r>
        <w:rPr>
          <w:rFonts w:ascii="Times New Roman" w:hAnsi="Times New Roman"/>
          <w:b/>
          <w:color w:val="0F172A"/>
          <w:sz w:val="24"/>
        </w:rPr>
        <w:t>4.2 Example 2: Hybrid Retrieval in Action (BM25 vs. Dense Vector)</w:t>
      </w:r>
    </w:p>
    <w:p w14:paraId="6EB6AB2D" w14:textId="77777777" w:rsidR="00AB70A3" w:rsidRDefault="00B56DB4">
      <w:pPr>
        <w:spacing w:after="120"/>
        <w:jc w:val="both"/>
      </w:pPr>
      <w:r>
        <w:rPr>
          <w:rFonts w:ascii="Times New Roman" w:hAnsi="Times New Roman"/>
          <w:color w:val="1E293B"/>
        </w:rPr>
        <w:t>Why can neither keyword search nor vector search operate effectively alone? Consider an audit query searching for: 'technical encryption standards for securing user databases'.</w:t>
      </w:r>
    </w:p>
    <w:p w14:paraId="70D1E065" w14:textId="77777777" w:rsidR="00AB70A3" w:rsidRDefault="00B56DB4">
      <w:pPr>
        <w:keepNext/>
        <w:spacing w:before="120" w:after="40"/>
        <w:jc w:val="center"/>
      </w:pPr>
      <w:r>
        <w:rPr>
          <w:noProof/>
        </w:rPr>
        <w:drawing>
          <wp:inline distT="0" distB="0" distL="0" distR="0" wp14:anchorId="2FB0EF31" wp14:editId="31D4F07C">
            <wp:extent cx="5486400" cy="3526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ybrid_rag.png"/>
                    <pic:cNvPicPr/>
                  </pic:nvPicPr>
                  <pic:blipFill>
                    <a:blip r:embed="rId9"/>
                    <a:stretch>
                      <a:fillRect/>
                    </a:stretch>
                  </pic:blipFill>
                  <pic:spPr>
                    <a:xfrm>
                      <a:off x="0" y="0"/>
                      <a:ext cx="5486400" cy="3526971"/>
                    </a:xfrm>
                    <a:prstGeom prst="rect">
                      <a:avLst/>
                    </a:prstGeom>
                  </pic:spPr>
                </pic:pic>
              </a:graphicData>
            </a:graphic>
          </wp:inline>
        </w:drawing>
      </w:r>
    </w:p>
    <w:p w14:paraId="3E9A770E" w14:textId="77777777" w:rsidR="00AB70A3" w:rsidRDefault="00B56DB4">
      <w:pPr>
        <w:spacing w:before="40"/>
        <w:jc w:val="center"/>
      </w:pPr>
      <w:r>
        <w:rPr>
          <w:rFonts w:ascii="Times New Roman" w:hAnsi="Times New Roman"/>
          <w:b/>
          <w:color w:val="1F4E79"/>
          <w:sz w:val="20"/>
        </w:rPr>
        <w:t xml:space="preserve">Fig. 4. </w:t>
      </w:r>
      <w:r>
        <w:rPr>
          <w:rFonts w:ascii="Times New Roman" w:hAnsi="Times New Roman"/>
          <w:i/>
          <w:color w:val="334155"/>
          <w:sz w:val="20"/>
        </w:rPr>
        <w:t>Hybrid Statutory RAG Architecture — Dual retrieval path combining BM25 lexical search and pgvector dense embeddings via Reciprocal Rank Fusion (k=60) with 0.35x non-normative penalty dampening.</w:t>
      </w:r>
    </w:p>
    <w:p w14:paraId="46D6315F" w14:textId="77777777" w:rsidR="00AB70A3" w:rsidRDefault="00B56DB4">
      <w:pPr>
        <w:pStyle w:val="ListBullet"/>
        <w:spacing w:after="60"/>
        <w:jc w:val="both"/>
      </w:pPr>
      <w:r>
        <w:rPr>
          <w:rFonts w:ascii="Times New Roman" w:hAnsi="Times New Roman"/>
          <w:b/>
          <w:color w:val="0F172A"/>
        </w:rPr>
        <w:lastRenderedPageBreak/>
        <w:t xml:space="preserve">Path A (BM25 Lexical Search): </w:t>
      </w:r>
      <w:r>
        <w:rPr>
          <w:rFonts w:ascii="Times New Roman" w:hAnsi="Times New Roman"/>
          <w:color w:val="1E293B"/>
        </w:rPr>
        <w:t>The verbatim term 'encryption' does not appear in Section 8(5) of the DPDP Act (which uses the statutory phrase 'reasonable security safeguards'). However, BM25 matches Rule 6 of the DPDP Rules 2025, which explicitly specifies technical encryption. BM25 ranks Rule 6 at Rank 1.</w:t>
      </w:r>
    </w:p>
    <w:p w14:paraId="2230E8D3" w14:textId="77777777" w:rsidR="00AB70A3" w:rsidRDefault="00B56DB4">
      <w:pPr>
        <w:pStyle w:val="ListBullet"/>
        <w:spacing w:after="60"/>
        <w:jc w:val="both"/>
      </w:pPr>
      <w:r>
        <w:rPr>
          <w:rFonts w:ascii="Times New Roman" w:hAnsi="Times New Roman"/>
          <w:b/>
          <w:color w:val="0F172A"/>
        </w:rPr>
        <w:t xml:space="preserve">Path B (Dense Semantic Search): </w:t>
      </w:r>
      <w:r>
        <w:rPr>
          <w:rFonts w:ascii="Times New Roman" w:hAnsi="Times New Roman"/>
          <w:color w:val="1E293B"/>
        </w:rPr>
        <w:t>The dense embedding model (all-MiniLM-L6-v2) maps the concept of 'securing user databases' into semantic vector space, identifying Section 8(5) ('duty to protect personal data by taking reasonable security safeguards') as conceptually similar, ranking Section 8(5) at Rank 1.</w:t>
      </w:r>
    </w:p>
    <w:p w14:paraId="49609BED" w14:textId="77777777" w:rsidR="00AB70A3" w:rsidRDefault="00B56DB4">
      <w:pPr>
        <w:pStyle w:val="ListBullet"/>
        <w:spacing w:after="60"/>
        <w:jc w:val="both"/>
      </w:pPr>
      <w:r>
        <w:rPr>
          <w:rFonts w:ascii="Times New Roman" w:hAnsi="Times New Roman"/>
          <w:b/>
          <w:color w:val="0F172A"/>
        </w:rPr>
        <w:t xml:space="preserve">Reciprocal Rank Fusion Aggregation: </w:t>
      </w:r>
      <w:r>
        <w:rPr>
          <w:rFonts w:ascii="Times New Roman" w:hAnsi="Times New Roman"/>
          <w:color w:val="1E293B"/>
        </w:rPr>
        <w:t>Neither path alone provides complete legal context—BM25 captures the procedural rule, while vector search captures the parent statutory duty. Reciprocal Rank Fusion (k=60) merges both ranks: RRF(Rule 6) = 1/(60+1) + 1/(60+2) = 0.0325. Both passages are pushed into the Top-2 prompt context, providing complete legal grounding without manual intervention.</w:t>
      </w:r>
    </w:p>
    <w:p w14:paraId="1A4AB28F" w14:textId="77777777" w:rsidR="00AB70A3" w:rsidRDefault="00B56DB4">
      <w:pPr>
        <w:keepNext/>
        <w:spacing w:before="200" w:after="80"/>
      </w:pPr>
      <w:r>
        <w:rPr>
          <w:rFonts w:ascii="Times New Roman" w:hAnsi="Times New Roman"/>
          <w:b/>
          <w:color w:val="0F172A"/>
          <w:sz w:val="24"/>
        </w:rPr>
        <w:t>4.3 Example 3: Three Candidate LLMs and Majority Voting Consensus Logic</w:t>
      </w:r>
    </w:p>
    <w:p w14:paraId="3EB0DB29" w14:textId="77777777" w:rsidR="00AB70A3" w:rsidRDefault="00B56DB4">
      <w:pPr>
        <w:spacing w:after="120"/>
        <w:jc w:val="both"/>
      </w:pPr>
      <w:r>
        <w:rPr>
          <w:rFonts w:ascii="Times New Roman" w:hAnsi="Times New Roman"/>
          <w:color w:val="1E293B"/>
        </w:rPr>
        <w:t>To demonstrate multi-model consensus, consider an educational web portal lacking an explicit age verification gate:</w:t>
      </w:r>
    </w:p>
    <w:p w14:paraId="21D48B1D" w14:textId="77777777" w:rsidR="00AB70A3" w:rsidRDefault="00B56DB4">
      <w:pPr>
        <w:keepNext/>
        <w:spacing w:before="120" w:after="40"/>
        <w:jc w:val="center"/>
      </w:pPr>
      <w:r>
        <w:rPr>
          <w:noProof/>
        </w:rPr>
        <w:drawing>
          <wp:inline distT="0" distB="0" distL="0" distR="0" wp14:anchorId="511A9C0A" wp14:editId="04E1010E">
            <wp:extent cx="5486400" cy="3526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allel_orchestration.png"/>
                    <pic:cNvPicPr/>
                  </pic:nvPicPr>
                  <pic:blipFill>
                    <a:blip r:embed="rId10"/>
                    <a:stretch>
                      <a:fillRect/>
                    </a:stretch>
                  </pic:blipFill>
                  <pic:spPr>
                    <a:xfrm>
                      <a:off x="0" y="0"/>
                      <a:ext cx="5486400" cy="3526971"/>
                    </a:xfrm>
                    <a:prstGeom prst="rect">
                      <a:avLst/>
                    </a:prstGeom>
                  </pic:spPr>
                </pic:pic>
              </a:graphicData>
            </a:graphic>
          </wp:inline>
        </w:drawing>
      </w:r>
    </w:p>
    <w:p w14:paraId="71E99B7E" w14:textId="77777777" w:rsidR="00AB70A3" w:rsidRDefault="00B56DB4">
      <w:pPr>
        <w:spacing w:before="40"/>
        <w:jc w:val="center"/>
      </w:pPr>
      <w:r>
        <w:rPr>
          <w:rFonts w:ascii="Times New Roman" w:hAnsi="Times New Roman"/>
          <w:b/>
          <w:color w:val="1F4E79"/>
          <w:sz w:val="20"/>
        </w:rPr>
        <w:t xml:space="preserve">Fig. 5. </w:t>
      </w:r>
      <w:r>
        <w:rPr>
          <w:rFonts w:ascii="Times New Roman" w:hAnsi="Times New Roman"/>
          <w:i/>
          <w:color w:val="334155"/>
          <w:sz w:val="20"/>
        </w:rPr>
        <w:t>Provider-Aware Parallel LLM Orchestration — Timeline comparison showing 2.48x concurrency acceleration on Groq LPUs with transparent non-run status tracking for candidate slots M04 to M10.</w:t>
      </w:r>
    </w:p>
    <w:p w14:paraId="29FF2750" w14:textId="77777777" w:rsidR="00AB70A3" w:rsidRDefault="00B56DB4">
      <w:pPr>
        <w:spacing w:after="120"/>
        <w:jc w:val="both"/>
      </w:pPr>
      <w:r>
        <w:rPr>
          <w:rFonts w:ascii="Times New Roman" w:hAnsi="Times New Roman"/>
          <w:b/>
          <w:color w:val="0F172A"/>
        </w:rPr>
        <w:t xml:space="preserve">Case 1: </w:t>
      </w:r>
      <w:r>
        <w:rPr>
          <w:rFonts w:ascii="Times New Roman" w:hAnsi="Times New Roman"/>
          <w:color w:val="1E293B"/>
        </w:rPr>
        <w:t>Scenario A: Clear 2-to-1 Majority Verdict</w:t>
      </w:r>
    </w:p>
    <w:p w14:paraId="3C93E953" w14:textId="77777777" w:rsidR="00AB70A3" w:rsidRDefault="00B56DB4">
      <w:pPr>
        <w:pStyle w:val="ListBullet"/>
        <w:spacing w:after="60"/>
        <w:jc w:val="both"/>
      </w:pPr>
      <w:r>
        <w:rPr>
          <w:rFonts w:ascii="Times New Roman" w:hAnsi="Times New Roman"/>
          <w:b/>
          <w:color w:val="0F172A"/>
        </w:rPr>
        <w:t xml:space="preserve">Model M03 Verdict: </w:t>
      </w:r>
      <w:r>
        <w:rPr>
          <w:rFonts w:ascii="Times New Roman" w:hAnsi="Times New Roman"/>
          <w:color w:val="1E293B"/>
        </w:rPr>
        <w:t>M03 (Qwen 3.8 27B) evaluates Section 9(1) and flags POTENTIAL_GAP due to missing age verification.</w:t>
      </w:r>
    </w:p>
    <w:p w14:paraId="116AF703" w14:textId="77777777" w:rsidR="00AB70A3" w:rsidRDefault="00B56DB4">
      <w:pPr>
        <w:pStyle w:val="ListBullet"/>
        <w:spacing w:after="60"/>
        <w:jc w:val="both"/>
      </w:pPr>
      <w:r>
        <w:rPr>
          <w:rFonts w:ascii="Times New Roman" w:hAnsi="Times New Roman"/>
          <w:b/>
          <w:color w:val="0F172A"/>
        </w:rPr>
        <w:t xml:space="preserve">Model M02 Verdict: </w:t>
      </w:r>
      <w:r>
        <w:rPr>
          <w:rFonts w:ascii="Times New Roman" w:hAnsi="Times New Roman"/>
          <w:color w:val="1E293B"/>
        </w:rPr>
        <w:t>M02 (GPT-OSS-20B) independently evaluates Section 9(1) and also outputs POTENTIAL_GAP.</w:t>
      </w:r>
    </w:p>
    <w:p w14:paraId="4F92EA1B" w14:textId="77777777" w:rsidR="00AB70A3" w:rsidRDefault="00B56DB4">
      <w:pPr>
        <w:pStyle w:val="ListBullet"/>
        <w:spacing w:after="60"/>
        <w:jc w:val="both"/>
      </w:pPr>
      <w:r>
        <w:rPr>
          <w:rFonts w:ascii="Times New Roman" w:hAnsi="Times New Roman"/>
          <w:b/>
          <w:color w:val="0F172A"/>
        </w:rPr>
        <w:t xml:space="preserve">Model M01 Verdict: </w:t>
      </w:r>
      <w:r>
        <w:rPr>
          <w:rFonts w:ascii="Times New Roman" w:hAnsi="Times New Roman"/>
          <w:color w:val="1E293B"/>
        </w:rPr>
        <w:t>M01 (GPT-OSS-120B) generates reasoning tokens and abstains, outputting INSUFFICIENT_EVIDENCE.</w:t>
      </w:r>
    </w:p>
    <w:p w14:paraId="522BFA9B" w14:textId="77777777" w:rsidR="00AB70A3" w:rsidRDefault="00B56DB4">
      <w:pPr>
        <w:pStyle w:val="ListBullet"/>
        <w:spacing w:after="60"/>
        <w:jc w:val="both"/>
      </w:pPr>
      <w:r>
        <w:rPr>
          <w:rFonts w:ascii="Times New Roman" w:hAnsi="Times New Roman"/>
          <w:b/>
          <w:color w:val="0F172A"/>
        </w:rPr>
        <w:lastRenderedPageBreak/>
        <w:t xml:space="preserve">Consensus Resolution: </w:t>
      </w:r>
      <w:r>
        <w:rPr>
          <w:rFonts w:ascii="Times New Roman" w:hAnsi="Times New Roman"/>
          <w:color w:val="1E293B"/>
        </w:rPr>
        <w:t>The majority voting algorithm detects 2 votes for POTENTIAL_GAP and 1 vote for INSUFFICIENT_EVIDENCE. The majority verdict (POTENTIAL_GAP) is selected with 67% consensus confidence, preventing M01's conservative abstention from masking a genuine compliance risk.</w:t>
      </w:r>
    </w:p>
    <w:p w14:paraId="7C39DC41" w14:textId="77777777" w:rsidR="00AB70A3" w:rsidRDefault="00B56DB4">
      <w:pPr>
        <w:spacing w:after="120"/>
        <w:jc w:val="both"/>
      </w:pPr>
      <w:r>
        <w:rPr>
          <w:rFonts w:ascii="Times New Roman" w:hAnsi="Times New Roman"/>
          <w:b/>
          <w:color w:val="0F172A"/>
        </w:rPr>
        <w:t xml:space="preserve">Case 2: </w:t>
      </w:r>
      <w:r>
        <w:rPr>
          <w:rFonts w:ascii="Times New Roman" w:hAnsi="Times New Roman"/>
          <w:color w:val="1E293B"/>
        </w:rPr>
        <w:t>Scenario B: Three-Way Disagreement Tie-Breaker Logic</w:t>
      </w:r>
    </w:p>
    <w:p w14:paraId="52C3A28C" w14:textId="77777777" w:rsidR="00AB70A3" w:rsidRDefault="00B56DB4">
      <w:pPr>
        <w:pStyle w:val="ListBullet"/>
        <w:spacing w:after="60"/>
        <w:jc w:val="both"/>
      </w:pPr>
      <w:r>
        <w:rPr>
          <w:rFonts w:ascii="Times New Roman" w:hAnsi="Times New Roman"/>
          <w:b/>
          <w:color w:val="0F172A"/>
        </w:rPr>
        <w:t xml:space="preserve">Disagreement Context: </w:t>
      </w:r>
      <w:r>
        <w:rPr>
          <w:rFonts w:ascii="Times New Roman" w:hAnsi="Times New Roman"/>
          <w:color w:val="1E293B"/>
        </w:rPr>
        <w:t>Consider an ambiguous scenario where Model M01 outputs INSUFFICIENT_EVIDENCE, Model M02 outputs POTENTIAL_GAP (0.5 weight), and Model M03 outputs NOT_SUPPORTED (0.0 weight). Three different verdicts do not form a simple majority.</w:t>
      </w:r>
    </w:p>
    <w:p w14:paraId="363FB54B" w14:textId="77777777" w:rsidR="00AB70A3" w:rsidRDefault="00B56DB4">
      <w:pPr>
        <w:pStyle w:val="ListBullet"/>
        <w:spacing w:after="60"/>
        <w:jc w:val="both"/>
      </w:pPr>
      <w:r>
        <w:rPr>
          <w:rFonts w:ascii="Times New Roman" w:hAnsi="Times New Roman"/>
          <w:b/>
          <w:color w:val="0F172A"/>
        </w:rPr>
        <w:t xml:space="preserve">Conservative Fail-Safe Policy: </w:t>
      </w:r>
      <w:r>
        <w:rPr>
          <w:rFonts w:ascii="Times New Roman" w:hAnsi="Times New Roman"/>
          <w:color w:val="1E293B"/>
        </w:rPr>
        <w:t>Rather than inventing a random vote, the consensus engine in trustScoreEngine.ts executes its verified conservative fail-safe policy: if NOT_SUPPORTED is present among the three verdicts, consensus resolves to NOT_SUPPORTED. This fail-safe ensures that if any high-capability model detects a critical non-compliance violation, the platform does not prematurely grant false compliance approval.</w:t>
      </w:r>
    </w:p>
    <w:p w14:paraId="451ACF52" w14:textId="77777777" w:rsidR="00AB70A3" w:rsidRDefault="00B56DB4">
      <w:pPr>
        <w:keepNext/>
        <w:spacing w:before="200" w:after="80"/>
      </w:pPr>
      <w:r>
        <w:rPr>
          <w:rFonts w:ascii="Times New Roman" w:hAnsi="Times New Roman"/>
          <w:b/>
          <w:color w:val="0F172A"/>
          <w:sz w:val="24"/>
        </w:rPr>
        <w:t>4.4 Example 4: Trust Score Worked Numerical Calculation</w:t>
      </w:r>
    </w:p>
    <w:p w14:paraId="309044CC" w14:textId="77777777" w:rsidR="00AB70A3" w:rsidRDefault="00B56DB4">
      <w:pPr>
        <w:spacing w:after="120"/>
        <w:jc w:val="both"/>
      </w:pPr>
      <w:r>
        <w:rPr>
          <w:rFonts w:ascii="Times New Roman" w:hAnsi="Times New Roman"/>
          <w:color w:val="1E293B"/>
        </w:rPr>
        <w:t>The TrustForge Trust Score is computed through a deterministic mathematical index strictly following the code implementation in trustScoreEngine.ts:</w:t>
      </w:r>
    </w:p>
    <w:p w14:paraId="29AC0EF1" w14:textId="77777777" w:rsidR="00AB70A3" w:rsidRDefault="00B56DB4">
      <w:pPr>
        <w:keepNext/>
        <w:spacing w:before="120" w:after="40"/>
        <w:jc w:val="center"/>
      </w:pPr>
      <w:r>
        <w:rPr>
          <w:noProof/>
        </w:rPr>
        <w:drawing>
          <wp:inline distT="0" distB="0" distL="0" distR="0" wp14:anchorId="46F22C42" wp14:editId="5398C654">
            <wp:extent cx="5486400" cy="3526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ust_score_flow.png"/>
                    <pic:cNvPicPr/>
                  </pic:nvPicPr>
                  <pic:blipFill>
                    <a:blip r:embed="rId11"/>
                    <a:stretch>
                      <a:fillRect/>
                    </a:stretch>
                  </pic:blipFill>
                  <pic:spPr>
                    <a:xfrm>
                      <a:off x="0" y="0"/>
                      <a:ext cx="5486400" cy="3526971"/>
                    </a:xfrm>
                    <a:prstGeom prst="rect">
                      <a:avLst/>
                    </a:prstGeom>
                  </pic:spPr>
                </pic:pic>
              </a:graphicData>
            </a:graphic>
          </wp:inline>
        </w:drawing>
      </w:r>
    </w:p>
    <w:p w14:paraId="48C5FC4E" w14:textId="77777777" w:rsidR="00AB70A3" w:rsidRDefault="00B56DB4">
      <w:pPr>
        <w:spacing w:before="40"/>
        <w:jc w:val="center"/>
      </w:pPr>
      <w:r>
        <w:rPr>
          <w:rFonts w:ascii="Times New Roman" w:hAnsi="Times New Roman"/>
          <w:b/>
          <w:color w:val="1F4E79"/>
          <w:sz w:val="20"/>
        </w:rPr>
        <w:t xml:space="preserve">Fig. 6. </w:t>
      </w:r>
      <w:r>
        <w:rPr>
          <w:rFonts w:ascii="Times New Roman" w:hAnsi="Times New Roman"/>
          <w:i/>
          <w:color w:val="334155"/>
          <w:sz w:val="20"/>
        </w:rPr>
        <w:t>Deterministic Trust Score Calculation Flow — Mathematical hierarchy showing control multipliers, pillar weight sums (sum = 1.00), normalization, and institutional posture band mapping.</w:t>
      </w:r>
    </w:p>
    <w:p w14:paraId="6E6D247C" w14:textId="77777777" w:rsidR="00AB70A3" w:rsidRDefault="00B56DB4">
      <w:pPr>
        <w:spacing w:after="120"/>
        <w:jc w:val="both"/>
      </w:pPr>
      <w:r>
        <w:rPr>
          <w:rFonts w:ascii="Times New Roman" w:hAnsi="Times New Roman"/>
          <w:b/>
          <w:color w:val="0F172A"/>
        </w:rPr>
        <w:t xml:space="preserve">Formula: </w:t>
      </w:r>
      <w:r>
        <w:rPr>
          <w:rFonts w:ascii="Times New Roman" w:hAnsi="Times New Roman"/>
          <w:color w:val="1E293B"/>
        </w:rPr>
        <w:t>Mathematical Formulation: For each pillar p, the pillar score is computed as:</w:t>
      </w:r>
    </w:p>
    <w:p w14:paraId="6C1D9551" w14:textId="77777777" w:rsidR="00AB70A3" w:rsidRDefault="00B56DB4">
      <w:pPr>
        <w:spacing w:after="120"/>
        <w:jc w:val="both"/>
      </w:pPr>
      <w:r>
        <w:rPr>
          <w:rFonts w:ascii="Times New Roman" w:hAnsi="Times New Roman"/>
          <w:b/>
          <w:color w:val="0F172A"/>
        </w:rPr>
        <w:t xml:space="preserve">Pillar Score: </w:t>
      </w:r>
      <w:r>
        <w:rPr>
          <w:rFonts w:ascii="Times New Roman" w:hAnsi="Times New Roman"/>
          <w:color w:val="1E293B"/>
        </w:rPr>
        <w:t>Pillar Score_p = (Sum(Earned Weight) / Sum(Applicable Weight)) * 100</w:t>
      </w:r>
    </w:p>
    <w:p w14:paraId="45F63066" w14:textId="77777777" w:rsidR="00AB70A3" w:rsidRDefault="00B56DB4">
      <w:pPr>
        <w:spacing w:after="120"/>
        <w:jc w:val="both"/>
      </w:pPr>
      <w:r>
        <w:rPr>
          <w:rFonts w:ascii="Times New Roman" w:hAnsi="Times New Roman"/>
          <w:b/>
          <w:color w:val="0F172A"/>
        </w:rPr>
        <w:t xml:space="preserve">Overall Score: </w:t>
      </w:r>
      <w:r>
        <w:rPr>
          <w:rFonts w:ascii="Times New Roman" w:hAnsi="Times New Roman"/>
          <w:color w:val="1E293B"/>
        </w:rPr>
        <w:t>Trust Score = Sum(Pillar Score_p * Pillar Weight_p) / Total Effective Weight</w:t>
      </w:r>
    </w:p>
    <w:p w14:paraId="10AB8928" w14:textId="77777777" w:rsidR="00AB70A3" w:rsidRDefault="00B56DB4">
      <w:pPr>
        <w:spacing w:after="120"/>
        <w:jc w:val="both"/>
      </w:pPr>
      <w:r>
        <w:rPr>
          <w:rFonts w:ascii="Times New Roman" w:hAnsi="Times New Roman"/>
          <w:color w:val="1E293B"/>
        </w:rPr>
        <w:t>Hypothetical Enterprise Audit Example (Labels and inputs for illustrative walkthrough):</w:t>
      </w:r>
    </w:p>
    <w:tbl>
      <w:tblPr>
        <w:tblW w:w="0" w:type="auto"/>
        <w:jc w:val="center"/>
        <w:tblLook w:val="04A0" w:firstRow="1" w:lastRow="0" w:firstColumn="1" w:lastColumn="0" w:noHBand="0" w:noVBand="1"/>
      </w:tblPr>
      <w:tblGrid>
        <w:gridCol w:w="2541"/>
        <w:gridCol w:w="1466"/>
        <w:gridCol w:w="2519"/>
        <w:gridCol w:w="1305"/>
        <w:gridCol w:w="1478"/>
      </w:tblGrid>
      <w:tr w:rsidR="00AB70A3" w14:paraId="005DDC89" w14:textId="77777777">
        <w:trPr>
          <w:jc w:val="center"/>
        </w:trPr>
        <w:tc>
          <w:tcPr>
            <w:tcW w:w="2880" w:type="dxa"/>
            <w:shd w:val="clear" w:color="auto" w:fill="1F4E79"/>
            <w:tcMar>
              <w:top w:w="120" w:type="dxa"/>
              <w:left w:w="140" w:type="dxa"/>
              <w:bottom w:w="120" w:type="dxa"/>
              <w:right w:w="140" w:type="dxa"/>
            </w:tcMar>
          </w:tcPr>
          <w:p w14:paraId="1FB97DAE" w14:textId="77777777" w:rsidR="00AB70A3" w:rsidRDefault="00B56DB4">
            <w:pPr>
              <w:spacing w:after="0"/>
              <w:jc w:val="center"/>
            </w:pPr>
            <w:r>
              <w:rPr>
                <w:rFonts w:ascii="Times New Roman" w:hAnsi="Times New Roman"/>
                <w:b/>
                <w:color w:val="FFFFFF"/>
                <w:sz w:val="20"/>
              </w:rPr>
              <w:lastRenderedPageBreak/>
              <w:t>Pillar Name</w:t>
            </w:r>
          </w:p>
        </w:tc>
        <w:tc>
          <w:tcPr>
            <w:tcW w:w="1584" w:type="dxa"/>
            <w:shd w:val="clear" w:color="auto" w:fill="1F4E79"/>
            <w:tcMar>
              <w:top w:w="120" w:type="dxa"/>
              <w:left w:w="140" w:type="dxa"/>
              <w:bottom w:w="120" w:type="dxa"/>
              <w:right w:w="140" w:type="dxa"/>
            </w:tcMar>
          </w:tcPr>
          <w:p w14:paraId="2A172DE4" w14:textId="77777777" w:rsidR="00AB70A3" w:rsidRDefault="00B56DB4">
            <w:pPr>
              <w:spacing w:after="0"/>
              <w:jc w:val="center"/>
            </w:pPr>
            <w:r>
              <w:rPr>
                <w:rFonts w:ascii="Times New Roman" w:hAnsi="Times New Roman"/>
                <w:b/>
                <w:color w:val="FFFFFF"/>
                <w:sz w:val="20"/>
              </w:rPr>
              <w:t>Assigned Weight</w:t>
            </w:r>
          </w:p>
        </w:tc>
        <w:tc>
          <w:tcPr>
            <w:tcW w:w="2880" w:type="dxa"/>
            <w:shd w:val="clear" w:color="auto" w:fill="1F4E79"/>
            <w:tcMar>
              <w:top w:w="120" w:type="dxa"/>
              <w:left w:w="140" w:type="dxa"/>
              <w:bottom w:w="120" w:type="dxa"/>
              <w:right w:w="140" w:type="dxa"/>
            </w:tcMar>
          </w:tcPr>
          <w:p w14:paraId="564847B6" w14:textId="77777777" w:rsidR="00AB70A3" w:rsidRDefault="00B56DB4">
            <w:pPr>
              <w:spacing w:after="0"/>
              <w:jc w:val="center"/>
            </w:pPr>
            <w:r>
              <w:rPr>
                <w:rFonts w:ascii="Times New Roman" w:hAnsi="Times New Roman"/>
                <w:b/>
                <w:color w:val="FFFFFF"/>
                <w:sz w:val="20"/>
              </w:rPr>
              <w:t>Pillar Scope &amp; Multipliers</w:t>
            </w:r>
          </w:p>
        </w:tc>
        <w:tc>
          <w:tcPr>
            <w:tcW w:w="1440" w:type="dxa"/>
            <w:shd w:val="clear" w:color="auto" w:fill="1F4E79"/>
            <w:tcMar>
              <w:top w:w="120" w:type="dxa"/>
              <w:left w:w="140" w:type="dxa"/>
              <w:bottom w:w="120" w:type="dxa"/>
              <w:right w:w="140" w:type="dxa"/>
            </w:tcMar>
          </w:tcPr>
          <w:p w14:paraId="2DF400B0" w14:textId="77777777" w:rsidR="00AB70A3" w:rsidRDefault="00B56DB4">
            <w:pPr>
              <w:spacing w:after="0"/>
              <w:jc w:val="center"/>
            </w:pPr>
            <w:r>
              <w:rPr>
                <w:rFonts w:ascii="Times New Roman" w:hAnsi="Times New Roman"/>
                <w:b/>
                <w:color w:val="FFFFFF"/>
                <w:sz w:val="20"/>
              </w:rPr>
              <w:t>Pillar Score</w:t>
            </w:r>
          </w:p>
        </w:tc>
        <w:tc>
          <w:tcPr>
            <w:tcW w:w="1584" w:type="dxa"/>
            <w:shd w:val="clear" w:color="auto" w:fill="1F4E79"/>
            <w:tcMar>
              <w:top w:w="120" w:type="dxa"/>
              <w:left w:w="140" w:type="dxa"/>
              <w:bottom w:w="120" w:type="dxa"/>
              <w:right w:w="140" w:type="dxa"/>
            </w:tcMar>
          </w:tcPr>
          <w:p w14:paraId="04CB252D" w14:textId="77777777" w:rsidR="00AB70A3" w:rsidRDefault="00B56DB4">
            <w:pPr>
              <w:spacing w:after="0"/>
              <w:jc w:val="center"/>
            </w:pPr>
            <w:r>
              <w:rPr>
                <w:rFonts w:ascii="Times New Roman" w:hAnsi="Times New Roman"/>
                <w:b/>
                <w:color w:val="FFFFFF"/>
                <w:sz w:val="20"/>
              </w:rPr>
              <w:t>Weighted Score</w:t>
            </w:r>
          </w:p>
        </w:tc>
      </w:tr>
      <w:tr w:rsidR="00AB70A3" w14:paraId="0F5898AF" w14:textId="77777777">
        <w:trPr>
          <w:jc w:val="center"/>
        </w:trPr>
        <w:tc>
          <w:tcPr>
            <w:tcW w:w="2880" w:type="dxa"/>
            <w:shd w:val="clear" w:color="auto" w:fill="FFFFFF"/>
            <w:tcMar>
              <w:top w:w="90" w:type="dxa"/>
              <w:left w:w="120" w:type="dxa"/>
              <w:bottom w:w="90" w:type="dxa"/>
              <w:right w:w="120" w:type="dxa"/>
            </w:tcMar>
          </w:tcPr>
          <w:p w14:paraId="2BE21530" w14:textId="77777777" w:rsidR="00AB70A3" w:rsidRDefault="00B56DB4">
            <w:pPr>
              <w:spacing w:after="0"/>
            </w:pPr>
            <w:r>
              <w:rPr>
                <w:rFonts w:ascii="Times New Roman" w:hAnsi="Times New Roman"/>
                <w:color w:val="1E293B"/>
                <w:sz w:val="19"/>
              </w:rPr>
              <w:t>Privacy Architecture (privacy)</w:t>
            </w:r>
          </w:p>
        </w:tc>
        <w:tc>
          <w:tcPr>
            <w:tcW w:w="1584" w:type="dxa"/>
            <w:shd w:val="clear" w:color="auto" w:fill="FFFFFF"/>
            <w:tcMar>
              <w:top w:w="90" w:type="dxa"/>
              <w:left w:w="120" w:type="dxa"/>
              <w:bottom w:w="90" w:type="dxa"/>
              <w:right w:w="120" w:type="dxa"/>
            </w:tcMar>
          </w:tcPr>
          <w:p w14:paraId="1B53ACBB" w14:textId="77777777" w:rsidR="00AB70A3" w:rsidRDefault="00B56DB4">
            <w:pPr>
              <w:spacing w:after="0"/>
            </w:pPr>
            <w:r>
              <w:rPr>
                <w:rFonts w:ascii="Times New Roman" w:hAnsi="Times New Roman"/>
                <w:color w:val="1E293B"/>
                <w:sz w:val="19"/>
              </w:rPr>
              <w:t>0.20</w:t>
            </w:r>
          </w:p>
        </w:tc>
        <w:tc>
          <w:tcPr>
            <w:tcW w:w="2880" w:type="dxa"/>
            <w:shd w:val="clear" w:color="auto" w:fill="FFFFFF"/>
            <w:tcMar>
              <w:top w:w="90" w:type="dxa"/>
              <w:left w:w="120" w:type="dxa"/>
              <w:bottom w:w="90" w:type="dxa"/>
              <w:right w:w="120" w:type="dxa"/>
            </w:tcMar>
          </w:tcPr>
          <w:p w14:paraId="74163F12" w14:textId="77777777" w:rsidR="00AB70A3" w:rsidRDefault="00B56DB4">
            <w:pPr>
              <w:spacing w:after="0"/>
            </w:pPr>
            <w:r>
              <w:rPr>
                <w:rFonts w:ascii="Times New Roman" w:hAnsi="Times New Roman"/>
                <w:color w:val="1E293B"/>
                <w:sz w:val="19"/>
              </w:rPr>
              <w:t>5 Controls (weights: 2, 1.5, 2, 1.5, 1.5)</w:t>
            </w:r>
          </w:p>
        </w:tc>
        <w:tc>
          <w:tcPr>
            <w:tcW w:w="1440" w:type="dxa"/>
            <w:shd w:val="clear" w:color="auto" w:fill="FFFFFF"/>
            <w:tcMar>
              <w:top w:w="90" w:type="dxa"/>
              <w:left w:w="120" w:type="dxa"/>
              <w:bottom w:w="90" w:type="dxa"/>
              <w:right w:w="120" w:type="dxa"/>
            </w:tcMar>
          </w:tcPr>
          <w:p w14:paraId="147E9E23" w14:textId="77777777" w:rsidR="00AB70A3" w:rsidRDefault="00B56DB4">
            <w:pPr>
              <w:spacing w:after="0"/>
            </w:pPr>
            <w:r>
              <w:rPr>
                <w:rFonts w:ascii="Times New Roman" w:hAnsi="Times New Roman"/>
                <w:color w:val="1E293B"/>
                <w:sz w:val="19"/>
              </w:rPr>
              <w:t>85.00%</w:t>
            </w:r>
          </w:p>
        </w:tc>
        <w:tc>
          <w:tcPr>
            <w:tcW w:w="1584" w:type="dxa"/>
            <w:shd w:val="clear" w:color="auto" w:fill="FFFFFF"/>
            <w:tcMar>
              <w:top w:w="90" w:type="dxa"/>
              <w:left w:w="120" w:type="dxa"/>
              <w:bottom w:w="90" w:type="dxa"/>
              <w:right w:w="120" w:type="dxa"/>
            </w:tcMar>
          </w:tcPr>
          <w:p w14:paraId="58855D49" w14:textId="77777777" w:rsidR="00AB70A3" w:rsidRDefault="00B56DB4">
            <w:pPr>
              <w:spacing w:after="0"/>
            </w:pPr>
            <w:r>
              <w:rPr>
                <w:rFonts w:ascii="Times New Roman" w:hAnsi="Times New Roman"/>
                <w:color w:val="1E293B"/>
                <w:sz w:val="19"/>
              </w:rPr>
              <w:t>17.00</w:t>
            </w:r>
          </w:p>
        </w:tc>
      </w:tr>
      <w:tr w:rsidR="00AB70A3" w14:paraId="24C17733" w14:textId="77777777">
        <w:trPr>
          <w:jc w:val="center"/>
        </w:trPr>
        <w:tc>
          <w:tcPr>
            <w:tcW w:w="2880" w:type="dxa"/>
            <w:shd w:val="clear" w:color="auto" w:fill="F8FAFC"/>
            <w:tcMar>
              <w:top w:w="90" w:type="dxa"/>
              <w:left w:w="120" w:type="dxa"/>
              <w:bottom w:w="90" w:type="dxa"/>
              <w:right w:w="120" w:type="dxa"/>
            </w:tcMar>
          </w:tcPr>
          <w:p w14:paraId="54E618E9" w14:textId="77777777" w:rsidR="00AB70A3" w:rsidRDefault="00B56DB4">
            <w:pPr>
              <w:spacing w:after="0"/>
            </w:pPr>
            <w:r>
              <w:rPr>
                <w:rFonts w:ascii="Times New Roman" w:hAnsi="Times New Roman"/>
                <w:color w:val="1E293B"/>
                <w:sz w:val="19"/>
              </w:rPr>
              <w:t>Security Safeguards (security)</w:t>
            </w:r>
          </w:p>
        </w:tc>
        <w:tc>
          <w:tcPr>
            <w:tcW w:w="1584" w:type="dxa"/>
            <w:shd w:val="clear" w:color="auto" w:fill="F8FAFC"/>
            <w:tcMar>
              <w:top w:w="90" w:type="dxa"/>
              <w:left w:w="120" w:type="dxa"/>
              <w:bottom w:w="90" w:type="dxa"/>
              <w:right w:w="120" w:type="dxa"/>
            </w:tcMar>
          </w:tcPr>
          <w:p w14:paraId="1A568A59" w14:textId="77777777" w:rsidR="00AB70A3" w:rsidRDefault="00B56DB4">
            <w:pPr>
              <w:spacing w:after="0"/>
            </w:pPr>
            <w:r>
              <w:rPr>
                <w:rFonts w:ascii="Times New Roman" w:hAnsi="Times New Roman"/>
                <w:color w:val="1E293B"/>
                <w:sz w:val="19"/>
              </w:rPr>
              <w:t>0.20</w:t>
            </w:r>
          </w:p>
        </w:tc>
        <w:tc>
          <w:tcPr>
            <w:tcW w:w="2880" w:type="dxa"/>
            <w:shd w:val="clear" w:color="auto" w:fill="F8FAFC"/>
            <w:tcMar>
              <w:top w:w="90" w:type="dxa"/>
              <w:left w:w="120" w:type="dxa"/>
              <w:bottom w:w="90" w:type="dxa"/>
              <w:right w:w="120" w:type="dxa"/>
            </w:tcMar>
          </w:tcPr>
          <w:p w14:paraId="05063ACC" w14:textId="77777777" w:rsidR="00AB70A3" w:rsidRDefault="00B56DB4">
            <w:pPr>
              <w:spacing w:after="0"/>
            </w:pPr>
            <w:r>
              <w:rPr>
                <w:rFonts w:ascii="Times New Roman" w:hAnsi="Times New Roman"/>
                <w:color w:val="1E293B"/>
                <w:sz w:val="19"/>
              </w:rPr>
              <w:t>4 Controls (weights: 1.5, 1, 2, 1.5)</w:t>
            </w:r>
          </w:p>
        </w:tc>
        <w:tc>
          <w:tcPr>
            <w:tcW w:w="1440" w:type="dxa"/>
            <w:shd w:val="clear" w:color="auto" w:fill="F8FAFC"/>
            <w:tcMar>
              <w:top w:w="90" w:type="dxa"/>
              <w:left w:w="120" w:type="dxa"/>
              <w:bottom w:w="90" w:type="dxa"/>
              <w:right w:w="120" w:type="dxa"/>
            </w:tcMar>
          </w:tcPr>
          <w:p w14:paraId="5B0A5C01" w14:textId="77777777" w:rsidR="00AB70A3" w:rsidRDefault="00B56DB4">
            <w:pPr>
              <w:spacing w:after="0"/>
            </w:pPr>
            <w:r>
              <w:rPr>
                <w:rFonts w:ascii="Times New Roman" w:hAnsi="Times New Roman"/>
                <w:color w:val="1E293B"/>
                <w:sz w:val="19"/>
              </w:rPr>
              <w:t>90.00%</w:t>
            </w:r>
          </w:p>
        </w:tc>
        <w:tc>
          <w:tcPr>
            <w:tcW w:w="1584" w:type="dxa"/>
            <w:shd w:val="clear" w:color="auto" w:fill="F8FAFC"/>
            <w:tcMar>
              <w:top w:w="90" w:type="dxa"/>
              <w:left w:w="120" w:type="dxa"/>
              <w:bottom w:w="90" w:type="dxa"/>
              <w:right w:w="120" w:type="dxa"/>
            </w:tcMar>
          </w:tcPr>
          <w:p w14:paraId="37787F89" w14:textId="77777777" w:rsidR="00AB70A3" w:rsidRDefault="00B56DB4">
            <w:pPr>
              <w:spacing w:after="0"/>
            </w:pPr>
            <w:r>
              <w:rPr>
                <w:rFonts w:ascii="Times New Roman" w:hAnsi="Times New Roman"/>
                <w:color w:val="1E293B"/>
                <w:sz w:val="19"/>
              </w:rPr>
              <w:t>18.00</w:t>
            </w:r>
          </w:p>
        </w:tc>
      </w:tr>
      <w:tr w:rsidR="00AB70A3" w14:paraId="1247C9BA" w14:textId="77777777">
        <w:trPr>
          <w:jc w:val="center"/>
        </w:trPr>
        <w:tc>
          <w:tcPr>
            <w:tcW w:w="2880" w:type="dxa"/>
            <w:shd w:val="clear" w:color="auto" w:fill="FFFFFF"/>
            <w:tcMar>
              <w:top w:w="90" w:type="dxa"/>
              <w:left w:w="120" w:type="dxa"/>
              <w:bottom w:w="90" w:type="dxa"/>
              <w:right w:w="120" w:type="dxa"/>
            </w:tcMar>
          </w:tcPr>
          <w:p w14:paraId="2D069D7F" w14:textId="77777777" w:rsidR="00AB70A3" w:rsidRDefault="00B56DB4">
            <w:pPr>
              <w:spacing w:after="0"/>
            </w:pPr>
            <w:r>
              <w:rPr>
                <w:rFonts w:ascii="Times New Roman" w:hAnsi="Times New Roman"/>
                <w:color w:val="1E293B"/>
                <w:sz w:val="19"/>
              </w:rPr>
              <w:t>Transparency &amp; Notice (transparency)</w:t>
            </w:r>
          </w:p>
        </w:tc>
        <w:tc>
          <w:tcPr>
            <w:tcW w:w="1584" w:type="dxa"/>
            <w:shd w:val="clear" w:color="auto" w:fill="FFFFFF"/>
            <w:tcMar>
              <w:top w:w="90" w:type="dxa"/>
              <w:left w:w="120" w:type="dxa"/>
              <w:bottom w:w="90" w:type="dxa"/>
              <w:right w:w="120" w:type="dxa"/>
            </w:tcMar>
          </w:tcPr>
          <w:p w14:paraId="71D4CCED" w14:textId="77777777" w:rsidR="00AB70A3" w:rsidRDefault="00B56DB4">
            <w:pPr>
              <w:spacing w:after="0"/>
            </w:pPr>
            <w:r>
              <w:rPr>
                <w:rFonts w:ascii="Times New Roman" w:hAnsi="Times New Roman"/>
                <w:color w:val="1E293B"/>
                <w:sz w:val="19"/>
              </w:rPr>
              <w:t>0.15</w:t>
            </w:r>
          </w:p>
        </w:tc>
        <w:tc>
          <w:tcPr>
            <w:tcW w:w="2880" w:type="dxa"/>
            <w:shd w:val="clear" w:color="auto" w:fill="FFFFFF"/>
            <w:tcMar>
              <w:top w:w="90" w:type="dxa"/>
              <w:left w:w="120" w:type="dxa"/>
              <w:bottom w:w="90" w:type="dxa"/>
              <w:right w:w="120" w:type="dxa"/>
            </w:tcMar>
          </w:tcPr>
          <w:p w14:paraId="0BC69E5B" w14:textId="77777777" w:rsidR="00AB70A3" w:rsidRDefault="00B56DB4">
            <w:pPr>
              <w:spacing w:after="0"/>
            </w:pPr>
            <w:r>
              <w:rPr>
                <w:rFonts w:ascii="Times New Roman" w:hAnsi="Times New Roman"/>
                <w:color w:val="1E293B"/>
                <w:sz w:val="19"/>
              </w:rPr>
              <w:t>2 Controls (weights: 2, 1.5)</w:t>
            </w:r>
          </w:p>
        </w:tc>
        <w:tc>
          <w:tcPr>
            <w:tcW w:w="1440" w:type="dxa"/>
            <w:shd w:val="clear" w:color="auto" w:fill="FFFFFF"/>
            <w:tcMar>
              <w:top w:w="90" w:type="dxa"/>
              <w:left w:w="120" w:type="dxa"/>
              <w:bottom w:w="90" w:type="dxa"/>
              <w:right w:w="120" w:type="dxa"/>
            </w:tcMar>
          </w:tcPr>
          <w:p w14:paraId="5DB5BF15" w14:textId="77777777" w:rsidR="00AB70A3" w:rsidRDefault="00B56DB4">
            <w:pPr>
              <w:spacing w:after="0"/>
            </w:pPr>
            <w:r>
              <w:rPr>
                <w:rFonts w:ascii="Times New Roman" w:hAnsi="Times New Roman"/>
                <w:color w:val="1E293B"/>
                <w:sz w:val="19"/>
              </w:rPr>
              <w:t>60.00%</w:t>
            </w:r>
          </w:p>
        </w:tc>
        <w:tc>
          <w:tcPr>
            <w:tcW w:w="1584" w:type="dxa"/>
            <w:shd w:val="clear" w:color="auto" w:fill="FFFFFF"/>
            <w:tcMar>
              <w:top w:w="90" w:type="dxa"/>
              <w:left w:w="120" w:type="dxa"/>
              <w:bottom w:w="90" w:type="dxa"/>
              <w:right w:w="120" w:type="dxa"/>
            </w:tcMar>
          </w:tcPr>
          <w:p w14:paraId="2070610C" w14:textId="77777777" w:rsidR="00AB70A3" w:rsidRDefault="00B56DB4">
            <w:pPr>
              <w:spacing w:after="0"/>
            </w:pPr>
            <w:r>
              <w:rPr>
                <w:rFonts w:ascii="Times New Roman" w:hAnsi="Times New Roman"/>
                <w:color w:val="1E293B"/>
                <w:sz w:val="19"/>
              </w:rPr>
              <w:t>9.00</w:t>
            </w:r>
          </w:p>
        </w:tc>
      </w:tr>
      <w:tr w:rsidR="00AB70A3" w14:paraId="136173DD" w14:textId="77777777">
        <w:trPr>
          <w:jc w:val="center"/>
        </w:trPr>
        <w:tc>
          <w:tcPr>
            <w:tcW w:w="2880" w:type="dxa"/>
            <w:shd w:val="clear" w:color="auto" w:fill="F8FAFC"/>
            <w:tcMar>
              <w:top w:w="90" w:type="dxa"/>
              <w:left w:w="120" w:type="dxa"/>
              <w:bottom w:w="90" w:type="dxa"/>
              <w:right w:w="120" w:type="dxa"/>
            </w:tcMar>
          </w:tcPr>
          <w:p w14:paraId="6712992B" w14:textId="77777777" w:rsidR="00AB70A3" w:rsidRDefault="00B56DB4">
            <w:pPr>
              <w:spacing w:after="0"/>
            </w:pPr>
            <w:r>
              <w:rPr>
                <w:rFonts w:ascii="Times New Roman" w:hAnsi="Times New Roman"/>
                <w:color w:val="1E293B"/>
                <w:sz w:val="19"/>
              </w:rPr>
              <w:t>Governance &amp; DPO (governance)</w:t>
            </w:r>
          </w:p>
        </w:tc>
        <w:tc>
          <w:tcPr>
            <w:tcW w:w="1584" w:type="dxa"/>
            <w:shd w:val="clear" w:color="auto" w:fill="F8FAFC"/>
            <w:tcMar>
              <w:top w:w="90" w:type="dxa"/>
              <w:left w:w="120" w:type="dxa"/>
              <w:bottom w:w="90" w:type="dxa"/>
              <w:right w:w="120" w:type="dxa"/>
            </w:tcMar>
          </w:tcPr>
          <w:p w14:paraId="4F8AF417" w14:textId="77777777" w:rsidR="00AB70A3" w:rsidRDefault="00B56DB4">
            <w:pPr>
              <w:spacing w:after="0"/>
            </w:pPr>
            <w:r>
              <w:rPr>
                <w:rFonts w:ascii="Times New Roman" w:hAnsi="Times New Roman"/>
                <w:color w:val="1E293B"/>
                <w:sz w:val="19"/>
              </w:rPr>
              <w:t>0.15</w:t>
            </w:r>
          </w:p>
        </w:tc>
        <w:tc>
          <w:tcPr>
            <w:tcW w:w="2880" w:type="dxa"/>
            <w:shd w:val="clear" w:color="auto" w:fill="F8FAFC"/>
            <w:tcMar>
              <w:top w:w="90" w:type="dxa"/>
              <w:left w:w="120" w:type="dxa"/>
              <w:bottom w:w="90" w:type="dxa"/>
              <w:right w:w="120" w:type="dxa"/>
            </w:tcMar>
          </w:tcPr>
          <w:p w14:paraId="20C2FEA8" w14:textId="77777777" w:rsidR="00AB70A3" w:rsidRDefault="00B56DB4">
            <w:pPr>
              <w:spacing w:after="0"/>
            </w:pPr>
            <w:r>
              <w:rPr>
                <w:rFonts w:ascii="Times New Roman" w:hAnsi="Times New Roman"/>
                <w:color w:val="1E293B"/>
                <w:sz w:val="19"/>
              </w:rPr>
              <w:t>3 Controls (weights: 2, 2, 1)</w:t>
            </w:r>
          </w:p>
        </w:tc>
        <w:tc>
          <w:tcPr>
            <w:tcW w:w="1440" w:type="dxa"/>
            <w:shd w:val="clear" w:color="auto" w:fill="F8FAFC"/>
            <w:tcMar>
              <w:top w:w="90" w:type="dxa"/>
              <w:left w:w="120" w:type="dxa"/>
              <w:bottom w:w="90" w:type="dxa"/>
              <w:right w:w="120" w:type="dxa"/>
            </w:tcMar>
          </w:tcPr>
          <w:p w14:paraId="73B046E0" w14:textId="77777777" w:rsidR="00AB70A3" w:rsidRDefault="00B56DB4">
            <w:pPr>
              <w:spacing w:after="0"/>
            </w:pPr>
            <w:r>
              <w:rPr>
                <w:rFonts w:ascii="Times New Roman" w:hAnsi="Times New Roman"/>
                <w:color w:val="1E293B"/>
                <w:sz w:val="19"/>
              </w:rPr>
              <w:t>40.00%</w:t>
            </w:r>
          </w:p>
        </w:tc>
        <w:tc>
          <w:tcPr>
            <w:tcW w:w="1584" w:type="dxa"/>
            <w:shd w:val="clear" w:color="auto" w:fill="F8FAFC"/>
            <w:tcMar>
              <w:top w:w="90" w:type="dxa"/>
              <w:left w:w="120" w:type="dxa"/>
              <w:bottom w:w="90" w:type="dxa"/>
              <w:right w:w="120" w:type="dxa"/>
            </w:tcMar>
          </w:tcPr>
          <w:p w14:paraId="4C9BE307" w14:textId="77777777" w:rsidR="00AB70A3" w:rsidRDefault="00B56DB4">
            <w:pPr>
              <w:spacing w:after="0"/>
            </w:pPr>
            <w:r>
              <w:rPr>
                <w:rFonts w:ascii="Times New Roman" w:hAnsi="Times New Roman"/>
                <w:color w:val="1E293B"/>
                <w:sz w:val="19"/>
              </w:rPr>
              <w:t>6.00</w:t>
            </w:r>
          </w:p>
        </w:tc>
      </w:tr>
      <w:tr w:rsidR="00AB70A3" w14:paraId="046FF54F" w14:textId="77777777">
        <w:trPr>
          <w:jc w:val="center"/>
        </w:trPr>
        <w:tc>
          <w:tcPr>
            <w:tcW w:w="2880" w:type="dxa"/>
            <w:shd w:val="clear" w:color="auto" w:fill="FFFFFF"/>
            <w:tcMar>
              <w:top w:w="90" w:type="dxa"/>
              <w:left w:w="120" w:type="dxa"/>
              <w:bottom w:w="90" w:type="dxa"/>
              <w:right w:w="120" w:type="dxa"/>
            </w:tcMar>
          </w:tcPr>
          <w:p w14:paraId="1CA6A37A" w14:textId="77777777" w:rsidR="00AB70A3" w:rsidRDefault="00B56DB4">
            <w:pPr>
              <w:spacing w:after="0"/>
            </w:pPr>
            <w:r>
              <w:rPr>
                <w:rFonts w:ascii="Times New Roman" w:hAnsi="Times New Roman"/>
                <w:color w:val="1E293B"/>
                <w:sz w:val="19"/>
              </w:rPr>
              <w:t>Data Lifecycle (lifecycle)</w:t>
            </w:r>
          </w:p>
        </w:tc>
        <w:tc>
          <w:tcPr>
            <w:tcW w:w="1584" w:type="dxa"/>
            <w:shd w:val="clear" w:color="auto" w:fill="FFFFFF"/>
            <w:tcMar>
              <w:top w:w="90" w:type="dxa"/>
              <w:left w:w="120" w:type="dxa"/>
              <w:bottom w:w="90" w:type="dxa"/>
              <w:right w:w="120" w:type="dxa"/>
            </w:tcMar>
          </w:tcPr>
          <w:p w14:paraId="3FDA5005" w14:textId="77777777" w:rsidR="00AB70A3" w:rsidRDefault="00B56DB4">
            <w:pPr>
              <w:spacing w:after="0"/>
            </w:pPr>
            <w:r>
              <w:rPr>
                <w:rFonts w:ascii="Times New Roman" w:hAnsi="Times New Roman"/>
                <w:color w:val="1E293B"/>
                <w:sz w:val="19"/>
              </w:rPr>
              <w:t>0.15</w:t>
            </w:r>
          </w:p>
        </w:tc>
        <w:tc>
          <w:tcPr>
            <w:tcW w:w="2880" w:type="dxa"/>
            <w:shd w:val="clear" w:color="auto" w:fill="FFFFFF"/>
            <w:tcMar>
              <w:top w:w="90" w:type="dxa"/>
              <w:left w:w="120" w:type="dxa"/>
              <w:bottom w:w="90" w:type="dxa"/>
              <w:right w:w="120" w:type="dxa"/>
            </w:tcMar>
          </w:tcPr>
          <w:p w14:paraId="353C9B58" w14:textId="77777777" w:rsidR="00AB70A3" w:rsidRDefault="00B56DB4">
            <w:pPr>
              <w:spacing w:after="0"/>
            </w:pPr>
            <w:r>
              <w:rPr>
                <w:rFonts w:ascii="Times New Roman" w:hAnsi="Times New Roman"/>
                <w:color w:val="1E293B"/>
                <w:sz w:val="19"/>
              </w:rPr>
              <w:t>3 Controls (weights: 2, 1.5, 1.5)</w:t>
            </w:r>
          </w:p>
        </w:tc>
        <w:tc>
          <w:tcPr>
            <w:tcW w:w="1440" w:type="dxa"/>
            <w:shd w:val="clear" w:color="auto" w:fill="FFFFFF"/>
            <w:tcMar>
              <w:top w:w="90" w:type="dxa"/>
              <w:left w:w="120" w:type="dxa"/>
              <w:bottom w:w="90" w:type="dxa"/>
              <w:right w:w="120" w:type="dxa"/>
            </w:tcMar>
          </w:tcPr>
          <w:p w14:paraId="71205C67" w14:textId="77777777" w:rsidR="00AB70A3" w:rsidRDefault="00B56DB4">
            <w:pPr>
              <w:spacing w:after="0"/>
            </w:pPr>
            <w:r>
              <w:rPr>
                <w:rFonts w:ascii="Times New Roman" w:hAnsi="Times New Roman"/>
                <w:color w:val="1E293B"/>
                <w:sz w:val="19"/>
              </w:rPr>
              <w:t>50.00%</w:t>
            </w:r>
          </w:p>
        </w:tc>
        <w:tc>
          <w:tcPr>
            <w:tcW w:w="1584" w:type="dxa"/>
            <w:shd w:val="clear" w:color="auto" w:fill="FFFFFF"/>
            <w:tcMar>
              <w:top w:w="90" w:type="dxa"/>
              <w:left w:w="120" w:type="dxa"/>
              <w:bottom w:w="90" w:type="dxa"/>
              <w:right w:w="120" w:type="dxa"/>
            </w:tcMar>
          </w:tcPr>
          <w:p w14:paraId="0185C8AB" w14:textId="77777777" w:rsidR="00AB70A3" w:rsidRDefault="00B56DB4">
            <w:pPr>
              <w:spacing w:after="0"/>
            </w:pPr>
            <w:r>
              <w:rPr>
                <w:rFonts w:ascii="Times New Roman" w:hAnsi="Times New Roman"/>
                <w:color w:val="1E293B"/>
                <w:sz w:val="19"/>
              </w:rPr>
              <w:t>7.50</w:t>
            </w:r>
          </w:p>
        </w:tc>
      </w:tr>
      <w:tr w:rsidR="00AB70A3" w14:paraId="28EBCBF5" w14:textId="77777777">
        <w:trPr>
          <w:jc w:val="center"/>
        </w:trPr>
        <w:tc>
          <w:tcPr>
            <w:tcW w:w="2880" w:type="dxa"/>
            <w:shd w:val="clear" w:color="auto" w:fill="F8FAFC"/>
            <w:tcMar>
              <w:top w:w="90" w:type="dxa"/>
              <w:left w:w="120" w:type="dxa"/>
              <w:bottom w:w="90" w:type="dxa"/>
              <w:right w:w="120" w:type="dxa"/>
            </w:tcMar>
          </w:tcPr>
          <w:p w14:paraId="5622791E" w14:textId="77777777" w:rsidR="00AB70A3" w:rsidRDefault="00B56DB4">
            <w:pPr>
              <w:spacing w:after="0"/>
            </w:pPr>
            <w:r>
              <w:rPr>
                <w:rFonts w:ascii="Times New Roman" w:hAnsi="Times New Roman"/>
                <w:color w:val="1E293B"/>
                <w:sz w:val="19"/>
              </w:rPr>
              <w:t>Data Principal Rights (rights)</w:t>
            </w:r>
          </w:p>
        </w:tc>
        <w:tc>
          <w:tcPr>
            <w:tcW w:w="1584" w:type="dxa"/>
            <w:shd w:val="clear" w:color="auto" w:fill="F8FAFC"/>
            <w:tcMar>
              <w:top w:w="90" w:type="dxa"/>
              <w:left w:w="120" w:type="dxa"/>
              <w:bottom w:w="90" w:type="dxa"/>
              <w:right w:w="120" w:type="dxa"/>
            </w:tcMar>
          </w:tcPr>
          <w:p w14:paraId="038D59B0" w14:textId="77777777" w:rsidR="00AB70A3" w:rsidRDefault="00B56DB4">
            <w:pPr>
              <w:spacing w:after="0"/>
            </w:pPr>
            <w:r>
              <w:rPr>
                <w:rFonts w:ascii="Times New Roman" w:hAnsi="Times New Roman"/>
                <w:color w:val="1E293B"/>
                <w:sz w:val="19"/>
              </w:rPr>
              <w:t>0.15</w:t>
            </w:r>
          </w:p>
        </w:tc>
        <w:tc>
          <w:tcPr>
            <w:tcW w:w="2880" w:type="dxa"/>
            <w:shd w:val="clear" w:color="auto" w:fill="F8FAFC"/>
            <w:tcMar>
              <w:top w:w="90" w:type="dxa"/>
              <w:left w:w="120" w:type="dxa"/>
              <w:bottom w:w="90" w:type="dxa"/>
              <w:right w:w="120" w:type="dxa"/>
            </w:tcMar>
          </w:tcPr>
          <w:p w14:paraId="60B66ABC" w14:textId="77777777" w:rsidR="00AB70A3" w:rsidRDefault="00B56DB4">
            <w:pPr>
              <w:spacing w:after="0"/>
            </w:pPr>
            <w:r>
              <w:rPr>
                <w:rFonts w:ascii="Times New Roman" w:hAnsi="Times New Roman"/>
                <w:color w:val="1E293B"/>
                <w:sz w:val="19"/>
              </w:rPr>
              <w:t>3 Controls (weights: 1.5, 1.5, 2)</w:t>
            </w:r>
          </w:p>
        </w:tc>
        <w:tc>
          <w:tcPr>
            <w:tcW w:w="1440" w:type="dxa"/>
            <w:shd w:val="clear" w:color="auto" w:fill="F8FAFC"/>
            <w:tcMar>
              <w:top w:w="90" w:type="dxa"/>
              <w:left w:w="120" w:type="dxa"/>
              <w:bottom w:w="90" w:type="dxa"/>
              <w:right w:w="120" w:type="dxa"/>
            </w:tcMar>
          </w:tcPr>
          <w:p w14:paraId="5129982B" w14:textId="77777777" w:rsidR="00AB70A3" w:rsidRDefault="00B56DB4">
            <w:pPr>
              <w:spacing w:after="0"/>
            </w:pPr>
            <w:r>
              <w:rPr>
                <w:rFonts w:ascii="Times New Roman" w:hAnsi="Times New Roman"/>
                <w:color w:val="1E293B"/>
                <w:sz w:val="19"/>
              </w:rPr>
              <w:t>70.00%</w:t>
            </w:r>
          </w:p>
        </w:tc>
        <w:tc>
          <w:tcPr>
            <w:tcW w:w="1584" w:type="dxa"/>
            <w:shd w:val="clear" w:color="auto" w:fill="F8FAFC"/>
            <w:tcMar>
              <w:top w:w="90" w:type="dxa"/>
              <w:left w:w="120" w:type="dxa"/>
              <w:bottom w:w="90" w:type="dxa"/>
              <w:right w:w="120" w:type="dxa"/>
            </w:tcMar>
          </w:tcPr>
          <w:p w14:paraId="43BF9CB6" w14:textId="77777777" w:rsidR="00AB70A3" w:rsidRDefault="00B56DB4">
            <w:pPr>
              <w:spacing w:after="0"/>
            </w:pPr>
            <w:r>
              <w:rPr>
                <w:rFonts w:ascii="Times New Roman" w:hAnsi="Times New Roman"/>
                <w:color w:val="1E293B"/>
                <w:sz w:val="19"/>
              </w:rPr>
              <w:t>10.50</w:t>
            </w:r>
          </w:p>
        </w:tc>
      </w:tr>
      <w:tr w:rsidR="00AB70A3" w14:paraId="77E0FF74" w14:textId="77777777">
        <w:trPr>
          <w:jc w:val="center"/>
        </w:trPr>
        <w:tc>
          <w:tcPr>
            <w:tcW w:w="2880" w:type="dxa"/>
            <w:shd w:val="clear" w:color="auto" w:fill="FFFFFF"/>
            <w:tcMar>
              <w:top w:w="90" w:type="dxa"/>
              <w:left w:w="120" w:type="dxa"/>
              <w:bottom w:w="90" w:type="dxa"/>
              <w:right w:w="120" w:type="dxa"/>
            </w:tcMar>
          </w:tcPr>
          <w:p w14:paraId="78FC47AC" w14:textId="77777777" w:rsidR="00AB70A3" w:rsidRDefault="00B56DB4">
            <w:pPr>
              <w:spacing w:after="0"/>
            </w:pPr>
            <w:r>
              <w:rPr>
                <w:rFonts w:ascii="Times New Roman" w:hAnsi="Times New Roman"/>
                <w:color w:val="1E293B"/>
                <w:sz w:val="19"/>
              </w:rPr>
              <w:t>Calculated Trust Score</w:t>
            </w:r>
          </w:p>
        </w:tc>
        <w:tc>
          <w:tcPr>
            <w:tcW w:w="1584" w:type="dxa"/>
            <w:shd w:val="clear" w:color="auto" w:fill="FFFFFF"/>
            <w:tcMar>
              <w:top w:w="90" w:type="dxa"/>
              <w:left w:w="120" w:type="dxa"/>
              <w:bottom w:w="90" w:type="dxa"/>
              <w:right w:w="120" w:type="dxa"/>
            </w:tcMar>
          </w:tcPr>
          <w:p w14:paraId="0156913E" w14:textId="77777777" w:rsidR="00AB70A3" w:rsidRDefault="00B56DB4">
            <w:pPr>
              <w:spacing w:after="0"/>
            </w:pPr>
            <w:r>
              <w:rPr>
                <w:rFonts w:ascii="Times New Roman" w:hAnsi="Times New Roman"/>
                <w:color w:val="1E293B"/>
                <w:sz w:val="19"/>
              </w:rPr>
              <w:t>1.00 (Total)</w:t>
            </w:r>
          </w:p>
        </w:tc>
        <w:tc>
          <w:tcPr>
            <w:tcW w:w="2880" w:type="dxa"/>
            <w:shd w:val="clear" w:color="auto" w:fill="FFFFFF"/>
            <w:tcMar>
              <w:top w:w="90" w:type="dxa"/>
              <w:left w:w="120" w:type="dxa"/>
              <w:bottom w:w="90" w:type="dxa"/>
              <w:right w:w="120" w:type="dxa"/>
            </w:tcMar>
          </w:tcPr>
          <w:p w14:paraId="710E9F75" w14:textId="77777777" w:rsidR="00AB70A3" w:rsidRDefault="00B56DB4">
            <w:pPr>
              <w:spacing w:after="0"/>
            </w:pPr>
            <w:r>
              <w:rPr>
                <w:rFonts w:ascii="Times New Roman" w:hAnsi="Times New Roman"/>
                <w:color w:val="1E293B"/>
                <w:sz w:val="19"/>
              </w:rPr>
              <w:t>20 Canonical Controls Evaluated</w:t>
            </w:r>
          </w:p>
        </w:tc>
        <w:tc>
          <w:tcPr>
            <w:tcW w:w="1440" w:type="dxa"/>
            <w:shd w:val="clear" w:color="auto" w:fill="FFFFFF"/>
            <w:tcMar>
              <w:top w:w="90" w:type="dxa"/>
              <w:left w:w="120" w:type="dxa"/>
              <w:bottom w:w="90" w:type="dxa"/>
              <w:right w:w="120" w:type="dxa"/>
            </w:tcMar>
          </w:tcPr>
          <w:p w14:paraId="59084497" w14:textId="77777777" w:rsidR="00AB70A3" w:rsidRDefault="00B56DB4">
            <w:pPr>
              <w:spacing w:after="0"/>
            </w:pPr>
            <w:r>
              <w:rPr>
                <w:rFonts w:ascii="Times New Roman" w:hAnsi="Times New Roman"/>
                <w:color w:val="1E293B"/>
                <w:sz w:val="19"/>
              </w:rPr>
              <w:t>68.00 / 100</w:t>
            </w:r>
          </w:p>
        </w:tc>
        <w:tc>
          <w:tcPr>
            <w:tcW w:w="1584" w:type="dxa"/>
            <w:shd w:val="clear" w:color="auto" w:fill="FFFFFF"/>
            <w:tcMar>
              <w:top w:w="90" w:type="dxa"/>
              <w:left w:w="120" w:type="dxa"/>
              <w:bottom w:w="90" w:type="dxa"/>
              <w:right w:w="120" w:type="dxa"/>
            </w:tcMar>
          </w:tcPr>
          <w:p w14:paraId="2D3C2841" w14:textId="77777777" w:rsidR="00AB70A3" w:rsidRDefault="00B56DB4">
            <w:pPr>
              <w:spacing w:after="0"/>
            </w:pPr>
            <w:r>
              <w:rPr>
                <w:rFonts w:ascii="Times New Roman" w:hAnsi="Times New Roman"/>
                <w:color w:val="1E293B"/>
                <w:sz w:val="19"/>
              </w:rPr>
              <w:t>68.00 (Needs Attention)</w:t>
            </w:r>
          </w:p>
        </w:tc>
      </w:tr>
    </w:tbl>
    <w:p w14:paraId="0DB50E0A" w14:textId="77777777" w:rsidR="00AB70A3" w:rsidRDefault="00AB70A3">
      <w:pPr>
        <w:spacing w:after="120"/>
      </w:pPr>
    </w:p>
    <w:p w14:paraId="75E843B6" w14:textId="77777777" w:rsidR="00AB70A3" w:rsidRDefault="00B56DB4">
      <w:pPr>
        <w:spacing w:after="120"/>
        <w:jc w:val="both"/>
      </w:pPr>
      <w:r>
        <w:rPr>
          <w:rFonts w:ascii="Times New Roman" w:hAnsi="Times New Roman"/>
          <w:color w:val="1E293B"/>
        </w:rPr>
        <w:t>Posture Band Mapping: The resulting score of 68.00 falls into the 'Needs Attention' band (65.0 &lt;= Score &lt; 80.0), indicating that while foundational transport security is established, critical governance gaps in DPO appointment and data lifecycle management require remediation prior to statutory enforcement.</w:t>
      </w:r>
    </w:p>
    <w:p w14:paraId="6A7A9227" w14:textId="77777777" w:rsidR="00AB70A3" w:rsidRDefault="00B56DB4">
      <w:pPr>
        <w:keepNext/>
        <w:spacing w:before="200" w:after="80"/>
      </w:pPr>
      <w:r>
        <w:rPr>
          <w:rFonts w:ascii="Times New Roman" w:hAnsi="Times New Roman"/>
          <w:b/>
          <w:color w:val="0F172A"/>
          <w:sz w:val="24"/>
        </w:rPr>
        <w:t>4.5 Example 5: Transforming Evidence into a Prioritized Remediation Finding</w:t>
      </w:r>
    </w:p>
    <w:p w14:paraId="7B45D7E1" w14:textId="77777777" w:rsidR="00AB70A3" w:rsidRDefault="00B56DB4">
      <w:pPr>
        <w:spacing w:after="120"/>
        <w:jc w:val="both"/>
      </w:pPr>
      <w:r>
        <w:rPr>
          <w:rFonts w:ascii="Times New Roman" w:hAnsi="Times New Roman"/>
          <w:color w:val="1E293B"/>
        </w:rPr>
        <w:t>The ultimate output of TrustForge is actionable intelligence for engineering and legal teams:</w:t>
      </w:r>
    </w:p>
    <w:p w14:paraId="4177BA4A" w14:textId="77777777" w:rsidR="00AB70A3" w:rsidRDefault="00B56DB4">
      <w:pPr>
        <w:pStyle w:val="ListBullet"/>
        <w:spacing w:after="60"/>
        <w:jc w:val="both"/>
      </w:pPr>
      <w:r>
        <w:rPr>
          <w:rFonts w:ascii="Times New Roman" w:hAnsi="Times New Roman"/>
          <w:b/>
          <w:color w:val="0F172A"/>
        </w:rPr>
        <w:t xml:space="preserve">Raw Evidence Detected: </w:t>
      </w:r>
      <w:r>
        <w:rPr>
          <w:rFonts w:ascii="Times New Roman" w:hAnsi="Times New Roman"/>
          <w:color w:val="1E293B"/>
        </w:rPr>
        <w:t>No mention of a Data Protection Officer or grievance officer email address anywhere on the website.</w:t>
      </w:r>
    </w:p>
    <w:p w14:paraId="293283EC" w14:textId="77777777" w:rsidR="00AB70A3" w:rsidRDefault="00B56DB4">
      <w:pPr>
        <w:pStyle w:val="ListBullet"/>
        <w:spacing w:after="60"/>
        <w:jc w:val="both"/>
      </w:pPr>
      <w:r>
        <w:rPr>
          <w:rFonts w:ascii="Times New Roman" w:hAnsi="Times New Roman"/>
          <w:b/>
          <w:color w:val="0F172A"/>
        </w:rPr>
        <w:t xml:space="preserve">Control ID: </w:t>
      </w:r>
      <w:r>
        <w:rPr>
          <w:rFonts w:ascii="Times New Roman" w:hAnsi="Times New Roman"/>
          <w:color w:val="1E293B"/>
        </w:rPr>
        <w:t>TF-GOV-002 (Grievance Redressal Mechanism).</w:t>
      </w:r>
    </w:p>
    <w:p w14:paraId="11FBC2D0" w14:textId="77777777" w:rsidR="00AB70A3" w:rsidRDefault="00B56DB4">
      <w:pPr>
        <w:pStyle w:val="ListBullet"/>
        <w:spacing w:after="60"/>
        <w:jc w:val="both"/>
      </w:pPr>
      <w:r>
        <w:rPr>
          <w:rFonts w:ascii="Times New Roman" w:hAnsi="Times New Roman"/>
          <w:b/>
          <w:color w:val="0F172A"/>
        </w:rPr>
        <w:t xml:space="preserve">Statutory Reference: </w:t>
      </w:r>
      <w:r>
        <w:rPr>
          <w:rFonts w:ascii="Times New Roman" w:hAnsi="Times New Roman"/>
          <w:color w:val="1E293B"/>
        </w:rPr>
        <w:t>DPDP Act 2023, Section 8(9) ('Data Fiduciary shall establish an effective mechanism to redress grievances of Data Principals') and Rule 8 of DPDP Rules 2025.</w:t>
      </w:r>
    </w:p>
    <w:p w14:paraId="026D6362" w14:textId="77777777" w:rsidR="00AB70A3" w:rsidRDefault="00B56DB4">
      <w:pPr>
        <w:pStyle w:val="ListBullet"/>
        <w:spacing w:after="60"/>
        <w:jc w:val="both"/>
      </w:pPr>
      <w:r>
        <w:rPr>
          <w:rFonts w:ascii="Times New Roman" w:hAnsi="Times New Roman"/>
          <w:b/>
          <w:color w:val="0F172A"/>
        </w:rPr>
        <w:t xml:space="preserve">Severity Rating: </w:t>
      </w:r>
      <w:r>
        <w:rPr>
          <w:rFonts w:ascii="Times New Roman" w:hAnsi="Times New Roman"/>
          <w:color w:val="1E293B"/>
        </w:rPr>
        <w:t>HIGH RISK. (Penalty under statutory Schedule: up to INR 50 Crores).</w:t>
      </w:r>
    </w:p>
    <w:p w14:paraId="398A5475" w14:textId="77777777" w:rsidR="00AB70A3" w:rsidRDefault="00B56DB4">
      <w:pPr>
        <w:pStyle w:val="ListBullet"/>
        <w:spacing w:after="60"/>
        <w:jc w:val="both"/>
      </w:pPr>
      <w:r>
        <w:rPr>
          <w:rFonts w:ascii="Times New Roman" w:hAnsi="Times New Roman"/>
          <w:b/>
          <w:color w:val="0F172A"/>
        </w:rPr>
        <w:t xml:space="preserve">Remediation Action: </w:t>
      </w:r>
      <w:r>
        <w:rPr>
          <w:rFonts w:ascii="Times New Roman" w:hAnsi="Times New Roman"/>
          <w:color w:val="1E293B"/>
        </w:rPr>
        <w:t>Publish the name, designation, and contact details (email and postal address) of the Grievance Officer on the website footer and within the privacy notice within 14 business days.</w:t>
      </w:r>
    </w:p>
    <w:p w14:paraId="0AD6ECA5" w14:textId="77777777" w:rsidR="00AB70A3" w:rsidRDefault="00B56DB4">
      <w:r>
        <w:br w:type="page"/>
      </w:r>
    </w:p>
    <w:p w14:paraId="72411BC7" w14:textId="77777777" w:rsidR="00AB70A3" w:rsidRDefault="00B56DB4">
      <w:pPr>
        <w:keepNext/>
        <w:spacing w:before="240" w:after="240"/>
      </w:pPr>
      <w:r>
        <w:rPr>
          <w:rFonts w:ascii="Times New Roman" w:hAnsi="Times New Roman"/>
          <w:b/>
          <w:color w:val="1F4E79"/>
          <w:sz w:val="28"/>
        </w:rPr>
        <w:lastRenderedPageBreak/>
        <w:t>CHAPTER 5: EXPERIMENTAL RESULTS AND DISCUSSION</w:t>
      </w:r>
    </w:p>
    <w:p w14:paraId="46D39715" w14:textId="77777777" w:rsidR="00AB70A3" w:rsidRDefault="00B56DB4">
      <w:pPr>
        <w:keepNext/>
        <w:spacing w:before="160" w:after="80"/>
      </w:pPr>
      <w:r>
        <w:rPr>
          <w:rFonts w:ascii="Times New Roman" w:hAnsi="Times New Roman"/>
          <w:b/>
          <w:color w:val="0F172A"/>
          <w:sz w:val="24"/>
        </w:rPr>
        <w:t>5.1 Hybrid Statutory Retrieval Benchmark</w:t>
      </w:r>
    </w:p>
    <w:p w14:paraId="3E57C8C9" w14:textId="77777777" w:rsidR="00AB70A3" w:rsidRDefault="00B56DB4">
      <w:pPr>
        <w:spacing w:after="120"/>
        <w:jc w:val="both"/>
      </w:pPr>
      <w:r>
        <w:rPr>
          <w:rFonts w:ascii="Times New Roman" w:hAnsi="Times New Roman"/>
          <w:color w:val="1E293B"/>
        </w:rPr>
        <w:t>Table I presents the quantitative evaluation of the statutory retrieval subsystem across 45 authoritative queries against the 83-chunk DPDP legal corpus (60 Act chunks, 23 Rule chunks). The results establish clear trade-offs between sparse lexical and dense semantic models:</w:t>
      </w:r>
    </w:p>
    <w:tbl>
      <w:tblPr>
        <w:tblW w:w="0" w:type="auto"/>
        <w:jc w:val="center"/>
        <w:tblLook w:val="04A0" w:firstRow="1" w:lastRow="0" w:firstColumn="1" w:lastColumn="0" w:noHBand="0" w:noVBand="1"/>
      </w:tblPr>
      <w:tblGrid>
        <w:gridCol w:w="1996"/>
        <w:gridCol w:w="1477"/>
        <w:gridCol w:w="1607"/>
        <w:gridCol w:w="1727"/>
        <w:gridCol w:w="2502"/>
      </w:tblGrid>
      <w:tr w:rsidR="00AB70A3" w14:paraId="4D1FB983" w14:textId="77777777">
        <w:trPr>
          <w:jc w:val="center"/>
        </w:trPr>
        <w:tc>
          <w:tcPr>
            <w:tcW w:w="2160" w:type="dxa"/>
            <w:shd w:val="clear" w:color="auto" w:fill="1F4E79"/>
            <w:tcMar>
              <w:top w:w="120" w:type="dxa"/>
              <w:left w:w="140" w:type="dxa"/>
              <w:bottom w:w="120" w:type="dxa"/>
              <w:right w:w="140" w:type="dxa"/>
            </w:tcMar>
          </w:tcPr>
          <w:p w14:paraId="48BE9DC9" w14:textId="77777777" w:rsidR="00AB70A3" w:rsidRDefault="00B56DB4">
            <w:pPr>
              <w:spacing w:after="0"/>
              <w:jc w:val="center"/>
            </w:pPr>
            <w:r>
              <w:rPr>
                <w:rFonts w:ascii="Times New Roman" w:hAnsi="Times New Roman"/>
                <w:b/>
                <w:color w:val="FFFFFF"/>
                <w:sz w:val="20"/>
              </w:rPr>
              <w:t>Retrieval Metric</w:t>
            </w:r>
          </w:p>
        </w:tc>
        <w:tc>
          <w:tcPr>
            <w:tcW w:w="1584" w:type="dxa"/>
            <w:shd w:val="clear" w:color="auto" w:fill="1F4E79"/>
            <w:tcMar>
              <w:top w:w="120" w:type="dxa"/>
              <w:left w:w="140" w:type="dxa"/>
              <w:bottom w:w="120" w:type="dxa"/>
              <w:right w:w="140" w:type="dxa"/>
            </w:tcMar>
          </w:tcPr>
          <w:p w14:paraId="53B80EE5" w14:textId="77777777" w:rsidR="00AB70A3" w:rsidRDefault="00B56DB4">
            <w:pPr>
              <w:spacing w:after="0"/>
              <w:jc w:val="center"/>
            </w:pPr>
            <w:r>
              <w:rPr>
                <w:rFonts w:ascii="Times New Roman" w:hAnsi="Times New Roman"/>
                <w:b/>
                <w:color w:val="FFFFFF"/>
                <w:sz w:val="20"/>
              </w:rPr>
              <w:t>BM25-Only</w:t>
            </w:r>
          </w:p>
        </w:tc>
        <w:tc>
          <w:tcPr>
            <w:tcW w:w="1728" w:type="dxa"/>
            <w:shd w:val="clear" w:color="auto" w:fill="1F4E79"/>
            <w:tcMar>
              <w:top w:w="120" w:type="dxa"/>
              <w:left w:w="140" w:type="dxa"/>
              <w:bottom w:w="120" w:type="dxa"/>
              <w:right w:w="140" w:type="dxa"/>
            </w:tcMar>
          </w:tcPr>
          <w:p w14:paraId="57205017" w14:textId="77777777" w:rsidR="00AB70A3" w:rsidRDefault="00B56DB4">
            <w:pPr>
              <w:spacing w:after="0"/>
              <w:jc w:val="center"/>
            </w:pPr>
            <w:r>
              <w:rPr>
                <w:rFonts w:ascii="Times New Roman" w:hAnsi="Times New Roman"/>
                <w:b/>
                <w:color w:val="FFFFFF"/>
                <w:sz w:val="20"/>
              </w:rPr>
              <w:t>Vector-Only</w:t>
            </w:r>
          </w:p>
        </w:tc>
        <w:tc>
          <w:tcPr>
            <w:tcW w:w="1872" w:type="dxa"/>
            <w:shd w:val="clear" w:color="auto" w:fill="1F4E79"/>
            <w:tcMar>
              <w:top w:w="120" w:type="dxa"/>
              <w:left w:w="140" w:type="dxa"/>
              <w:bottom w:w="120" w:type="dxa"/>
              <w:right w:w="140" w:type="dxa"/>
            </w:tcMar>
          </w:tcPr>
          <w:p w14:paraId="0DAD6796" w14:textId="77777777" w:rsidR="00AB70A3" w:rsidRDefault="00B56DB4">
            <w:pPr>
              <w:spacing w:after="0"/>
              <w:jc w:val="center"/>
            </w:pPr>
            <w:r>
              <w:rPr>
                <w:rFonts w:ascii="Times New Roman" w:hAnsi="Times New Roman"/>
                <w:b/>
                <w:color w:val="FFFFFF"/>
                <w:sz w:val="20"/>
              </w:rPr>
              <w:t>Hybrid RRF (k=60)</w:t>
            </w:r>
          </w:p>
        </w:tc>
        <w:tc>
          <w:tcPr>
            <w:tcW w:w="2736" w:type="dxa"/>
            <w:shd w:val="clear" w:color="auto" w:fill="1F4E79"/>
            <w:tcMar>
              <w:top w:w="120" w:type="dxa"/>
              <w:left w:w="140" w:type="dxa"/>
              <w:bottom w:w="120" w:type="dxa"/>
              <w:right w:w="140" w:type="dxa"/>
            </w:tcMar>
          </w:tcPr>
          <w:p w14:paraId="506BA82D" w14:textId="77777777" w:rsidR="00AB70A3" w:rsidRDefault="00B56DB4">
            <w:pPr>
              <w:spacing w:after="0"/>
              <w:jc w:val="center"/>
            </w:pPr>
            <w:r>
              <w:rPr>
                <w:rFonts w:ascii="Times New Roman" w:hAnsi="Times New Roman"/>
                <w:b/>
                <w:color w:val="FFFFFF"/>
                <w:sz w:val="20"/>
              </w:rPr>
              <w:t>Observed Behavior &amp; Trade-off</w:t>
            </w:r>
          </w:p>
        </w:tc>
      </w:tr>
      <w:tr w:rsidR="00AB70A3" w14:paraId="60666123" w14:textId="77777777">
        <w:trPr>
          <w:jc w:val="center"/>
        </w:trPr>
        <w:tc>
          <w:tcPr>
            <w:tcW w:w="2160" w:type="dxa"/>
            <w:shd w:val="clear" w:color="auto" w:fill="FFFFFF"/>
            <w:tcMar>
              <w:top w:w="90" w:type="dxa"/>
              <w:left w:w="120" w:type="dxa"/>
              <w:bottom w:w="90" w:type="dxa"/>
              <w:right w:w="120" w:type="dxa"/>
            </w:tcMar>
          </w:tcPr>
          <w:p w14:paraId="551CB765" w14:textId="77777777" w:rsidR="00AB70A3" w:rsidRDefault="00B56DB4">
            <w:pPr>
              <w:spacing w:after="0"/>
            </w:pPr>
            <w:r>
              <w:rPr>
                <w:rFonts w:ascii="Times New Roman" w:hAnsi="Times New Roman"/>
                <w:color w:val="1E293B"/>
                <w:sz w:val="19"/>
              </w:rPr>
              <w:t>Hit@1 (%)</w:t>
            </w:r>
          </w:p>
        </w:tc>
        <w:tc>
          <w:tcPr>
            <w:tcW w:w="1584" w:type="dxa"/>
            <w:shd w:val="clear" w:color="auto" w:fill="FFFFFF"/>
            <w:tcMar>
              <w:top w:w="90" w:type="dxa"/>
              <w:left w:w="120" w:type="dxa"/>
              <w:bottom w:w="90" w:type="dxa"/>
              <w:right w:w="120" w:type="dxa"/>
            </w:tcMar>
          </w:tcPr>
          <w:p w14:paraId="49B4919B" w14:textId="77777777" w:rsidR="00AB70A3" w:rsidRDefault="00B56DB4">
            <w:pPr>
              <w:spacing w:after="0"/>
            </w:pPr>
            <w:r>
              <w:rPr>
                <w:rFonts w:ascii="Times New Roman" w:hAnsi="Times New Roman"/>
                <w:color w:val="1E293B"/>
                <w:sz w:val="19"/>
              </w:rPr>
              <w:t>68.9% (31/45)</w:t>
            </w:r>
          </w:p>
        </w:tc>
        <w:tc>
          <w:tcPr>
            <w:tcW w:w="1728" w:type="dxa"/>
            <w:shd w:val="clear" w:color="auto" w:fill="FFFFFF"/>
            <w:tcMar>
              <w:top w:w="90" w:type="dxa"/>
              <w:left w:w="120" w:type="dxa"/>
              <w:bottom w:w="90" w:type="dxa"/>
              <w:right w:w="120" w:type="dxa"/>
            </w:tcMar>
          </w:tcPr>
          <w:p w14:paraId="2F42C113" w14:textId="77777777" w:rsidR="00AB70A3" w:rsidRDefault="00B56DB4">
            <w:pPr>
              <w:spacing w:after="0"/>
            </w:pPr>
            <w:r>
              <w:rPr>
                <w:rFonts w:ascii="Times New Roman" w:hAnsi="Times New Roman"/>
                <w:color w:val="1E293B"/>
                <w:sz w:val="19"/>
              </w:rPr>
              <w:t>53.3% (24/45)</w:t>
            </w:r>
          </w:p>
        </w:tc>
        <w:tc>
          <w:tcPr>
            <w:tcW w:w="1872" w:type="dxa"/>
            <w:shd w:val="clear" w:color="auto" w:fill="FFFFFF"/>
            <w:tcMar>
              <w:top w:w="90" w:type="dxa"/>
              <w:left w:w="120" w:type="dxa"/>
              <w:bottom w:w="90" w:type="dxa"/>
              <w:right w:w="120" w:type="dxa"/>
            </w:tcMar>
          </w:tcPr>
          <w:p w14:paraId="2EF5C09B" w14:textId="77777777" w:rsidR="00AB70A3" w:rsidRDefault="00B56DB4">
            <w:pPr>
              <w:spacing w:after="0"/>
            </w:pPr>
            <w:r>
              <w:rPr>
                <w:rFonts w:ascii="Times New Roman" w:hAnsi="Times New Roman"/>
                <w:color w:val="1E293B"/>
                <w:sz w:val="19"/>
              </w:rPr>
              <w:t>57.8% (26/45)</w:t>
            </w:r>
          </w:p>
        </w:tc>
        <w:tc>
          <w:tcPr>
            <w:tcW w:w="2736" w:type="dxa"/>
            <w:shd w:val="clear" w:color="auto" w:fill="FFFFFF"/>
            <w:tcMar>
              <w:top w:w="90" w:type="dxa"/>
              <w:left w:w="120" w:type="dxa"/>
              <w:bottom w:w="90" w:type="dxa"/>
              <w:right w:w="120" w:type="dxa"/>
            </w:tcMar>
          </w:tcPr>
          <w:p w14:paraId="24EAD7D2" w14:textId="77777777" w:rsidR="00AB70A3" w:rsidRDefault="00B56DB4">
            <w:pPr>
              <w:spacing w:after="0"/>
            </w:pPr>
            <w:r>
              <w:rPr>
                <w:rFonts w:ascii="Times New Roman" w:hAnsi="Times New Roman"/>
                <w:color w:val="1E293B"/>
                <w:sz w:val="19"/>
              </w:rPr>
              <w:t>BM25 excels on verbatim statutory terms (e.g. 'Section 5')</w:t>
            </w:r>
          </w:p>
        </w:tc>
      </w:tr>
      <w:tr w:rsidR="00AB70A3" w14:paraId="5FAB67C1" w14:textId="77777777">
        <w:trPr>
          <w:jc w:val="center"/>
        </w:trPr>
        <w:tc>
          <w:tcPr>
            <w:tcW w:w="2160" w:type="dxa"/>
            <w:shd w:val="clear" w:color="auto" w:fill="F8FAFC"/>
            <w:tcMar>
              <w:top w:w="90" w:type="dxa"/>
              <w:left w:w="120" w:type="dxa"/>
              <w:bottom w:w="90" w:type="dxa"/>
              <w:right w:w="120" w:type="dxa"/>
            </w:tcMar>
          </w:tcPr>
          <w:p w14:paraId="52A9715A" w14:textId="77777777" w:rsidR="00AB70A3" w:rsidRDefault="00B56DB4">
            <w:pPr>
              <w:spacing w:after="0"/>
            </w:pPr>
            <w:r>
              <w:rPr>
                <w:rFonts w:ascii="Times New Roman" w:hAnsi="Times New Roman"/>
                <w:color w:val="1E293B"/>
                <w:sz w:val="19"/>
              </w:rPr>
              <w:t>Hit@3 (%)</w:t>
            </w:r>
          </w:p>
        </w:tc>
        <w:tc>
          <w:tcPr>
            <w:tcW w:w="1584" w:type="dxa"/>
            <w:shd w:val="clear" w:color="auto" w:fill="F8FAFC"/>
            <w:tcMar>
              <w:top w:w="90" w:type="dxa"/>
              <w:left w:w="120" w:type="dxa"/>
              <w:bottom w:w="90" w:type="dxa"/>
              <w:right w:w="120" w:type="dxa"/>
            </w:tcMar>
          </w:tcPr>
          <w:p w14:paraId="496E6A47" w14:textId="77777777" w:rsidR="00AB70A3" w:rsidRDefault="00B56DB4">
            <w:pPr>
              <w:spacing w:after="0"/>
            </w:pPr>
            <w:r>
              <w:rPr>
                <w:rFonts w:ascii="Times New Roman" w:hAnsi="Times New Roman"/>
                <w:color w:val="1E293B"/>
                <w:sz w:val="19"/>
              </w:rPr>
              <w:t>77.8% (35/45)</w:t>
            </w:r>
          </w:p>
        </w:tc>
        <w:tc>
          <w:tcPr>
            <w:tcW w:w="1728" w:type="dxa"/>
            <w:shd w:val="clear" w:color="auto" w:fill="F8FAFC"/>
            <w:tcMar>
              <w:top w:w="90" w:type="dxa"/>
              <w:left w:w="120" w:type="dxa"/>
              <w:bottom w:w="90" w:type="dxa"/>
              <w:right w:w="120" w:type="dxa"/>
            </w:tcMar>
          </w:tcPr>
          <w:p w14:paraId="2BF004CE" w14:textId="77777777" w:rsidR="00AB70A3" w:rsidRDefault="00B56DB4">
            <w:pPr>
              <w:spacing w:after="0"/>
            </w:pPr>
            <w:r>
              <w:rPr>
                <w:rFonts w:ascii="Times New Roman" w:hAnsi="Times New Roman"/>
                <w:color w:val="1E293B"/>
                <w:sz w:val="19"/>
              </w:rPr>
              <w:t>71.1% (32/45)</w:t>
            </w:r>
          </w:p>
        </w:tc>
        <w:tc>
          <w:tcPr>
            <w:tcW w:w="1872" w:type="dxa"/>
            <w:shd w:val="clear" w:color="auto" w:fill="F8FAFC"/>
            <w:tcMar>
              <w:top w:w="90" w:type="dxa"/>
              <w:left w:w="120" w:type="dxa"/>
              <w:bottom w:w="90" w:type="dxa"/>
              <w:right w:w="120" w:type="dxa"/>
            </w:tcMar>
          </w:tcPr>
          <w:p w14:paraId="31F5129A" w14:textId="77777777" w:rsidR="00AB70A3" w:rsidRDefault="00B56DB4">
            <w:pPr>
              <w:spacing w:after="0"/>
            </w:pPr>
            <w:r>
              <w:rPr>
                <w:rFonts w:ascii="Times New Roman" w:hAnsi="Times New Roman"/>
                <w:color w:val="1E293B"/>
                <w:sz w:val="19"/>
              </w:rPr>
              <w:t>68.9% (31/45)</w:t>
            </w:r>
          </w:p>
        </w:tc>
        <w:tc>
          <w:tcPr>
            <w:tcW w:w="2736" w:type="dxa"/>
            <w:shd w:val="clear" w:color="auto" w:fill="F8FAFC"/>
            <w:tcMar>
              <w:top w:w="90" w:type="dxa"/>
              <w:left w:w="120" w:type="dxa"/>
              <w:bottom w:w="90" w:type="dxa"/>
              <w:right w:w="120" w:type="dxa"/>
            </w:tcMar>
          </w:tcPr>
          <w:p w14:paraId="21D76787" w14:textId="77777777" w:rsidR="00AB70A3" w:rsidRDefault="00B56DB4">
            <w:pPr>
              <w:spacing w:after="0"/>
            </w:pPr>
            <w:r>
              <w:rPr>
                <w:rFonts w:ascii="Times New Roman" w:hAnsi="Times New Roman"/>
                <w:color w:val="1E293B"/>
                <w:sz w:val="19"/>
              </w:rPr>
              <w:t>BM25 maintains top-3 lexical precision</w:t>
            </w:r>
          </w:p>
        </w:tc>
      </w:tr>
      <w:tr w:rsidR="00AB70A3" w14:paraId="13CA7396" w14:textId="77777777">
        <w:trPr>
          <w:jc w:val="center"/>
        </w:trPr>
        <w:tc>
          <w:tcPr>
            <w:tcW w:w="2160" w:type="dxa"/>
            <w:shd w:val="clear" w:color="auto" w:fill="FFFFFF"/>
            <w:tcMar>
              <w:top w:w="90" w:type="dxa"/>
              <w:left w:w="120" w:type="dxa"/>
              <w:bottom w:w="90" w:type="dxa"/>
              <w:right w:w="120" w:type="dxa"/>
            </w:tcMar>
          </w:tcPr>
          <w:p w14:paraId="4DB83C6A" w14:textId="77777777" w:rsidR="00AB70A3" w:rsidRDefault="00B56DB4">
            <w:pPr>
              <w:spacing w:after="0"/>
            </w:pPr>
            <w:r>
              <w:rPr>
                <w:rFonts w:ascii="Times New Roman" w:hAnsi="Times New Roman"/>
                <w:color w:val="1E293B"/>
                <w:sz w:val="19"/>
              </w:rPr>
              <w:t>Hit@5 (%)</w:t>
            </w:r>
          </w:p>
        </w:tc>
        <w:tc>
          <w:tcPr>
            <w:tcW w:w="1584" w:type="dxa"/>
            <w:shd w:val="clear" w:color="auto" w:fill="FFFFFF"/>
            <w:tcMar>
              <w:top w:w="90" w:type="dxa"/>
              <w:left w:w="120" w:type="dxa"/>
              <w:bottom w:w="90" w:type="dxa"/>
              <w:right w:w="120" w:type="dxa"/>
            </w:tcMar>
          </w:tcPr>
          <w:p w14:paraId="2FF29E87" w14:textId="77777777" w:rsidR="00AB70A3" w:rsidRDefault="00B56DB4">
            <w:pPr>
              <w:spacing w:after="0"/>
            </w:pPr>
            <w:r>
              <w:rPr>
                <w:rFonts w:ascii="Times New Roman" w:hAnsi="Times New Roman"/>
                <w:color w:val="1E293B"/>
                <w:sz w:val="19"/>
              </w:rPr>
              <w:t>80.0% (36/45)</w:t>
            </w:r>
          </w:p>
        </w:tc>
        <w:tc>
          <w:tcPr>
            <w:tcW w:w="1728" w:type="dxa"/>
            <w:shd w:val="clear" w:color="auto" w:fill="FFFFFF"/>
            <w:tcMar>
              <w:top w:w="90" w:type="dxa"/>
              <w:left w:w="120" w:type="dxa"/>
              <w:bottom w:w="90" w:type="dxa"/>
              <w:right w:w="120" w:type="dxa"/>
            </w:tcMar>
          </w:tcPr>
          <w:p w14:paraId="09B869BA" w14:textId="77777777" w:rsidR="00AB70A3" w:rsidRDefault="00B56DB4">
            <w:pPr>
              <w:spacing w:after="0"/>
            </w:pPr>
            <w:r>
              <w:rPr>
                <w:rFonts w:ascii="Times New Roman" w:hAnsi="Times New Roman"/>
                <w:color w:val="1E293B"/>
                <w:sz w:val="19"/>
              </w:rPr>
              <w:t>75.6% (34/45)</w:t>
            </w:r>
          </w:p>
        </w:tc>
        <w:tc>
          <w:tcPr>
            <w:tcW w:w="1872" w:type="dxa"/>
            <w:shd w:val="clear" w:color="auto" w:fill="FFFFFF"/>
            <w:tcMar>
              <w:top w:w="90" w:type="dxa"/>
              <w:left w:w="120" w:type="dxa"/>
              <w:bottom w:w="90" w:type="dxa"/>
              <w:right w:w="120" w:type="dxa"/>
            </w:tcMar>
          </w:tcPr>
          <w:p w14:paraId="02BCBF65" w14:textId="77777777" w:rsidR="00AB70A3" w:rsidRDefault="00B56DB4">
            <w:pPr>
              <w:spacing w:after="0"/>
            </w:pPr>
            <w:r>
              <w:rPr>
                <w:rFonts w:ascii="Times New Roman" w:hAnsi="Times New Roman"/>
                <w:color w:val="1E293B"/>
                <w:sz w:val="19"/>
              </w:rPr>
              <w:t>84.4% (38/45)</w:t>
            </w:r>
          </w:p>
        </w:tc>
        <w:tc>
          <w:tcPr>
            <w:tcW w:w="2736" w:type="dxa"/>
            <w:shd w:val="clear" w:color="auto" w:fill="FFFFFF"/>
            <w:tcMar>
              <w:top w:w="90" w:type="dxa"/>
              <w:left w:w="120" w:type="dxa"/>
              <w:bottom w:w="90" w:type="dxa"/>
              <w:right w:w="120" w:type="dxa"/>
            </w:tcMar>
          </w:tcPr>
          <w:p w14:paraId="1E07295C" w14:textId="77777777" w:rsidR="00AB70A3" w:rsidRDefault="00B56DB4">
            <w:pPr>
              <w:spacing w:after="0"/>
            </w:pPr>
            <w:r>
              <w:rPr>
                <w:rFonts w:ascii="Times New Roman" w:hAnsi="Times New Roman"/>
                <w:color w:val="1E293B"/>
                <w:sz w:val="19"/>
              </w:rPr>
              <w:t>Hybrid RRF achieves highest overall Top-5 recall (+8.8% over Vector)</w:t>
            </w:r>
          </w:p>
        </w:tc>
      </w:tr>
      <w:tr w:rsidR="00AB70A3" w14:paraId="66A94253" w14:textId="77777777">
        <w:trPr>
          <w:jc w:val="center"/>
        </w:trPr>
        <w:tc>
          <w:tcPr>
            <w:tcW w:w="2160" w:type="dxa"/>
            <w:shd w:val="clear" w:color="auto" w:fill="F8FAFC"/>
            <w:tcMar>
              <w:top w:w="90" w:type="dxa"/>
              <w:left w:w="120" w:type="dxa"/>
              <w:bottom w:w="90" w:type="dxa"/>
              <w:right w:w="120" w:type="dxa"/>
            </w:tcMar>
          </w:tcPr>
          <w:p w14:paraId="58C0FEB5" w14:textId="77777777" w:rsidR="00AB70A3" w:rsidRDefault="00B56DB4">
            <w:pPr>
              <w:spacing w:after="0"/>
            </w:pPr>
            <w:r>
              <w:rPr>
                <w:rFonts w:ascii="Times New Roman" w:hAnsi="Times New Roman"/>
                <w:color w:val="1E293B"/>
                <w:sz w:val="19"/>
              </w:rPr>
              <w:t>MRR@5</w:t>
            </w:r>
          </w:p>
        </w:tc>
        <w:tc>
          <w:tcPr>
            <w:tcW w:w="1584" w:type="dxa"/>
            <w:shd w:val="clear" w:color="auto" w:fill="F8FAFC"/>
            <w:tcMar>
              <w:top w:w="90" w:type="dxa"/>
              <w:left w:w="120" w:type="dxa"/>
              <w:bottom w:w="90" w:type="dxa"/>
              <w:right w:w="120" w:type="dxa"/>
            </w:tcMar>
          </w:tcPr>
          <w:p w14:paraId="7EF84EF3" w14:textId="77777777" w:rsidR="00AB70A3" w:rsidRDefault="00B56DB4">
            <w:pPr>
              <w:spacing w:after="0"/>
            </w:pPr>
            <w:r>
              <w:rPr>
                <w:rFonts w:ascii="Times New Roman" w:hAnsi="Times New Roman"/>
                <w:color w:val="1E293B"/>
                <w:sz w:val="19"/>
              </w:rPr>
              <w:t>0.731</w:t>
            </w:r>
          </w:p>
        </w:tc>
        <w:tc>
          <w:tcPr>
            <w:tcW w:w="1728" w:type="dxa"/>
            <w:shd w:val="clear" w:color="auto" w:fill="F8FAFC"/>
            <w:tcMar>
              <w:top w:w="90" w:type="dxa"/>
              <w:left w:w="120" w:type="dxa"/>
              <w:bottom w:w="90" w:type="dxa"/>
              <w:right w:w="120" w:type="dxa"/>
            </w:tcMar>
          </w:tcPr>
          <w:p w14:paraId="16F9C162" w14:textId="77777777" w:rsidR="00AB70A3" w:rsidRDefault="00B56DB4">
            <w:pPr>
              <w:spacing w:after="0"/>
            </w:pPr>
            <w:r>
              <w:rPr>
                <w:rFonts w:ascii="Times New Roman" w:hAnsi="Times New Roman"/>
                <w:color w:val="1E293B"/>
                <w:sz w:val="19"/>
              </w:rPr>
              <w:t>0.630</w:t>
            </w:r>
          </w:p>
        </w:tc>
        <w:tc>
          <w:tcPr>
            <w:tcW w:w="1872" w:type="dxa"/>
            <w:shd w:val="clear" w:color="auto" w:fill="F8FAFC"/>
            <w:tcMar>
              <w:top w:w="90" w:type="dxa"/>
              <w:left w:w="120" w:type="dxa"/>
              <w:bottom w:w="90" w:type="dxa"/>
              <w:right w:w="120" w:type="dxa"/>
            </w:tcMar>
          </w:tcPr>
          <w:p w14:paraId="067C7EE2" w14:textId="77777777" w:rsidR="00AB70A3" w:rsidRDefault="00B56DB4">
            <w:pPr>
              <w:spacing w:after="0"/>
            </w:pPr>
            <w:r>
              <w:rPr>
                <w:rFonts w:ascii="Times New Roman" w:hAnsi="Times New Roman"/>
                <w:color w:val="1E293B"/>
                <w:sz w:val="19"/>
              </w:rPr>
              <w:t>0.656</w:t>
            </w:r>
          </w:p>
        </w:tc>
        <w:tc>
          <w:tcPr>
            <w:tcW w:w="2736" w:type="dxa"/>
            <w:shd w:val="clear" w:color="auto" w:fill="F8FAFC"/>
            <w:tcMar>
              <w:top w:w="90" w:type="dxa"/>
              <w:left w:w="120" w:type="dxa"/>
              <w:bottom w:w="90" w:type="dxa"/>
              <w:right w:w="120" w:type="dxa"/>
            </w:tcMar>
          </w:tcPr>
          <w:p w14:paraId="711C5301" w14:textId="77777777" w:rsidR="00AB70A3" w:rsidRDefault="00B56DB4">
            <w:pPr>
              <w:spacing w:after="0"/>
            </w:pPr>
            <w:r>
              <w:rPr>
                <w:rFonts w:ascii="Times New Roman" w:hAnsi="Times New Roman"/>
                <w:color w:val="1E293B"/>
                <w:sz w:val="19"/>
              </w:rPr>
              <w:t>BM25 provides strongest reciprocal rank on exact terms</w:t>
            </w:r>
          </w:p>
        </w:tc>
      </w:tr>
      <w:tr w:rsidR="00AB70A3" w14:paraId="43F41725" w14:textId="77777777">
        <w:trPr>
          <w:jc w:val="center"/>
        </w:trPr>
        <w:tc>
          <w:tcPr>
            <w:tcW w:w="2160" w:type="dxa"/>
            <w:shd w:val="clear" w:color="auto" w:fill="FFFFFF"/>
            <w:tcMar>
              <w:top w:w="90" w:type="dxa"/>
              <w:left w:w="120" w:type="dxa"/>
              <w:bottom w:w="90" w:type="dxa"/>
              <w:right w:w="120" w:type="dxa"/>
            </w:tcMar>
          </w:tcPr>
          <w:p w14:paraId="066258D3" w14:textId="77777777" w:rsidR="00AB70A3" w:rsidRDefault="00B56DB4">
            <w:pPr>
              <w:spacing w:after="0"/>
            </w:pPr>
            <w:r>
              <w:rPr>
                <w:rFonts w:ascii="Times New Roman" w:hAnsi="Times New Roman"/>
                <w:color w:val="1E293B"/>
                <w:sz w:val="19"/>
              </w:rPr>
              <w:t>NDCG@5</w:t>
            </w:r>
          </w:p>
        </w:tc>
        <w:tc>
          <w:tcPr>
            <w:tcW w:w="1584" w:type="dxa"/>
            <w:shd w:val="clear" w:color="auto" w:fill="FFFFFF"/>
            <w:tcMar>
              <w:top w:w="90" w:type="dxa"/>
              <w:left w:w="120" w:type="dxa"/>
              <w:bottom w:w="90" w:type="dxa"/>
              <w:right w:w="120" w:type="dxa"/>
            </w:tcMar>
          </w:tcPr>
          <w:p w14:paraId="05F654FF" w14:textId="77777777" w:rsidR="00AB70A3" w:rsidRDefault="00B56DB4">
            <w:pPr>
              <w:spacing w:after="0"/>
            </w:pPr>
            <w:r>
              <w:rPr>
                <w:rFonts w:ascii="Times New Roman" w:hAnsi="Times New Roman"/>
                <w:color w:val="1E293B"/>
                <w:sz w:val="19"/>
              </w:rPr>
              <w:t>0.692</w:t>
            </w:r>
          </w:p>
        </w:tc>
        <w:tc>
          <w:tcPr>
            <w:tcW w:w="1728" w:type="dxa"/>
            <w:shd w:val="clear" w:color="auto" w:fill="FFFFFF"/>
            <w:tcMar>
              <w:top w:w="90" w:type="dxa"/>
              <w:left w:w="120" w:type="dxa"/>
              <w:bottom w:w="90" w:type="dxa"/>
              <w:right w:w="120" w:type="dxa"/>
            </w:tcMar>
          </w:tcPr>
          <w:p w14:paraId="562772E8" w14:textId="77777777" w:rsidR="00AB70A3" w:rsidRDefault="00B56DB4">
            <w:pPr>
              <w:spacing w:after="0"/>
            </w:pPr>
            <w:r>
              <w:rPr>
                <w:rFonts w:ascii="Times New Roman" w:hAnsi="Times New Roman"/>
                <w:color w:val="1E293B"/>
                <w:sz w:val="19"/>
              </w:rPr>
              <w:t>0.578</w:t>
            </w:r>
          </w:p>
        </w:tc>
        <w:tc>
          <w:tcPr>
            <w:tcW w:w="1872" w:type="dxa"/>
            <w:shd w:val="clear" w:color="auto" w:fill="FFFFFF"/>
            <w:tcMar>
              <w:top w:w="90" w:type="dxa"/>
              <w:left w:w="120" w:type="dxa"/>
              <w:bottom w:w="90" w:type="dxa"/>
              <w:right w:w="120" w:type="dxa"/>
            </w:tcMar>
          </w:tcPr>
          <w:p w14:paraId="427017EE" w14:textId="77777777" w:rsidR="00AB70A3" w:rsidRDefault="00B56DB4">
            <w:pPr>
              <w:spacing w:after="0"/>
            </w:pPr>
            <w:r>
              <w:rPr>
                <w:rFonts w:ascii="Times New Roman" w:hAnsi="Times New Roman"/>
                <w:color w:val="1E293B"/>
                <w:sz w:val="19"/>
              </w:rPr>
              <w:t>0.653</w:t>
            </w:r>
          </w:p>
        </w:tc>
        <w:tc>
          <w:tcPr>
            <w:tcW w:w="2736" w:type="dxa"/>
            <w:shd w:val="clear" w:color="auto" w:fill="FFFFFF"/>
            <w:tcMar>
              <w:top w:w="90" w:type="dxa"/>
              <w:left w:w="120" w:type="dxa"/>
              <w:bottom w:w="90" w:type="dxa"/>
              <w:right w:w="120" w:type="dxa"/>
            </w:tcMar>
          </w:tcPr>
          <w:p w14:paraId="6152E3A5" w14:textId="77777777" w:rsidR="00AB70A3" w:rsidRDefault="00B56DB4">
            <w:pPr>
              <w:spacing w:after="0"/>
            </w:pPr>
            <w:r>
              <w:rPr>
                <w:rFonts w:ascii="Times New Roman" w:hAnsi="Times New Roman"/>
                <w:color w:val="1E293B"/>
                <w:sz w:val="19"/>
              </w:rPr>
              <w:t>Hybrid captures graded semantic relevance effectively</w:t>
            </w:r>
          </w:p>
        </w:tc>
      </w:tr>
      <w:tr w:rsidR="00AB70A3" w14:paraId="65B26F43" w14:textId="77777777">
        <w:trPr>
          <w:jc w:val="center"/>
        </w:trPr>
        <w:tc>
          <w:tcPr>
            <w:tcW w:w="2160" w:type="dxa"/>
            <w:shd w:val="clear" w:color="auto" w:fill="F8FAFC"/>
            <w:tcMar>
              <w:top w:w="90" w:type="dxa"/>
              <w:left w:w="120" w:type="dxa"/>
              <w:bottom w:w="90" w:type="dxa"/>
              <w:right w:w="120" w:type="dxa"/>
            </w:tcMar>
          </w:tcPr>
          <w:p w14:paraId="0628B6FE" w14:textId="77777777" w:rsidR="00AB70A3" w:rsidRDefault="00B56DB4">
            <w:pPr>
              <w:spacing w:after="0"/>
            </w:pPr>
            <w:r>
              <w:rPr>
                <w:rFonts w:ascii="Times New Roman" w:hAnsi="Times New Roman"/>
                <w:color w:val="1E293B"/>
                <w:sz w:val="19"/>
              </w:rPr>
              <w:t>Mean Latency</w:t>
            </w:r>
          </w:p>
        </w:tc>
        <w:tc>
          <w:tcPr>
            <w:tcW w:w="1584" w:type="dxa"/>
            <w:shd w:val="clear" w:color="auto" w:fill="F8FAFC"/>
            <w:tcMar>
              <w:top w:w="90" w:type="dxa"/>
              <w:left w:w="120" w:type="dxa"/>
              <w:bottom w:w="90" w:type="dxa"/>
              <w:right w:w="120" w:type="dxa"/>
            </w:tcMar>
          </w:tcPr>
          <w:p w14:paraId="6300EBDD" w14:textId="77777777" w:rsidR="00AB70A3" w:rsidRDefault="00B56DB4">
            <w:pPr>
              <w:spacing w:after="0"/>
            </w:pPr>
            <w:r>
              <w:rPr>
                <w:rFonts w:ascii="Times New Roman" w:hAnsi="Times New Roman"/>
                <w:color w:val="1E293B"/>
                <w:sz w:val="19"/>
              </w:rPr>
              <w:t>&lt; 1 ms</w:t>
            </w:r>
          </w:p>
        </w:tc>
        <w:tc>
          <w:tcPr>
            <w:tcW w:w="1728" w:type="dxa"/>
            <w:shd w:val="clear" w:color="auto" w:fill="F8FAFC"/>
            <w:tcMar>
              <w:top w:w="90" w:type="dxa"/>
              <w:left w:w="120" w:type="dxa"/>
              <w:bottom w:w="90" w:type="dxa"/>
              <w:right w:w="120" w:type="dxa"/>
            </w:tcMar>
          </w:tcPr>
          <w:p w14:paraId="356562F7" w14:textId="77777777" w:rsidR="00AB70A3" w:rsidRDefault="00B56DB4">
            <w:pPr>
              <w:spacing w:after="0"/>
            </w:pPr>
            <w:r>
              <w:rPr>
                <w:rFonts w:ascii="Times New Roman" w:hAnsi="Times New Roman"/>
                <w:color w:val="1E293B"/>
                <w:sz w:val="19"/>
              </w:rPr>
              <w:t>395 ms</w:t>
            </w:r>
          </w:p>
        </w:tc>
        <w:tc>
          <w:tcPr>
            <w:tcW w:w="1872" w:type="dxa"/>
            <w:shd w:val="clear" w:color="auto" w:fill="F8FAFC"/>
            <w:tcMar>
              <w:top w:w="90" w:type="dxa"/>
              <w:left w:w="120" w:type="dxa"/>
              <w:bottom w:w="90" w:type="dxa"/>
              <w:right w:w="120" w:type="dxa"/>
            </w:tcMar>
          </w:tcPr>
          <w:p w14:paraId="0D9263DE" w14:textId="77777777" w:rsidR="00AB70A3" w:rsidRDefault="00B56DB4">
            <w:pPr>
              <w:spacing w:after="0"/>
            </w:pPr>
            <w:r>
              <w:rPr>
                <w:rFonts w:ascii="Times New Roman" w:hAnsi="Times New Roman"/>
                <w:color w:val="1E293B"/>
                <w:sz w:val="19"/>
              </w:rPr>
              <w:t>512 ms</w:t>
            </w:r>
          </w:p>
        </w:tc>
        <w:tc>
          <w:tcPr>
            <w:tcW w:w="2736" w:type="dxa"/>
            <w:shd w:val="clear" w:color="auto" w:fill="F8FAFC"/>
            <w:tcMar>
              <w:top w:w="90" w:type="dxa"/>
              <w:left w:w="120" w:type="dxa"/>
              <w:bottom w:w="90" w:type="dxa"/>
              <w:right w:w="120" w:type="dxa"/>
            </w:tcMar>
          </w:tcPr>
          <w:p w14:paraId="440DEFB9" w14:textId="77777777" w:rsidR="00AB70A3" w:rsidRDefault="00B56DB4">
            <w:pPr>
              <w:spacing w:after="0"/>
            </w:pPr>
            <w:r>
              <w:rPr>
                <w:rFonts w:ascii="Times New Roman" w:hAnsi="Times New Roman"/>
                <w:color w:val="1E293B"/>
                <w:sz w:val="19"/>
              </w:rPr>
              <w:t>BM25 memory inverted index is sub-millisecond; Hybrid includes daemon overhead</w:t>
            </w:r>
          </w:p>
        </w:tc>
      </w:tr>
    </w:tbl>
    <w:p w14:paraId="09633C21" w14:textId="77777777" w:rsidR="00AB70A3" w:rsidRDefault="00AB70A3">
      <w:pPr>
        <w:spacing w:after="120"/>
      </w:pPr>
    </w:p>
    <w:p w14:paraId="3F0668D9" w14:textId="77777777" w:rsidR="00AB70A3" w:rsidRDefault="00B56DB4">
      <w:pPr>
        <w:spacing w:after="120"/>
        <w:jc w:val="both"/>
      </w:pPr>
      <w:r>
        <w:rPr>
          <w:rFonts w:ascii="Times New Roman" w:hAnsi="Times New Roman"/>
          <w:color w:val="1E293B"/>
        </w:rPr>
        <w:t>Discussion of Retrieval Trade-Off: Our empirical results confirm that hybrid retrieval does not uniformly dominate BM25 across all metrics. When queries contain exact statutory numbers (e.g., 'Section 6 consent requirements'), BM25 achieves superior Top-1 precision (68.9% vs. 57.8%). However, for non-lawyer queries containing natural-language synonyms, pure vector search captures semantic intent but suffers from penalty schedule bleeding. Hybrid RRF achieves the highest Hit@5 (84.4%), ensuring that at least</w:t>
      </w:r>
      <w:r>
        <w:rPr>
          <w:rFonts w:ascii="Times New Roman" w:hAnsi="Times New Roman"/>
          <w:color w:val="1E293B"/>
        </w:rPr>
        <w:t xml:space="preserve"> one authoritative provision is reliably included in the prompt context passed to downstream LLMs.</w:t>
      </w:r>
    </w:p>
    <w:p w14:paraId="73F122C6" w14:textId="77777777" w:rsidR="00AB70A3" w:rsidRDefault="00B56DB4">
      <w:pPr>
        <w:keepNext/>
        <w:spacing w:before="200" w:after="80"/>
      </w:pPr>
      <w:r>
        <w:rPr>
          <w:rFonts w:ascii="Times New Roman" w:hAnsi="Times New Roman"/>
          <w:b/>
          <w:color w:val="0F172A"/>
          <w:sz w:val="24"/>
        </w:rPr>
        <w:t>5.2 Multi-Model Classification Benchmark (60 Controlled Cases)</w:t>
      </w:r>
    </w:p>
    <w:p w14:paraId="04CFECE3" w14:textId="77777777" w:rsidR="00AB70A3" w:rsidRDefault="00B56DB4">
      <w:pPr>
        <w:spacing w:after="120"/>
        <w:jc w:val="both"/>
      </w:pPr>
      <w:r>
        <w:rPr>
          <w:rFonts w:ascii="Times New Roman" w:hAnsi="Times New Roman"/>
          <w:color w:val="1E293B"/>
        </w:rPr>
        <w:t>Evaluating candidate models against the 60 controlled ground-truth obligation cases (v1.0, Research-Team-Authored Reference Labels) reveals the true, unvarnished capabilities of open-weight models on legal compliance tasks:</w:t>
      </w:r>
    </w:p>
    <w:tbl>
      <w:tblPr>
        <w:tblW w:w="0" w:type="auto"/>
        <w:jc w:val="center"/>
        <w:tblLook w:val="04A0" w:firstRow="1" w:lastRow="0" w:firstColumn="1" w:lastColumn="0" w:noHBand="0" w:noVBand="1"/>
      </w:tblPr>
      <w:tblGrid>
        <w:gridCol w:w="667"/>
        <w:gridCol w:w="1067"/>
        <w:gridCol w:w="1372"/>
        <w:gridCol w:w="1091"/>
        <w:gridCol w:w="849"/>
        <w:gridCol w:w="1225"/>
        <w:gridCol w:w="1214"/>
        <w:gridCol w:w="1824"/>
      </w:tblGrid>
      <w:tr w:rsidR="00AB70A3" w14:paraId="76B00287" w14:textId="77777777">
        <w:trPr>
          <w:jc w:val="center"/>
        </w:trPr>
        <w:tc>
          <w:tcPr>
            <w:tcW w:w="864" w:type="dxa"/>
            <w:shd w:val="clear" w:color="auto" w:fill="1F4E79"/>
            <w:tcMar>
              <w:top w:w="120" w:type="dxa"/>
              <w:left w:w="140" w:type="dxa"/>
              <w:bottom w:w="120" w:type="dxa"/>
              <w:right w:w="140" w:type="dxa"/>
            </w:tcMar>
          </w:tcPr>
          <w:p w14:paraId="37BF63C2" w14:textId="77777777" w:rsidR="00AB70A3" w:rsidRDefault="00B56DB4">
            <w:pPr>
              <w:spacing w:after="0"/>
              <w:jc w:val="center"/>
            </w:pPr>
            <w:r>
              <w:rPr>
                <w:rFonts w:ascii="Times New Roman" w:hAnsi="Times New Roman"/>
                <w:b/>
                <w:color w:val="FFFFFF"/>
                <w:sz w:val="20"/>
              </w:rPr>
              <w:t>Slot</w:t>
            </w:r>
          </w:p>
        </w:tc>
        <w:tc>
          <w:tcPr>
            <w:tcW w:w="2592" w:type="dxa"/>
            <w:shd w:val="clear" w:color="auto" w:fill="1F4E79"/>
            <w:tcMar>
              <w:top w:w="120" w:type="dxa"/>
              <w:left w:w="140" w:type="dxa"/>
              <w:bottom w:w="120" w:type="dxa"/>
              <w:right w:w="140" w:type="dxa"/>
            </w:tcMar>
          </w:tcPr>
          <w:p w14:paraId="4462D228" w14:textId="77777777" w:rsidR="00AB70A3" w:rsidRDefault="00B56DB4">
            <w:pPr>
              <w:spacing w:after="0"/>
              <w:jc w:val="center"/>
            </w:pPr>
            <w:r>
              <w:rPr>
                <w:rFonts w:ascii="Times New Roman" w:hAnsi="Times New Roman"/>
                <w:b/>
                <w:color w:val="FFFFFF"/>
                <w:sz w:val="20"/>
              </w:rPr>
              <w:t>Model Identity</w:t>
            </w:r>
          </w:p>
        </w:tc>
        <w:tc>
          <w:tcPr>
            <w:tcW w:w="1584" w:type="dxa"/>
            <w:shd w:val="clear" w:color="auto" w:fill="1F4E79"/>
            <w:tcMar>
              <w:top w:w="120" w:type="dxa"/>
              <w:left w:w="140" w:type="dxa"/>
              <w:bottom w:w="120" w:type="dxa"/>
              <w:right w:w="140" w:type="dxa"/>
            </w:tcMar>
          </w:tcPr>
          <w:p w14:paraId="1E2529B7" w14:textId="77777777" w:rsidR="00AB70A3" w:rsidRDefault="00B56DB4">
            <w:pPr>
              <w:spacing w:after="0"/>
              <w:jc w:val="center"/>
            </w:pPr>
            <w:r>
              <w:rPr>
                <w:rFonts w:ascii="Times New Roman" w:hAnsi="Times New Roman"/>
                <w:b/>
                <w:color w:val="FFFFFF"/>
                <w:sz w:val="20"/>
              </w:rPr>
              <w:t>Architecture</w:t>
            </w:r>
          </w:p>
        </w:tc>
        <w:tc>
          <w:tcPr>
            <w:tcW w:w="1008" w:type="dxa"/>
            <w:shd w:val="clear" w:color="auto" w:fill="1F4E79"/>
            <w:tcMar>
              <w:top w:w="120" w:type="dxa"/>
              <w:left w:w="140" w:type="dxa"/>
              <w:bottom w:w="120" w:type="dxa"/>
              <w:right w:w="140" w:type="dxa"/>
            </w:tcMar>
          </w:tcPr>
          <w:p w14:paraId="12BE1B83" w14:textId="77777777" w:rsidR="00AB70A3" w:rsidRDefault="00B56DB4">
            <w:pPr>
              <w:spacing w:after="0"/>
              <w:jc w:val="center"/>
            </w:pPr>
            <w:r>
              <w:rPr>
                <w:rFonts w:ascii="Times New Roman" w:hAnsi="Times New Roman"/>
                <w:b/>
                <w:color w:val="FFFFFF"/>
                <w:sz w:val="20"/>
              </w:rPr>
              <w:t>Accuracy</w:t>
            </w:r>
          </w:p>
        </w:tc>
        <w:tc>
          <w:tcPr>
            <w:tcW w:w="1008" w:type="dxa"/>
            <w:shd w:val="clear" w:color="auto" w:fill="1F4E79"/>
            <w:tcMar>
              <w:top w:w="120" w:type="dxa"/>
              <w:left w:w="140" w:type="dxa"/>
              <w:bottom w:w="120" w:type="dxa"/>
              <w:right w:w="140" w:type="dxa"/>
            </w:tcMar>
          </w:tcPr>
          <w:p w14:paraId="223235C0" w14:textId="77777777" w:rsidR="00AB70A3" w:rsidRDefault="00B56DB4">
            <w:pPr>
              <w:spacing w:after="0"/>
              <w:jc w:val="center"/>
            </w:pPr>
            <w:r>
              <w:rPr>
                <w:rFonts w:ascii="Times New Roman" w:hAnsi="Times New Roman"/>
                <w:b/>
                <w:color w:val="FFFFFF"/>
                <w:sz w:val="20"/>
              </w:rPr>
              <w:t>Macro F1</w:t>
            </w:r>
          </w:p>
        </w:tc>
        <w:tc>
          <w:tcPr>
            <w:tcW w:w="1008" w:type="dxa"/>
            <w:shd w:val="clear" w:color="auto" w:fill="1F4E79"/>
            <w:tcMar>
              <w:top w:w="120" w:type="dxa"/>
              <w:left w:w="140" w:type="dxa"/>
              <w:bottom w:w="120" w:type="dxa"/>
              <w:right w:w="140" w:type="dxa"/>
            </w:tcMar>
          </w:tcPr>
          <w:p w14:paraId="7B44D353" w14:textId="77777777" w:rsidR="00AB70A3" w:rsidRDefault="00B56DB4">
            <w:pPr>
              <w:spacing w:after="0"/>
              <w:jc w:val="center"/>
            </w:pPr>
            <w:r>
              <w:rPr>
                <w:rFonts w:ascii="Times New Roman" w:hAnsi="Times New Roman"/>
                <w:b/>
                <w:color w:val="FFFFFF"/>
                <w:sz w:val="20"/>
              </w:rPr>
              <w:t>Grounding</w:t>
            </w:r>
          </w:p>
        </w:tc>
        <w:tc>
          <w:tcPr>
            <w:tcW w:w="1008" w:type="dxa"/>
            <w:shd w:val="clear" w:color="auto" w:fill="1F4E79"/>
            <w:tcMar>
              <w:top w:w="120" w:type="dxa"/>
              <w:left w:w="140" w:type="dxa"/>
              <w:bottom w:w="120" w:type="dxa"/>
              <w:right w:w="140" w:type="dxa"/>
            </w:tcMar>
          </w:tcPr>
          <w:p w14:paraId="1A6C096C" w14:textId="77777777" w:rsidR="00AB70A3" w:rsidRDefault="00B56DB4">
            <w:pPr>
              <w:spacing w:after="0"/>
              <w:jc w:val="center"/>
            </w:pPr>
            <w:r>
              <w:rPr>
                <w:rFonts w:ascii="Times New Roman" w:hAnsi="Times New Roman"/>
                <w:b/>
                <w:color w:val="FFFFFF"/>
                <w:sz w:val="20"/>
              </w:rPr>
              <w:t>Abstention</w:t>
            </w:r>
          </w:p>
        </w:tc>
        <w:tc>
          <w:tcPr>
            <w:tcW w:w="1296" w:type="dxa"/>
            <w:shd w:val="clear" w:color="auto" w:fill="1F4E79"/>
            <w:tcMar>
              <w:top w:w="120" w:type="dxa"/>
              <w:left w:w="140" w:type="dxa"/>
              <w:bottom w:w="120" w:type="dxa"/>
              <w:right w:w="140" w:type="dxa"/>
            </w:tcMar>
          </w:tcPr>
          <w:p w14:paraId="3DB227DC" w14:textId="77777777" w:rsidR="00AB70A3" w:rsidRDefault="00B56DB4">
            <w:pPr>
              <w:spacing w:after="0"/>
              <w:jc w:val="center"/>
            </w:pPr>
            <w:r>
              <w:rPr>
                <w:rFonts w:ascii="Times New Roman" w:hAnsi="Times New Roman"/>
                <w:b/>
                <w:color w:val="FFFFFF"/>
                <w:sz w:val="20"/>
              </w:rPr>
              <w:t>Operational Status</w:t>
            </w:r>
          </w:p>
        </w:tc>
      </w:tr>
      <w:tr w:rsidR="00AB70A3" w14:paraId="3F40F823" w14:textId="77777777">
        <w:trPr>
          <w:jc w:val="center"/>
        </w:trPr>
        <w:tc>
          <w:tcPr>
            <w:tcW w:w="864" w:type="dxa"/>
            <w:shd w:val="clear" w:color="auto" w:fill="FFFFFF"/>
            <w:tcMar>
              <w:top w:w="90" w:type="dxa"/>
              <w:left w:w="120" w:type="dxa"/>
              <w:bottom w:w="90" w:type="dxa"/>
              <w:right w:w="120" w:type="dxa"/>
            </w:tcMar>
          </w:tcPr>
          <w:p w14:paraId="595DEC8D" w14:textId="77777777" w:rsidR="00AB70A3" w:rsidRDefault="00B56DB4">
            <w:pPr>
              <w:spacing w:after="0"/>
            </w:pPr>
            <w:r>
              <w:rPr>
                <w:rFonts w:ascii="Times New Roman" w:hAnsi="Times New Roman"/>
                <w:color w:val="1E293B"/>
                <w:sz w:val="19"/>
              </w:rPr>
              <w:t>M03</w:t>
            </w:r>
          </w:p>
        </w:tc>
        <w:tc>
          <w:tcPr>
            <w:tcW w:w="2592" w:type="dxa"/>
            <w:shd w:val="clear" w:color="auto" w:fill="FFFFFF"/>
            <w:tcMar>
              <w:top w:w="90" w:type="dxa"/>
              <w:left w:w="120" w:type="dxa"/>
              <w:bottom w:w="90" w:type="dxa"/>
              <w:right w:w="120" w:type="dxa"/>
            </w:tcMar>
          </w:tcPr>
          <w:p w14:paraId="0348D2A4" w14:textId="77777777" w:rsidR="00AB70A3" w:rsidRDefault="00B56DB4">
            <w:pPr>
              <w:spacing w:after="0"/>
            </w:pPr>
            <w:r>
              <w:rPr>
                <w:rFonts w:ascii="Times New Roman" w:hAnsi="Times New Roman"/>
                <w:color w:val="1E293B"/>
                <w:sz w:val="19"/>
              </w:rPr>
              <w:t xml:space="preserve">Alibaba Qwen 3.8 </w:t>
            </w:r>
            <w:r>
              <w:rPr>
                <w:rFonts w:ascii="Times New Roman" w:hAnsi="Times New Roman"/>
                <w:color w:val="1E293B"/>
                <w:sz w:val="19"/>
              </w:rPr>
              <w:lastRenderedPageBreak/>
              <w:t>27B</w:t>
            </w:r>
          </w:p>
        </w:tc>
        <w:tc>
          <w:tcPr>
            <w:tcW w:w="1584" w:type="dxa"/>
            <w:shd w:val="clear" w:color="auto" w:fill="FFFFFF"/>
            <w:tcMar>
              <w:top w:w="90" w:type="dxa"/>
              <w:left w:w="120" w:type="dxa"/>
              <w:bottom w:w="90" w:type="dxa"/>
              <w:right w:w="120" w:type="dxa"/>
            </w:tcMar>
          </w:tcPr>
          <w:p w14:paraId="1BC582E5" w14:textId="77777777" w:rsidR="00AB70A3" w:rsidRDefault="00B56DB4">
            <w:pPr>
              <w:spacing w:after="0"/>
            </w:pPr>
            <w:r>
              <w:rPr>
                <w:rFonts w:ascii="Times New Roman" w:hAnsi="Times New Roman"/>
                <w:color w:val="1E293B"/>
                <w:sz w:val="19"/>
              </w:rPr>
              <w:lastRenderedPageBreak/>
              <w:t>Dense (27B)</w:t>
            </w:r>
          </w:p>
        </w:tc>
        <w:tc>
          <w:tcPr>
            <w:tcW w:w="1008" w:type="dxa"/>
            <w:shd w:val="clear" w:color="auto" w:fill="FFFFFF"/>
            <w:tcMar>
              <w:top w:w="90" w:type="dxa"/>
              <w:left w:w="120" w:type="dxa"/>
              <w:bottom w:w="90" w:type="dxa"/>
              <w:right w:w="120" w:type="dxa"/>
            </w:tcMar>
          </w:tcPr>
          <w:p w14:paraId="033B5035" w14:textId="77777777" w:rsidR="00AB70A3" w:rsidRDefault="00B56DB4">
            <w:pPr>
              <w:spacing w:after="0"/>
            </w:pPr>
            <w:r>
              <w:rPr>
                <w:rFonts w:ascii="Times New Roman" w:hAnsi="Times New Roman"/>
                <w:color w:val="1E293B"/>
                <w:sz w:val="19"/>
              </w:rPr>
              <w:t>53.33%</w:t>
            </w:r>
          </w:p>
        </w:tc>
        <w:tc>
          <w:tcPr>
            <w:tcW w:w="1008" w:type="dxa"/>
            <w:shd w:val="clear" w:color="auto" w:fill="FFFFFF"/>
            <w:tcMar>
              <w:top w:w="90" w:type="dxa"/>
              <w:left w:w="120" w:type="dxa"/>
              <w:bottom w:w="90" w:type="dxa"/>
              <w:right w:w="120" w:type="dxa"/>
            </w:tcMar>
          </w:tcPr>
          <w:p w14:paraId="1580B089" w14:textId="77777777" w:rsidR="00AB70A3" w:rsidRDefault="00B56DB4">
            <w:pPr>
              <w:spacing w:after="0"/>
            </w:pPr>
            <w:r>
              <w:rPr>
                <w:rFonts w:ascii="Times New Roman" w:hAnsi="Times New Roman"/>
                <w:color w:val="1E293B"/>
                <w:sz w:val="19"/>
              </w:rPr>
              <w:t>0.399</w:t>
            </w:r>
          </w:p>
        </w:tc>
        <w:tc>
          <w:tcPr>
            <w:tcW w:w="1008" w:type="dxa"/>
            <w:shd w:val="clear" w:color="auto" w:fill="FFFFFF"/>
            <w:tcMar>
              <w:top w:w="90" w:type="dxa"/>
              <w:left w:w="120" w:type="dxa"/>
              <w:bottom w:w="90" w:type="dxa"/>
              <w:right w:w="120" w:type="dxa"/>
            </w:tcMar>
          </w:tcPr>
          <w:p w14:paraId="050142DB" w14:textId="77777777" w:rsidR="00AB70A3" w:rsidRDefault="00B56DB4">
            <w:pPr>
              <w:spacing w:after="0"/>
            </w:pPr>
            <w:r>
              <w:rPr>
                <w:rFonts w:ascii="Times New Roman" w:hAnsi="Times New Roman"/>
                <w:color w:val="1E293B"/>
                <w:sz w:val="19"/>
              </w:rPr>
              <w:t>100.0%</w:t>
            </w:r>
          </w:p>
        </w:tc>
        <w:tc>
          <w:tcPr>
            <w:tcW w:w="1008" w:type="dxa"/>
            <w:shd w:val="clear" w:color="auto" w:fill="FFFFFF"/>
            <w:tcMar>
              <w:top w:w="90" w:type="dxa"/>
              <w:left w:w="120" w:type="dxa"/>
              <w:bottom w:w="90" w:type="dxa"/>
              <w:right w:w="120" w:type="dxa"/>
            </w:tcMar>
          </w:tcPr>
          <w:p w14:paraId="1C6E6FD4" w14:textId="77777777" w:rsidR="00AB70A3" w:rsidRDefault="00B56DB4">
            <w:pPr>
              <w:spacing w:after="0"/>
            </w:pPr>
            <w:r>
              <w:rPr>
                <w:rFonts w:ascii="Times New Roman" w:hAnsi="Times New Roman"/>
                <w:color w:val="1E293B"/>
                <w:sz w:val="19"/>
              </w:rPr>
              <w:t>76.67%</w:t>
            </w:r>
          </w:p>
        </w:tc>
        <w:tc>
          <w:tcPr>
            <w:tcW w:w="1296" w:type="dxa"/>
            <w:shd w:val="clear" w:color="auto" w:fill="FFFFFF"/>
            <w:tcMar>
              <w:top w:w="90" w:type="dxa"/>
              <w:left w:w="120" w:type="dxa"/>
              <w:bottom w:w="90" w:type="dxa"/>
              <w:right w:w="120" w:type="dxa"/>
            </w:tcMar>
          </w:tcPr>
          <w:p w14:paraId="53C4C832" w14:textId="77777777" w:rsidR="00AB70A3" w:rsidRDefault="00B56DB4">
            <w:pPr>
              <w:spacing w:after="0"/>
            </w:pPr>
            <w:r>
              <w:rPr>
                <w:rFonts w:ascii="Times New Roman" w:hAnsi="Times New Roman"/>
                <w:color w:val="1E293B"/>
                <w:sz w:val="19"/>
              </w:rPr>
              <w:t>LIVE_VERIFIED</w:t>
            </w:r>
          </w:p>
        </w:tc>
      </w:tr>
      <w:tr w:rsidR="00AB70A3" w14:paraId="2D82EF31" w14:textId="77777777">
        <w:trPr>
          <w:jc w:val="center"/>
        </w:trPr>
        <w:tc>
          <w:tcPr>
            <w:tcW w:w="864" w:type="dxa"/>
            <w:shd w:val="clear" w:color="auto" w:fill="F8FAFC"/>
            <w:tcMar>
              <w:top w:w="90" w:type="dxa"/>
              <w:left w:w="120" w:type="dxa"/>
              <w:bottom w:w="90" w:type="dxa"/>
              <w:right w:w="120" w:type="dxa"/>
            </w:tcMar>
          </w:tcPr>
          <w:p w14:paraId="3A7C259D" w14:textId="77777777" w:rsidR="00AB70A3" w:rsidRDefault="00B56DB4">
            <w:pPr>
              <w:spacing w:after="0"/>
            </w:pPr>
            <w:r>
              <w:rPr>
                <w:rFonts w:ascii="Times New Roman" w:hAnsi="Times New Roman"/>
                <w:color w:val="1E293B"/>
                <w:sz w:val="19"/>
              </w:rPr>
              <w:t>M02</w:t>
            </w:r>
          </w:p>
        </w:tc>
        <w:tc>
          <w:tcPr>
            <w:tcW w:w="2592" w:type="dxa"/>
            <w:shd w:val="clear" w:color="auto" w:fill="F8FAFC"/>
            <w:tcMar>
              <w:top w:w="90" w:type="dxa"/>
              <w:left w:w="120" w:type="dxa"/>
              <w:bottom w:w="90" w:type="dxa"/>
              <w:right w:w="120" w:type="dxa"/>
            </w:tcMar>
          </w:tcPr>
          <w:p w14:paraId="47BBDC24" w14:textId="77777777" w:rsidR="00AB70A3" w:rsidRDefault="00B56DB4">
            <w:pPr>
              <w:spacing w:after="0"/>
            </w:pPr>
            <w:r>
              <w:rPr>
                <w:rFonts w:ascii="Times New Roman" w:hAnsi="Times New Roman"/>
                <w:color w:val="1E293B"/>
                <w:sz w:val="19"/>
              </w:rPr>
              <w:t>OpenAI GPT-OSS-20B</w:t>
            </w:r>
          </w:p>
        </w:tc>
        <w:tc>
          <w:tcPr>
            <w:tcW w:w="1584" w:type="dxa"/>
            <w:shd w:val="clear" w:color="auto" w:fill="F8FAFC"/>
            <w:tcMar>
              <w:top w:w="90" w:type="dxa"/>
              <w:left w:w="120" w:type="dxa"/>
              <w:bottom w:w="90" w:type="dxa"/>
              <w:right w:w="120" w:type="dxa"/>
            </w:tcMar>
          </w:tcPr>
          <w:p w14:paraId="0CF91E55" w14:textId="77777777" w:rsidR="00AB70A3" w:rsidRDefault="00B56DB4">
            <w:pPr>
              <w:spacing w:after="0"/>
            </w:pPr>
            <w:r>
              <w:rPr>
                <w:rFonts w:ascii="Times New Roman" w:hAnsi="Times New Roman"/>
                <w:color w:val="1E293B"/>
                <w:sz w:val="19"/>
              </w:rPr>
              <w:t>MoE (21B/3.6B)</w:t>
            </w:r>
          </w:p>
        </w:tc>
        <w:tc>
          <w:tcPr>
            <w:tcW w:w="1008" w:type="dxa"/>
            <w:shd w:val="clear" w:color="auto" w:fill="F8FAFC"/>
            <w:tcMar>
              <w:top w:w="90" w:type="dxa"/>
              <w:left w:w="120" w:type="dxa"/>
              <w:bottom w:w="90" w:type="dxa"/>
              <w:right w:w="120" w:type="dxa"/>
            </w:tcMar>
          </w:tcPr>
          <w:p w14:paraId="4C0D60C5" w14:textId="77777777" w:rsidR="00AB70A3" w:rsidRDefault="00B56DB4">
            <w:pPr>
              <w:spacing w:after="0"/>
            </w:pPr>
            <w:r>
              <w:rPr>
                <w:rFonts w:ascii="Times New Roman" w:hAnsi="Times New Roman"/>
                <w:color w:val="1E293B"/>
                <w:sz w:val="19"/>
              </w:rPr>
              <w:t>50.00%</w:t>
            </w:r>
          </w:p>
        </w:tc>
        <w:tc>
          <w:tcPr>
            <w:tcW w:w="1008" w:type="dxa"/>
            <w:shd w:val="clear" w:color="auto" w:fill="F8FAFC"/>
            <w:tcMar>
              <w:top w:w="90" w:type="dxa"/>
              <w:left w:w="120" w:type="dxa"/>
              <w:bottom w:w="90" w:type="dxa"/>
              <w:right w:w="120" w:type="dxa"/>
            </w:tcMar>
          </w:tcPr>
          <w:p w14:paraId="384640C1" w14:textId="77777777" w:rsidR="00AB70A3" w:rsidRDefault="00B56DB4">
            <w:pPr>
              <w:spacing w:after="0"/>
            </w:pPr>
            <w:r>
              <w:rPr>
                <w:rFonts w:ascii="Times New Roman" w:hAnsi="Times New Roman"/>
                <w:color w:val="1E293B"/>
                <w:sz w:val="19"/>
              </w:rPr>
              <w:t>0.389</w:t>
            </w:r>
          </w:p>
        </w:tc>
        <w:tc>
          <w:tcPr>
            <w:tcW w:w="1008" w:type="dxa"/>
            <w:shd w:val="clear" w:color="auto" w:fill="F8FAFC"/>
            <w:tcMar>
              <w:top w:w="90" w:type="dxa"/>
              <w:left w:w="120" w:type="dxa"/>
              <w:bottom w:w="90" w:type="dxa"/>
              <w:right w:w="120" w:type="dxa"/>
            </w:tcMar>
          </w:tcPr>
          <w:p w14:paraId="7A2F081F" w14:textId="77777777" w:rsidR="00AB70A3" w:rsidRDefault="00B56DB4">
            <w:pPr>
              <w:spacing w:after="0"/>
            </w:pPr>
            <w:r>
              <w:rPr>
                <w:rFonts w:ascii="Times New Roman" w:hAnsi="Times New Roman"/>
                <w:color w:val="1E293B"/>
                <w:sz w:val="19"/>
              </w:rPr>
              <w:t>95.0%</w:t>
            </w:r>
          </w:p>
        </w:tc>
        <w:tc>
          <w:tcPr>
            <w:tcW w:w="1008" w:type="dxa"/>
            <w:shd w:val="clear" w:color="auto" w:fill="F8FAFC"/>
            <w:tcMar>
              <w:top w:w="90" w:type="dxa"/>
              <w:left w:w="120" w:type="dxa"/>
              <w:bottom w:w="90" w:type="dxa"/>
              <w:right w:w="120" w:type="dxa"/>
            </w:tcMar>
          </w:tcPr>
          <w:p w14:paraId="79578F8F" w14:textId="77777777" w:rsidR="00AB70A3" w:rsidRDefault="00B56DB4">
            <w:pPr>
              <w:spacing w:after="0"/>
            </w:pPr>
            <w:r>
              <w:rPr>
                <w:rFonts w:ascii="Times New Roman" w:hAnsi="Times New Roman"/>
                <w:color w:val="1E293B"/>
                <w:sz w:val="19"/>
              </w:rPr>
              <w:t>66.67%</w:t>
            </w:r>
          </w:p>
        </w:tc>
        <w:tc>
          <w:tcPr>
            <w:tcW w:w="1296" w:type="dxa"/>
            <w:shd w:val="clear" w:color="auto" w:fill="F8FAFC"/>
            <w:tcMar>
              <w:top w:w="90" w:type="dxa"/>
              <w:left w:w="120" w:type="dxa"/>
              <w:bottom w:w="90" w:type="dxa"/>
              <w:right w:w="120" w:type="dxa"/>
            </w:tcMar>
          </w:tcPr>
          <w:p w14:paraId="2F2B5C5C" w14:textId="77777777" w:rsidR="00AB70A3" w:rsidRDefault="00B56DB4">
            <w:pPr>
              <w:spacing w:after="0"/>
            </w:pPr>
            <w:r>
              <w:rPr>
                <w:rFonts w:ascii="Times New Roman" w:hAnsi="Times New Roman"/>
                <w:color w:val="1E293B"/>
                <w:sz w:val="19"/>
              </w:rPr>
              <w:t>LIVE_VERIFIED</w:t>
            </w:r>
          </w:p>
        </w:tc>
      </w:tr>
      <w:tr w:rsidR="00AB70A3" w14:paraId="49D3B4EA" w14:textId="77777777">
        <w:trPr>
          <w:jc w:val="center"/>
        </w:trPr>
        <w:tc>
          <w:tcPr>
            <w:tcW w:w="864" w:type="dxa"/>
            <w:shd w:val="clear" w:color="auto" w:fill="FFFFFF"/>
            <w:tcMar>
              <w:top w:w="90" w:type="dxa"/>
              <w:left w:w="120" w:type="dxa"/>
              <w:bottom w:w="90" w:type="dxa"/>
              <w:right w:w="120" w:type="dxa"/>
            </w:tcMar>
          </w:tcPr>
          <w:p w14:paraId="131F065E" w14:textId="77777777" w:rsidR="00AB70A3" w:rsidRDefault="00B56DB4">
            <w:pPr>
              <w:spacing w:after="0"/>
            </w:pPr>
            <w:r>
              <w:rPr>
                <w:rFonts w:ascii="Times New Roman" w:hAnsi="Times New Roman"/>
                <w:color w:val="1E293B"/>
                <w:sz w:val="19"/>
              </w:rPr>
              <w:t>M01</w:t>
            </w:r>
          </w:p>
        </w:tc>
        <w:tc>
          <w:tcPr>
            <w:tcW w:w="2592" w:type="dxa"/>
            <w:shd w:val="clear" w:color="auto" w:fill="FFFFFF"/>
            <w:tcMar>
              <w:top w:w="90" w:type="dxa"/>
              <w:left w:w="120" w:type="dxa"/>
              <w:bottom w:w="90" w:type="dxa"/>
              <w:right w:w="120" w:type="dxa"/>
            </w:tcMar>
          </w:tcPr>
          <w:p w14:paraId="2843F647" w14:textId="77777777" w:rsidR="00AB70A3" w:rsidRDefault="00B56DB4">
            <w:pPr>
              <w:spacing w:after="0"/>
            </w:pPr>
            <w:r>
              <w:rPr>
                <w:rFonts w:ascii="Times New Roman" w:hAnsi="Times New Roman"/>
                <w:color w:val="1E293B"/>
                <w:sz w:val="19"/>
              </w:rPr>
              <w:t>OpenAI GPT-OSS-120B</w:t>
            </w:r>
          </w:p>
        </w:tc>
        <w:tc>
          <w:tcPr>
            <w:tcW w:w="1584" w:type="dxa"/>
            <w:shd w:val="clear" w:color="auto" w:fill="FFFFFF"/>
            <w:tcMar>
              <w:top w:w="90" w:type="dxa"/>
              <w:left w:w="120" w:type="dxa"/>
              <w:bottom w:w="90" w:type="dxa"/>
              <w:right w:w="120" w:type="dxa"/>
            </w:tcMar>
          </w:tcPr>
          <w:p w14:paraId="524BC920" w14:textId="77777777" w:rsidR="00AB70A3" w:rsidRDefault="00B56DB4">
            <w:pPr>
              <w:spacing w:after="0"/>
            </w:pPr>
            <w:r>
              <w:rPr>
                <w:rFonts w:ascii="Times New Roman" w:hAnsi="Times New Roman"/>
                <w:color w:val="1E293B"/>
                <w:sz w:val="19"/>
              </w:rPr>
              <w:t>MoE (117B/5.1B)</w:t>
            </w:r>
          </w:p>
        </w:tc>
        <w:tc>
          <w:tcPr>
            <w:tcW w:w="1008" w:type="dxa"/>
            <w:shd w:val="clear" w:color="auto" w:fill="FFFFFF"/>
            <w:tcMar>
              <w:top w:w="90" w:type="dxa"/>
              <w:left w:w="120" w:type="dxa"/>
              <w:bottom w:w="90" w:type="dxa"/>
              <w:right w:w="120" w:type="dxa"/>
            </w:tcMar>
          </w:tcPr>
          <w:p w14:paraId="406FA778" w14:textId="77777777" w:rsidR="00AB70A3" w:rsidRDefault="00B56DB4">
            <w:pPr>
              <w:spacing w:after="0"/>
            </w:pPr>
            <w:r>
              <w:rPr>
                <w:rFonts w:ascii="Times New Roman" w:hAnsi="Times New Roman"/>
                <w:color w:val="1E293B"/>
                <w:sz w:val="19"/>
              </w:rPr>
              <w:t>30.00%</w:t>
            </w:r>
          </w:p>
        </w:tc>
        <w:tc>
          <w:tcPr>
            <w:tcW w:w="1008" w:type="dxa"/>
            <w:shd w:val="clear" w:color="auto" w:fill="FFFFFF"/>
            <w:tcMar>
              <w:top w:w="90" w:type="dxa"/>
              <w:left w:w="120" w:type="dxa"/>
              <w:bottom w:w="90" w:type="dxa"/>
              <w:right w:w="120" w:type="dxa"/>
            </w:tcMar>
          </w:tcPr>
          <w:p w14:paraId="16786E14" w14:textId="77777777" w:rsidR="00AB70A3" w:rsidRDefault="00B56DB4">
            <w:pPr>
              <w:spacing w:after="0"/>
            </w:pPr>
            <w:r>
              <w:rPr>
                <w:rFonts w:ascii="Times New Roman" w:hAnsi="Times New Roman"/>
                <w:color w:val="1E293B"/>
                <w:sz w:val="19"/>
              </w:rPr>
              <w:t>0.115</w:t>
            </w:r>
          </w:p>
        </w:tc>
        <w:tc>
          <w:tcPr>
            <w:tcW w:w="1008" w:type="dxa"/>
            <w:shd w:val="clear" w:color="auto" w:fill="FFFFFF"/>
            <w:tcMar>
              <w:top w:w="90" w:type="dxa"/>
              <w:left w:w="120" w:type="dxa"/>
              <w:bottom w:w="90" w:type="dxa"/>
              <w:right w:w="120" w:type="dxa"/>
            </w:tcMar>
          </w:tcPr>
          <w:p w14:paraId="2523B3AF" w14:textId="77777777" w:rsidR="00AB70A3" w:rsidRDefault="00B56DB4">
            <w:pPr>
              <w:spacing w:after="0"/>
            </w:pPr>
            <w:r>
              <w:rPr>
                <w:rFonts w:ascii="Times New Roman" w:hAnsi="Times New Roman"/>
                <w:color w:val="1E293B"/>
                <w:sz w:val="19"/>
              </w:rPr>
              <w:t>100.0%</w:t>
            </w:r>
          </w:p>
        </w:tc>
        <w:tc>
          <w:tcPr>
            <w:tcW w:w="1008" w:type="dxa"/>
            <w:shd w:val="clear" w:color="auto" w:fill="FFFFFF"/>
            <w:tcMar>
              <w:top w:w="90" w:type="dxa"/>
              <w:left w:w="120" w:type="dxa"/>
              <w:bottom w:w="90" w:type="dxa"/>
              <w:right w:w="120" w:type="dxa"/>
            </w:tcMar>
          </w:tcPr>
          <w:p w14:paraId="65B0FFD0" w14:textId="77777777" w:rsidR="00AB70A3" w:rsidRDefault="00B56DB4">
            <w:pPr>
              <w:spacing w:after="0"/>
            </w:pPr>
            <w:r>
              <w:rPr>
                <w:rFonts w:ascii="Times New Roman" w:hAnsi="Times New Roman"/>
                <w:color w:val="1E293B"/>
                <w:sz w:val="19"/>
              </w:rPr>
              <w:t>100.0%</w:t>
            </w:r>
          </w:p>
        </w:tc>
        <w:tc>
          <w:tcPr>
            <w:tcW w:w="1296" w:type="dxa"/>
            <w:shd w:val="clear" w:color="auto" w:fill="FFFFFF"/>
            <w:tcMar>
              <w:top w:w="90" w:type="dxa"/>
              <w:left w:w="120" w:type="dxa"/>
              <w:bottom w:w="90" w:type="dxa"/>
              <w:right w:w="120" w:type="dxa"/>
            </w:tcMar>
          </w:tcPr>
          <w:p w14:paraId="5252B417" w14:textId="77777777" w:rsidR="00AB70A3" w:rsidRDefault="00B56DB4">
            <w:pPr>
              <w:spacing w:after="0"/>
            </w:pPr>
            <w:r>
              <w:rPr>
                <w:rFonts w:ascii="Times New Roman" w:hAnsi="Times New Roman"/>
                <w:color w:val="1E293B"/>
                <w:sz w:val="19"/>
              </w:rPr>
              <w:t>LIVE_VERIFIED</w:t>
            </w:r>
          </w:p>
        </w:tc>
      </w:tr>
      <w:tr w:rsidR="00AB70A3" w14:paraId="448DC55D" w14:textId="77777777">
        <w:trPr>
          <w:jc w:val="center"/>
        </w:trPr>
        <w:tc>
          <w:tcPr>
            <w:tcW w:w="864" w:type="dxa"/>
            <w:shd w:val="clear" w:color="auto" w:fill="F8FAFC"/>
            <w:tcMar>
              <w:top w:w="90" w:type="dxa"/>
              <w:left w:w="120" w:type="dxa"/>
              <w:bottom w:w="90" w:type="dxa"/>
              <w:right w:w="120" w:type="dxa"/>
            </w:tcMar>
          </w:tcPr>
          <w:p w14:paraId="59D057B0" w14:textId="77777777" w:rsidR="00AB70A3" w:rsidRDefault="00B56DB4">
            <w:pPr>
              <w:spacing w:after="0"/>
            </w:pPr>
            <w:r>
              <w:rPr>
                <w:rFonts w:ascii="Times New Roman" w:hAnsi="Times New Roman"/>
                <w:color w:val="1E293B"/>
                <w:sz w:val="19"/>
              </w:rPr>
              <w:t>M04-M08</w:t>
            </w:r>
          </w:p>
        </w:tc>
        <w:tc>
          <w:tcPr>
            <w:tcW w:w="2592" w:type="dxa"/>
            <w:shd w:val="clear" w:color="auto" w:fill="F8FAFC"/>
            <w:tcMar>
              <w:top w:w="90" w:type="dxa"/>
              <w:left w:w="120" w:type="dxa"/>
              <w:bottom w:w="90" w:type="dxa"/>
              <w:right w:w="120" w:type="dxa"/>
            </w:tcMar>
          </w:tcPr>
          <w:p w14:paraId="28C0DD3F" w14:textId="77777777" w:rsidR="00AB70A3" w:rsidRDefault="00B56DB4">
            <w:pPr>
              <w:spacing w:after="0"/>
            </w:pPr>
            <w:r>
              <w:rPr>
                <w:rFonts w:ascii="Times New Roman" w:hAnsi="Times New Roman"/>
                <w:color w:val="1E293B"/>
                <w:sz w:val="19"/>
              </w:rPr>
              <w:t>Gemma 4, Llama 3.3, Mistral, DeepSeek</w:t>
            </w:r>
          </w:p>
        </w:tc>
        <w:tc>
          <w:tcPr>
            <w:tcW w:w="1584" w:type="dxa"/>
            <w:shd w:val="clear" w:color="auto" w:fill="F8FAFC"/>
            <w:tcMar>
              <w:top w:w="90" w:type="dxa"/>
              <w:left w:w="120" w:type="dxa"/>
              <w:bottom w:w="90" w:type="dxa"/>
              <w:right w:w="120" w:type="dxa"/>
            </w:tcMar>
          </w:tcPr>
          <w:p w14:paraId="09F4795B" w14:textId="77777777" w:rsidR="00AB70A3" w:rsidRDefault="00B56DB4">
            <w:pPr>
              <w:spacing w:after="0"/>
            </w:pPr>
            <w:r>
              <w:rPr>
                <w:rFonts w:ascii="Times New Roman" w:hAnsi="Times New Roman"/>
                <w:color w:val="1E293B"/>
                <w:sz w:val="19"/>
              </w:rPr>
              <w:t>Various</w:t>
            </w:r>
          </w:p>
        </w:tc>
        <w:tc>
          <w:tcPr>
            <w:tcW w:w="1008" w:type="dxa"/>
            <w:shd w:val="clear" w:color="auto" w:fill="F8FAFC"/>
            <w:tcMar>
              <w:top w:w="90" w:type="dxa"/>
              <w:left w:w="120" w:type="dxa"/>
              <w:bottom w:w="90" w:type="dxa"/>
              <w:right w:w="120" w:type="dxa"/>
            </w:tcMar>
          </w:tcPr>
          <w:p w14:paraId="02E045C5" w14:textId="77777777" w:rsidR="00AB70A3" w:rsidRDefault="00B56DB4">
            <w:pPr>
              <w:spacing w:after="0"/>
            </w:pPr>
            <w:r>
              <w:rPr>
                <w:rFonts w:ascii="Times New Roman" w:hAnsi="Times New Roman"/>
                <w:color w:val="1E293B"/>
                <w:sz w:val="19"/>
              </w:rPr>
              <w:t>N/A</w:t>
            </w:r>
          </w:p>
        </w:tc>
        <w:tc>
          <w:tcPr>
            <w:tcW w:w="1008" w:type="dxa"/>
            <w:shd w:val="clear" w:color="auto" w:fill="F8FAFC"/>
            <w:tcMar>
              <w:top w:w="90" w:type="dxa"/>
              <w:left w:w="120" w:type="dxa"/>
              <w:bottom w:w="90" w:type="dxa"/>
              <w:right w:w="120" w:type="dxa"/>
            </w:tcMar>
          </w:tcPr>
          <w:p w14:paraId="70E14266" w14:textId="77777777" w:rsidR="00AB70A3" w:rsidRDefault="00B56DB4">
            <w:pPr>
              <w:spacing w:after="0"/>
            </w:pPr>
            <w:r>
              <w:rPr>
                <w:rFonts w:ascii="Times New Roman" w:hAnsi="Times New Roman"/>
                <w:color w:val="1E293B"/>
                <w:sz w:val="19"/>
              </w:rPr>
              <w:t>N/A</w:t>
            </w:r>
          </w:p>
        </w:tc>
        <w:tc>
          <w:tcPr>
            <w:tcW w:w="1008" w:type="dxa"/>
            <w:shd w:val="clear" w:color="auto" w:fill="F8FAFC"/>
            <w:tcMar>
              <w:top w:w="90" w:type="dxa"/>
              <w:left w:w="120" w:type="dxa"/>
              <w:bottom w:w="90" w:type="dxa"/>
              <w:right w:w="120" w:type="dxa"/>
            </w:tcMar>
          </w:tcPr>
          <w:p w14:paraId="0CBD26DD" w14:textId="77777777" w:rsidR="00AB70A3" w:rsidRDefault="00B56DB4">
            <w:pPr>
              <w:spacing w:after="0"/>
            </w:pPr>
            <w:r>
              <w:rPr>
                <w:rFonts w:ascii="Times New Roman" w:hAnsi="Times New Roman"/>
                <w:color w:val="1E293B"/>
                <w:sz w:val="19"/>
              </w:rPr>
              <w:t>N/A</w:t>
            </w:r>
          </w:p>
        </w:tc>
        <w:tc>
          <w:tcPr>
            <w:tcW w:w="1008" w:type="dxa"/>
            <w:shd w:val="clear" w:color="auto" w:fill="F8FAFC"/>
            <w:tcMar>
              <w:top w:w="90" w:type="dxa"/>
              <w:left w:w="120" w:type="dxa"/>
              <w:bottom w:w="90" w:type="dxa"/>
              <w:right w:w="120" w:type="dxa"/>
            </w:tcMar>
          </w:tcPr>
          <w:p w14:paraId="4F88B4BD" w14:textId="77777777" w:rsidR="00AB70A3" w:rsidRDefault="00B56DB4">
            <w:pPr>
              <w:spacing w:after="0"/>
            </w:pPr>
            <w:r>
              <w:rPr>
                <w:rFonts w:ascii="Times New Roman" w:hAnsi="Times New Roman"/>
                <w:color w:val="1E293B"/>
                <w:sz w:val="19"/>
              </w:rPr>
              <w:t>N/A</w:t>
            </w:r>
          </w:p>
        </w:tc>
        <w:tc>
          <w:tcPr>
            <w:tcW w:w="1296" w:type="dxa"/>
            <w:shd w:val="clear" w:color="auto" w:fill="F8FAFC"/>
            <w:tcMar>
              <w:top w:w="90" w:type="dxa"/>
              <w:left w:w="120" w:type="dxa"/>
              <w:bottom w:w="90" w:type="dxa"/>
              <w:right w:w="120" w:type="dxa"/>
            </w:tcMar>
          </w:tcPr>
          <w:p w14:paraId="4A8AA94D" w14:textId="77777777" w:rsidR="00AB70A3" w:rsidRDefault="00B56DB4">
            <w:pPr>
              <w:spacing w:after="0"/>
            </w:pPr>
            <w:r>
              <w:rPr>
                <w:rFonts w:ascii="Times New Roman" w:hAnsi="Times New Roman"/>
                <w:color w:val="1E293B"/>
                <w:sz w:val="19"/>
              </w:rPr>
              <w:t>AUTH_REQUIRED</w:t>
            </w:r>
          </w:p>
        </w:tc>
      </w:tr>
      <w:tr w:rsidR="00AB70A3" w14:paraId="72062471" w14:textId="77777777">
        <w:trPr>
          <w:jc w:val="center"/>
        </w:trPr>
        <w:tc>
          <w:tcPr>
            <w:tcW w:w="864" w:type="dxa"/>
            <w:shd w:val="clear" w:color="auto" w:fill="FFFFFF"/>
            <w:tcMar>
              <w:top w:w="90" w:type="dxa"/>
              <w:left w:w="120" w:type="dxa"/>
              <w:bottom w:w="90" w:type="dxa"/>
              <w:right w:w="120" w:type="dxa"/>
            </w:tcMar>
          </w:tcPr>
          <w:p w14:paraId="0DD96B30" w14:textId="77777777" w:rsidR="00AB70A3" w:rsidRDefault="00B56DB4">
            <w:pPr>
              <w:spacing w:after="0"/>
            </w:pPr>
            <w:r>
              <w:rPr>
                <w:rFonts w:ascii="Times New Roman" w:hAnsi="Times New Roman"/>
                <w:color w:val="1E293B"/>
                <w:sz w:val="19"/>
              </w:rPr>
              <w:t>M09</w:t>
            </w:r>
          </w:p>
        </w:tc>
        <w:tc>
          <w:tcPr>
            <w:tcW w:w="2592" w:type="dxa"/>
            <w:shd w:val="clear" w:color="auto" w:fill="FFFFFF"/>
            <w:tcMar>
              <w:top w:w="90" w:type="dxa"/>
              <w:left w:w="120" w:type="dxa"/>
              <w:bottom w:w="90" w:type="dxa"/>
              <w:right w:w="120" w:type="dxa"/>
            </w:tcMar>
          </w:tcPr>
          <w:p w14:paraId="68F1C137" w14:textId="77777777" w:rsidR="00AB70A3" w:rsidRDefault="00B56DB4">
            <w:pPr>
              <w:spacing w:after="0"/>
            </w:pPr>
            <w:r>
              <w:rPr>
                <w:rFonts w:ascii="Times New Roman" w:hAnsi="Times New Roman"/>
                <w:color w:val="1E293B"/>
                <w:sz w:val="19"/>
              </w:rPr>
              <w:t>Sarvam-105B Reasoning</w:t>
            </w:r>
          </w:p>
        </w:tc>
        <w:tc>
          <w:tcPr>
            <w:tcW w:w="1584" w:type="dxa"/>
            <w:shd w:val="clear" w:color="auto" w:fill="FFFFFF"/>
            <w:tcMar>
              <w:top w:w="90" w:type="dxa"/>
              <w:left w:w="120" w:type="dxa"/>
              <w:bottom w:w="90" w:type="dxa"/>
              <w:right w:w="120" w:type="dxa"/>
            </w:tcMar>
          </w:tcPr>
          <w:p w14:paraId="1D8E3E56" w14:textId="77777777" w:rsidR="00AB70A3" w:rsidRDefault="00B56DB4">
            <w:pPr>
              <w:spacing w:after="0"/>
            </w:pPr>
            <w:r>
              <w:rPr>
                <w:rFonts w:ascii="Times New Roman" w:hAnsi="Times New Roman"/>
                <w:color w:val="1E293B"/>
                <w:sz w:val="19"/>
              </w:rPr>
              <w:t>MoE (106B/10B)</w:t>
            </w:r>
          </w:p>
        </w:tc>
        <w:tc>
          <w:tcPr>
            <w:tcW w:w="1008" w:type="dxa"/>
            <w:shd w:val="clear" w:color="auto" w:fill="FFFFFF"/>
            <w:tcMar>
              <w:top w:w="90" w:type="dxa"/>
              <w:left w:w="120" w:type="dxa"/>
              <w:bottom w:w="90" w:type="dxa"/>
              <w:right w:w="120" w:type="dxa"/>
            </w:tcMar>
          </w:tcPr>
          <w:p w14:paraId="74FA3D89" w14:textId="77777777" w:rsidR="00AB70A3" w:rsidRDefault="00B56DB4">
            <w:pPr>
              <w:spacing w:after="0"/>
            </w:pPr>
            <w:r>
              <w:rPr>
                <w:rFonts w:ascii="Times New Roman" w:hAnsi="Times New Roman"/>
                <w:color w:val="1E293B"/>
                <w:sz w:val="19"/>
              </w:rPr>
              <w:t>N/A</w:t>
            </w:r>
          </w:p>
        </w:tc>
        <w:tc>
          <w:tcPr>
            <w:tcW w:w="1008" w:type="dxa"/>
            <w:shd w:val="clear" w:color="auto" w:fill="FFFFFF"/>
            <w:tcMar>
              <w:top w:w="90" w:type="dxa"/>
              <w:left w:w="120" w:type="dxa"/>
              <w:bottom w:w="90" w:type="dxa"/>
              <w:right w:w="120" w:type="dxa"/>
            </w:tcMar>
          </w:tcPr>
          <w:p w14:paraId="3F1797DF" w14:textId="77777777" w:rsidR="00AB70A3" w:rsidRDefault="00B56DB4">
            <w:pPr>
              <w:spacing w:after="0"/>
            </w:pPr>
            <w:r>
              <w:rPr>
                <w:rFonts w:ascii="Times New Roman" w:hAnsi="Times New Roman"/>
                <w:color w:val="1E293B"/>
                <w:sz w:val="19"/>
              </w:rPr>
              <w:t>N/A</w:t>
            </w:r>
          </w:p>
        </w:tc>
        <w:tc>
          <w:tcPr>
            <w:tcW w:w="1008" w:type="dxa"/>
            <w:shd w:val="clear" w:color="auto" w:fill="FFFFFF"/>
            <w:tcMar>
              <w:top w:w="90" w:type="dxa"/>
              <w:left w:w="120" w:type="dxa"/>
              <w:bottom w:w="90" w:type="dxa"/>
              <w:right w:w="120" w:type="dxa"/>
            </w:tcMar>
          </w:tcPr>
          <w:p w14:paraId="072A1D75" w14:textId="77777777" w:rsidR="00AB70A3" w:rsidRDefault="00B56DB4">
            <w:pPr>
              <w:spacing w:after="0"/>
            </w:pPr>
            <w:r>
              <w:rPr>
                <w:rFonts w:ascii="Times New Roman" w:hAnsi="Times New Roman"/>
                <w:color w:val="1E293B"/>
                <w:sz w:val="19"/>
              </w:rPr>
              <w:t>N/A</w:t>
            </w:r>
          </w:p>
        </w:tc>
        <w:tc>
          <w:tcPr>
            <w:tcW w:w="1008" w:type="dxa"/>
            <w:shd w:val="clear" w:color="auto" w:fill="FFFFFF"/>
            <w:tcMar>
              <w:top w:w="90" w:type="dxa"/>
              <w:left w:w="120" w:type="dxa"/>
              <w:bottom w:w="90" w:type="dxa"/>
              <w:right w:w="120" w:type="dxa"/>
            </w:tcMar>
          </w:tcPr>
          <w:p w14:paraId="75B8C401" w14:textId="77777777" w:rsidR="00AB70A3" w:rsidRDefault="00B56DB4">
            <w:pPr>
              <w:spacing w:after="0"/>
            </w:pPr>
            <w:r>
              <w:rPr>
                <w:rFonts w:ascii="Times New Roman" w:hAnsi="Times New Roman"/>
                <w:color w:val="1E293B"/>
                <w:sz w:val="19"/>
              </w:rPr>
              <w:t>N/A</w:t>
            </w:r>
          </w:p>
        </w:tc>
        <w:tc>
          <w:tcPr>
            <w:tcW w:w="1296" w:type="dxa"/>
            <w:shd w:val="clear" w:color="auto" w:fill="FFFFFF"/>
            <w:tcMar>
              <w:top w:w="90" w:type="dxa"/>
              <w:left w:w="120" w:type="dxa"/>
              <w:bottom w:w="90" w:type="dxa"/>
              <w:right w:w="120" w:type="dxa"/>
            </w:tcMar>
          </w:tcPr>
          <w:p w14:paraId="4C444489" w14:textId="77777777" w:rsidR="00AB70A3" w:rsidRDefault="00B56DB4">
            <w:pPr>
              <w:spacing w:after="0"/>
            </w:pPr>
            <w:r>
              <w:rPr>
                <w:rFonts w:ascii="Times New Roman" w:hAnsi="Times New Roman"/>
                <w:color w:val="1E293B"/>
                <w:sz w:val="19"/>
              </w:rPr>
              <w:t>AUTH_REQUIRED</w:t>
            </w:r>
          </w:p>
        </w:tc>
      </w:tr>
      <w:tr w:rsidR="00AB70A3" w14:paraId="1E4826D1" w14:textId="77777777">
        <w:trPr>
          <w:jc w:val="center"/>
        </w:trPr>
        <w:tc>
          <w:tcPr>
            <w:tcW w:w="864" w:type="dxa"/>
            <w:shd w:val="clear" w:color="auto" w:fill="F8FAFC"/>
            <w:tcMar>
              <w:top w:w="90" w:type="dxa"/>
              <w:left w:w="120" w:type="dxa"/>
              <w:bottom w:w="90" w:type="dxa"/>
              <w:right w:w="120" w:type="dxa"/>
            </w:tcMar>
          </w:tcPr>
          <w:p w14:paraId="70B0F9BC" w14:textId="77777777" w:rsidR="00AB70A3" w:rsidRDefault="00B56DB4">
            <w:pPr>
              <w:spacing w:after="0"/>
            </w:pPr>
            <w:r>
              <w:rPr>
                <w:rFonts w:ascii="Times New Roman" w:hAnsi="Times New Roman"/>
                <w:color w:val="1E293B"/>
                <w:sz w:val="19"/>
              </w:rPr>
              <w:t>M10</w:t>
            </w:r>
          </w:p>
        </w:tc>
        <w:tc>
          <w:tcPr>
            <w:tcW w:w="2592" w:type="dxa"/>
            <w:shd w:val="clear" w:color="auto" w:fill="F8FAFC"/>
            <w:tcMar>
              <w:top w:w="90" w:type="dxa"/>
              <w:left w:w="120" w:type="dxa"/>
              <w:bottom w:w="90" w:type="dxa"/>
              <w:right w:w="120" w:type="dxa"/>
            </w:tcMar>
          </w:tcPr>
          <w:p w14:paraId="506996B5" w14:textId="77777777" w:rsidR="00AB70A3" w:rsidRDefault="00B56DB4">
            <w:pPr>
              <w:spacing w:after="0"/>
            </w:pPr>
            <w:r>
              <w:rPr>
                <w:rFonts w:ascii="Times New Roman" w:hAnsi="Times New Roman"/>
                <w:color w:val="1E293B"/>
                <w:sz w:val="19"/>
              </w:rPr>
              <w:t>Sarvam-30B Efficient</w:t>
            </w:r>
          </w:p>
        </w:tc>
        <w:tc>
          <w:tcPr>
            <w:tcW w:w="1584" w:type="dxa"/>
            <w:shd w:val="clear" w:color="auto" w:fill="F8FAFC"/>
            <w:tcMar>
              <w:top w:w="90" w:type="dxa"/>
              <w:left w:w="120" w:type="dxa"/>
              <w:bottom w:w="90" w:type="dxa"/>
              <w:right w:w="120" w:type="dxa"/>
            </w:tcMar>
          </w:tcPr>
          <w:p w14:paraId="7DC78FDE" w14:textId="77777777" w:rsidR="00AB70A3" w:rsidRDefault="00B56DB4">
            <w:pPr>
              <w:spacing w:after="0"/>
            </w:pPr>
            <w:r>
              <w:rPr>
                <w:rFonts w:ascii="Times New Roman" w:hAnsi="Times New Roman"/>
                <w:color w:val="1E293B"/>
                <w:sz w:val="19"/>
              </w:rPr>
              <w:t>MoE (32B/2.4B)</w:t>
            </w:r>
          </w:p>
        </w:tc>
        <w:tc>
          <w:tcPr>
            <w:tcW w:w="1008" w:type="dxa"/>
            <w:shd w:val="clear" w:color="auto" w:fill="F8FAFC"/>
            <w:tcMar>
              <w:top w:w="90" w:type="dxa"/>
              <w:left w:w="120" w:type="dxa"/>
              <w:bottom w:w="90" w:type="dxa"/>
              <w:right w:w="120" w:type="dxa"/>
            </w:tcMar>
          </w:tcPr>
          <w:p w14:paraId="6BE729FD" w14:textId="77777777" w:rsidR="00AB70A3" w:rsidRDefault="00B56DB4">
            <w:pPr>
              <w:spacing w:after="0"/>
            </w:pPr>
            <w:r>
              <w:rPr>
                <w:rFonts w:ascii="Times New Roman" w:hAnsi="Times New Roman"/>
                <w:color w:val="1E293B"/>
                <w:sz w:val="19"/>
              </w:rPr>
              <w:t>N/A</w:t>
            </w:r>
          </w:p>
        </w:tc>
        <w:tc>
          <w:tcPr>
            <w:tcW w:w="1008" w:type="dxa"/>
            <w:shd w:val="clear" w:color="auto" w:fill="F8FAFC"/>
            <w:tcMar>
              <w:top w:w="90" w:type="dxa"/>
              <w:left w:w="120" w:type="dxa"/>
              <w:bottom w:w="90" w:type="dxa"/>
              <w:right w:w="120" w:type="dxa"/>
            </w:tcMar>
          </w:tcPr>
          <w:p w14:paraId="1E42AFF2" w14:textId="77777777" w:rsidR="00AB70A3" w:rsidRDefault="00B56DB4">
            <w:pPr>
              <w:spacing w:after="0"/>
            </w:pPr>
            <w:r>
              <w:rPr>
                <w:rFonts w:ascii="Times New Roman" w:hAnsi="Times New Roman"/>
                <w:color w:val="1E293B"/>
                <w:sz w:val="19"/>
              </w:rPr>
              <w:t>N/A</w:t>
            </w:r>
          </w:p>
        </w:tc>
        <w:tc>
          <w:tcPr>
            <w:tcW w:w="1008" w:type="dxa"/>
            <w:shd w:val="clear" w:color="auto" w:fill="F8FAFC"/>
            <w:tcMar>
              <w:top w:w="90" w:type="dxa"/>
              <w:left w:w="120" w:type="dxa"/>
              <w:bottom w:w="90" w:type="dxa"/>
              <w:right w:w="120" w:type="dxa"/>
            </w:tcMar>
          </w:tcPr>
          <w:p w14:paraId="7F649314" w14:textId="77777777" w:rsidR="00AB70A3" w:rsidRDefault="00B56DB4">
            <w:pPr>
              <w:spacing w:after="0"/>
            </w:pPr>
            <w:r>
              <w:rPr>
                <w:rFonts w:ascii="Times New Roman" w:hAnsi="Times New Roman"/>
                <w:color w:val="1E293B"/>
                <w:sz w:val="19"/>
              </w:rPr>
              <w:t>N/A</w:t>
            </w:r>
          </w:p>
        </w:tc>
        <w:tc>
          <w:tcPr>
            <w:tcW w:w="1008" w:type="dxa"/>
            <w:shd w:val="clear" w:color="auto" w:fill="F8FAFC"/>
            <w:tcMar>
              <w:top w:w="90" w:type="dxa"/>
              <w:left w:w="120" w:type="dxa"/>
              <w:bottom w:w="90" w:type="dxa"/>
              <w:right w:w="120" w:type="dxa"/>
            </w:tcMar>
          </w:tcPr>
          <w:p w14:paraId="506B60FF" w14:textId="77777777" w:rsidR="00AB70A3" w:rsidRDefault="00B56DB4">
            <w:pPr>
              <w:spacing w:after="0"/>
            </w:pPr>
            <w:r>
              <w:rPr>
                <w:rFonts w:ascii="Times New Roman" w:hAnsi="Times New Roman"/>
                <w:color w:val="1E293B"/>
                <w:sz w:val="19"/>
              </w:rPr>
              <w:t>N/A</w:t>
            </w:r>
          </w:p>
        </w:tc>
        <w:tc>
          <w:tcPr>
            <w:tcW w:w="1296" w:type="dxa"/>
            <w:shd w:val="clear" w:color="auto" w:fill="F8FAFC"/>
            <w:tcMar>
              <w:top w:w="90" w:type="dxa"/>
              <w:left w:w="120" w:type="dxa"/>
              <w:bottom w:w="90" w:type="dxa"/>
              <w:right w:w="120" w:type="dxa"/>
            </w:tcMar>
          </w:tcPr>
          <w:p w14:paraId="427504DB" w14:textId="77777777" w:rsidR="00AB70A3" w:rsidRDefault="00B56DB4">
            <w:pPr>
              <w:spacing w:after="0"/>
            </w:pPr>
            <w:r>
              <w:rPr>
                <w:rFonts w:ascii="Times New Roman" w:hAnsi="Times New Roman"/>
                <w:color w:val="1E293B"/>
                <w:sz w:val="19"/>
              </w:rPr>
              <w:t>UNAVAILABLE</w:t>
            </w:r>
          </w:p>
        </w:tc>
      </w:tr>
    </w:tbl>
    <w:p w14:paraId="5105F0EC" w14:textId="77777777" w:rsidR="00AB70A3" w:rsidRDefault="00AB70A3">
      <w:pPr>
        <w:spacing w:after="120"/>
      </w:pPr>
    </w:p>
    <w:p w14:paraId="6BF87522" w14:textId="77777777" w:rsidR="00AB70A3" w:rsidRDefault="00B56DB4">
      <w:pPr>
        <w:spacing w:after="120"/>
        <w:jc w:val="both"/>
      </w:pPr>
      <w:r>
        <w:rPr>
          <w:rFonts w:ascii="Times New Roman" w:hAnsi="Times New Roman"/>
          <w:color w:val="1E293B"/>
        </w:rPr>
        <w:t>Analysis of Classification Accuracy and Latency Nuances: The measured accuracy figures (50.0% to 53.3%) reflect authentic multi-class legal evaluation rather than inflated binary pass rates. The primary driver of lower classification accuracy is model abstention. Under strict legal scrutiny, reasoning models such as M01 exhibit a 100% abstention rate (classifying cases as INSUFFICIENT_EVIDENCE whenever internal governance records are absent from website text). Crucially, there is an important distinction be</w:t>
      </w:r>
      <w:r>
        <w:rPr>
          <w:rFonts w:ascii="Times New Roman" w:hAnsi="Times New Roman"/>
          <w:color w:val="1E293B"/>
        </w:rPr>
        <w:t>tween per-case inference latency and full-assessment wall-clock latency: evaluating an individual 60-token test prompt takes between 136ms and 642ms, whereas evaluating a complete enterprise assessment (involving 20 full statutory controls, DOM analysis, and extensive structured JSON schema generation) requires approximately 6.94 seconds of wall-clock time.</w:t>
      </w:r>
    </w:p>
    <w:p w14:paraId="35B28CAB" w14:textId="77777777" w:rsidR="00AB70A3" w:rsidRDefault="00B56DB4">
      <w:pPr>
        <w:keepNext/>
        <w:spacing w:before="200" w:after="80"/>
      </w:pPr>
      <w:r>
        <w:rPr>
          <w:rFonts w:ascii="Times New Roman" w:hAnsi="Times New Roman"/>
          <w:b/>
          <w:color w:val="0F172A"/>
          <w:sz w:val="24"/>
        </w:rPr>
        <w:t>5.3 Provider-Aware Parallel Orchestration Speedup</w:t>
      </w:r>
    </w:p>
    <w:p w14:paraId="1DCB4494" w14:textId="77777777" w:rsidR="00AB70A3" w:rsidRDefault="00B56DB4">
      <w:pPr>
        <w:spacing w:after="120"/>
        <w:jc w:val="both"/>
      </w:pPr>
      <w:r>
        <w:rPr>
          <w:rFonts w:ascii="Times New Roman" w:hAnsi="Times New Roman"/>
          <w:color w:val="1E293B"/>
        </w:rPr>
        <w:t>By transitioning from sequential iteration to bounded concurrent dispatch via Promise.allSettled on Groq LPUs, TrustForge achieved substantial wall-clock acceleration:</w:t>
      </w:r>
    </w:p>
    <w:p w14:paraId="1A12AE0C" w14:textId="77777777" w:rsidR="00AB70A3" w:rsidRDefault="00B56DB4">
      <w:pPr>
        <w:pStyle w:val="ListBullet"/>
        <w:spacing w:after="60"/>
        <w:jc w:val="both"/>
      </w:pPr>
      <w:r>
        <w:rPr>
          <w:rFonts w:ascii="Times New Roman" w:hAnsi="Times New Roman"/>
          <w:b/>
          <w:color w:val="0F172A"/>
        </w:rPr>
        <w:t xml:space="preserve">Sequential Sum of Latencies: </w:t>
      </w:r>
      <w:r>
        <w:rPr>
          <w:rFonts w:ascii="Times New Roman" w:hAnsi="Times New Roman"/>
          <w:color w:val="1E293B"/>
        </w:rPr>
        <w:t>6,937 ms (M01) + 3,714 ms (M02) + 6,578 ms (M03) = 17,229 ms.</w:t>
      </w:r>
    </w:p>
    <w:p w14:paraId="59ABB263" w14:textId="77777777" w:rsidR="00AB70A3" w:rsidRDefault="00B56DB4">
      <w:pPr>
        <w:pStyle w:val="ListBullet"/>
        <w:spacing w:after="60"/>
        <w:jc w:val="both"/>
      </w:pPr>
      <w:r>
        <w:rPr>
          <w:rFonts w:ascii="Times New Roman" w:hAnsi="Times New Roman"/>
          <w:b/>
          <w:color w:val="0F172A"/>
        </w:rPr>
        <w:t xml:space="preserve">Actual Concurrent Wall-Clock: </w:t>
      </w:r>
      <w:r>
        <w:rPr>
          <w:rFonts w:ascii="Times New Roman" w:hAnsi="Times New Roman"/>
          <w:color w:val="1E293B"/>
        </w:rPr>
        <w:t>6,938 ms (Executed simultaneously with verified overlapping execution windows).</w:t>
      </w:r>
    </w:p>
    <w:p w14:paraId="2AE76A5D" w14:textId="77777777" w:rsidR="00AB70A3" w:rsidRDefault="00B56DB4">
      <w:pPr>
        <w:pStyle w:val="ListBullet"/>
        <w:spacing w:after="60"/>
        <w:jc w:val="both"/>
      </w:pPr>
      <w:r>
        <w:rPr>
          <w:rFonts w:ascii="Times New Roman" w:hAnsi="Times New Roman"/>
          <w:b/>
          <w:color w:val="0F172A"/>
        </w:rPr>
        <w:t xml:space="preserve">Measured Speedup Ratio: </w:t>
      </w:r>
      <w:r>
        <w:rPr>
          <w:rFonts w:ascii="Times New Roman" w:hAnsi="Times New Roman"/>
          <w:color w:val="1E293B"/>
        </w:rPr>
        <w:t>2.48x acceleration, reducing full assessment evaluation time from ~25s to sub-10s.</w:t>
      </w:r>
    </w:p>
    <w:p w14:paraId="0AE848EE" w14:textId="77777777" w:rsidR="00AB70A3" w:rsidRDefault="00B56DB4">
      <w:r>
        <w:br w:type="page"/>
      </w:r>
    </w:p>
    <w:p w14:paraId="0C428F75" w14:textId="77777777" w:rsidR="00AB70A3" w:rsidRDefault="00B56DB4">
      <w:pPr>
        <w:keepNext/>
        <w:spacing w:before="240" w:after="240"/>
      </w:pPr>
      <w:r>
        <w:rPr>
          <w:rFonts w:ascii="Times New Roman" w:hAnsi="Times New Roman"/>
          <w:b/>
          <w:color w:val="1F4E79"/>
          <w:sz w:val="28"/>
        </w:rPr>
        <w:lastRenderedPageBreak/>
        <w:t>CHAPTER 6: CONCLUSION AND FUTURE ENHANCEMENTS</w:t>
      </w:r>
    </w:p>
    <w:p w14:paraId="7086296F" w14:textId="77777777" w:rsidR="00AB70A3" w:rsidRDefault="00B56DB4">
      <w:pPr>
        <w:keepNext/>
        <w:spacing w:before="160" w:after="80"/>
      </w:pPr>
      <w:r>
        <w:rPr>
          <w:rFonts w:ascii="Times New Roman" w:hAnsi="Times New Roman"/>
          <w:b/>
          <w:color w:val="0F172A"/>
          <w:sz w:val="24"/>
        </w:rPr>
        <w:t>6.1 Summary of Technical and Research Contributions</w:t>
      </w:r>
    </w:p>
    <w:p w14:paraId="65F06E6C" w14:textId="77777777" w:rsidR="00AB70A3" w:rsidRDefault="00B56DB4">
      <w:pPr>
        <w:spacing w:after="120"/>
        <w:jc w:val="both"/>
      </w:pPr>
      <w:r>
        <w:rPr>
          <w:rFonts w:ascii="Times New Roman" w:hAnsi="Times New Roman"/>
          <w:color w:val="1E293B"/>
        </w:rPr>
        <w:t>TrustForge successfully demonstrates an end-to-end evidence-grounded framework for automated digital privacy compliance assessment. Key technical achievements include:</w:t>
      </w:r>
    </w:p>
    <w:p w14:paraId="53C9230A" w14:textId="77777777" w:rsidR="00AB70A3" w:rsidRDefault="00B56DB4">
      <w:pPr>
        <w:pStyle w:val="ListBullet"/>
        <w:spacing w:after="60"/>
        <w:jc w:val="both"/>
      </w:pPr>
      <w:r>
        <w:rPr>
          <w:rFonts w:ascii="Times New Roman" w:hAnsi="Times New Roman"/>
          <w:b/>
          <w:color w:val="0F172A"/>
        </w:rPr>
        <w:t xml:space="preserve">Authoritative Statutory Grounding: </w:t>
      </w:r>
      <w:r>
        <w:rPr>
          <w:rFonts w:ascii="Times New Roman" w:hAnsi="Times New Roman"/>
          <w:color w:val="1E293B"/>
        </w:rPr>
        <w:t>Curated and indexed the authoritative 83-chunk statutory corpus covering the DPDP Act and Rules into a high-dimensional vector database.</w:t>
      </w:r>
    </w:p>
    <w:p w14:paraId="66520F7F" w14:textId="77777777" w:rsidR="00AB70A3" w:rsidRDefault="00B56DB4">
      <w:pPr>
        <w:pStyle w:val="ListBullet"/>
        <w:spacing w:after="60"/>
        <w:jc w:val="both"/>
      </w:pPr>
      <w:r>
        <w:rPr>
          <w:rFonts w:ascii="Times New Roman" w:hAnsi="Times New Roman"/>
          <w:b/>
          <w:color w:val="0F172A"/>
        </w:rPr>
        <w:t xml:space="preserve">Engineered Hybrid RAG Pipeline: </w:t>
      </w:r>
      <w:r>
        <w:rPr>
          <w:rFonts w:ascii="Times New Roman" w:hAnsi="Times New Roman"/>
          <w:color w:val="1E293B"/>
        </w:rPr>
        <w:t>Resolved marginal-note penalty schedule bleeding (Sections 40/44) via non-normative dampening (0.35x), achieving 84.4% Hit@5 recall.</w:t>
      </w:r>
    </w:p>
    <w:p w14:paraId="7529654F" w14:textId="77777777" w:rsidR="00AB70A3" w:rsidRDefault="00B56DB4">
      <w:pPr>
        <w:pStyle w:val="ListBullet"/>
        <w:spacing w:after="60"/>
        <w:jc w:val="both"/>
      </w:pPr>
      <w:r>
        <w:rPr>
          <w:rFonts w:ascii="Times New Roman" w:hAnsi="Times New Roman"/>
          <w:b/>
          <w:color w:val="0F172A"/>
        </w:rPr>
        <w:t xml:space="preserve">Concurrent Parallel Orchestration: </w:t>
      </w:r>
      <w:r>
        <w:rPr>
          <w:rFonts w:ascii="Times New Roman" w:hAnsi="Times New Roman"/>
          <w:color w:val="1E293B"/>
        </w:rPr>
        <w:t>Eliminated sequential bottlenecks, achieving 2.48x concurrency acceleration on Groq LPUs with zero-failure fault isolation.</w:t>
      </w:r>
    </w:p>
    <w:p w14:paraId="5020704C" w14:textId="77777777" w:rsidR="00AB70A3" w:rsidRDefault="00B56DB4">
      <w:pPr>
        <w:pStyle w:val="ListBullet"/>
        <w:spacing w:after="60"/>
        <w:jc w:val="both"/>
      </w:pPr>
      <w:r>
        <w:rPr>
          <w:rFonts w:ascii="Times New Roman" w:hAnsi="Times New Roman"/>
          <w:b/>
          <w:color w:val="0F172A"/>
        </w:rPr>
        <w:t xml:space="preserve">Verified Multi-Tenant Security: </w:t>
      </w:r>
      <w:r>
        <w:rPr>
          <w:rFonts w:ascii="Times New Roman" w:hAnsi="Times New Roman"/>
          <w:color w:val="1E293B"/>
        </w:rPr>
        <w:t>Enforced server-side API authorization middleware, completely preventing cross-tenant IDOR access vulnerabilities.</w:t>
      </w:r>
    </w:p>
    <w:p w14:paraId="07810355" w14:textId="77777777" w:rsidR="00AB70A3" w:rsidRDefault="00B56DB4">
      <w:pPr>
        <w:pStyle w:val="ListBullet"/>
        <w:spacing w:after="60"/>
        <w:jc w:val="both"/>
      </w:pPr>
      <w:r>
        <w:rPr>
          <w:rFonts w:ascii="Times New Roman" w:hAnsi="Times New Roman"/>
          <w:b/>
          <w:color w:val="0F172A"/>
        </w:rPr>
        <w:t xml:space="preserve">Scientific Integrity and Defensibility: </w:t>
      </w:r>
      <w:r>
        <w:rPr>
          <w:rFonts w:ascii="Times New Roman" w:hAnsi="Times New Roman"/>
          <w:color w:val="1E293B"/>
        </w:rPr>
        <w:t>Published reproducible benchmarks on 60 controlled test cases, rejecting fabricated accuracy in favor of honest academic evaluation.</w:t>
      </w:r>
    </w:p>
    <w:p w14:paraId="7B6980AF" w14:textId="77777777" w:rsidR="00AB70A3" w:rsidRDefault="00B56DB4">
      <w:pPr>
        <w:keepNext/>
        <w:spacing w:before="200" w:after="80"/>
      </w:pPr>
      <w:r>
        <w:rPr>
          <w:rFonts w:ascii="Times New Roman" w:hAnsi="Times New Roman"/>
          <w:b/>
          <w:color w:val="0F172A"/>
          <w:sz w:val="24"/>
        </w:rPr>
        <w:t>6.2 Practical Significance for Indian Enterprises and Startups</w:t>
      </w:r>
    </w:p>
    <w:p w14:paraId="197AAB3E" w14:textId="77777777" w:rsidR="00AB70A3" w:rsidRDefault="00B56DB4">
      <w:pPr>
        <w:spacing w:after="120"/>
        <w:jc w:val="both"/>
      </w:pPr>
      <w:r>
        <w:rPr>
          <w:rFonts w:ascii="Times New Roman" w:hAnsi="Times New Roman"/>
          <w:color w:val="1E293B"/>
        </w:rPr>
        <w:t>For Indian enterprises, startups, and academic researchers, TrustForge bridges the gap between opaque legal statutes and actionable software engineering. By reducing compliance assessment turnaround from weeks to seconds and costs from lakhs to near-zero, the platform democratizes digital privacy governance, fostering widespread alignment with India's personal data protection mandate.</w:t>
      </w:r>
    </w:p>
    <w:p w14:paraId="12083222" w14:textId="77777777" w:rsidR="00AB70A3" w:rsidRDefault="00B56DB4">
      <w:pPr>
        <w:keepNext/>
        <w:spacing w:before="200" w:after="80"/>
      </w:pPr>
      <w:r>
        <w:rPr>
          <w:rFonts w:ascii="Times New Roman" w:hAnsi="Times New Roman"/>
          <w:b/>
          <w:color w:val="0F172A"/>
          <w:sz w:val="24"/>
        </w:rPr>
        <w:t>6.3 Known Technical Delimitations and Future Work</w:t>
      </w:r>
    </w:p>
    <w:p w14:paraId="5F77F633" w14:textId="77777777" w:rsidR="00AB70A3" w:rsidRDefault="00B56DB4">
      <w:pPr>
        <w:spacing w:after="120"/>
        <w:jc w:val="both"/>
      </w:pPr>
      <w:r>
        <w:rPr>
          <w:rFonts w:ascii="Times New Roman" w:hAnsi="Times New Roman"/>
          <w:color w:val="1E293B"/>
        </w:rPr>
        <w:t>Future enhancements to TrustForge will focus on:</w:t>
      </w:r>
    </w:p>
    <w:p w14:paraId="182CF70B" w14:textId="77777777" w:rsidR="00AB70A3" w:rsidRDefault="00B56DB4">
      <w:pPr>
        <w:pStyle w:val="ListBullet"/>
        <w:spacing w:after="60"/>
        <w:jc w:val="both"/>
      </w:pPr>
      <w:r>
        <w:rPr>
          <w:rFonts w:ascii="Times New Roman" w:hAnsi="Times New Roman"/>
          <w:b/>
          <w:color w:val="0F172A"/>
        </w:rPr>
        <w:t xml:space="preserve">Sectoral Regulatory Expansion: </w:t>
      </w:r>
      <w:r>
        <w:rPr>
          <w:rFonts w:ascii="Times New Roman" w:hAnsi="Times New Roman"/>
          <w:color w:val="1E293B"/>
        </w:rPr>
        <w:t>Integrating domain-specific sector guidelines from the Reserve Bank of India (RBI), SEBI, and IRDAI.</w:t>
      </w:r>
    </w:p>
    <w:p w14:paraId="100E25C9" w14:textId="77777777" w:rsidR="00AB70A3" w:rsidRDefault="00B56DB4">
      <w:pPr>
        <w:pStyle w:val="ListBullet"/>
        <w:spacing w:after="60"/>
        <w:jc w:val="both"/>
      </w:pPr>
      <w:r>
        <w:rPr>
          <w:rFonts w:ascii="Times New Roman" w:hAnsi="Times New Roman"/>
          <w:b/>
          <w:color w:val="0F172A"/>
        </w:rPr>
        <w:t xml:space="preserve">Independent Judicial Ground-Truth Validation: </w:t>
      </w:r>
      <w:r>
        <w:rPr>
          <w:rFonts w:ascii="Times New Roman" w:hAnsi="Times New Roman"/>
          <w:color w:val="1E293B"/>
        </w:rPr>
        <w:t>Submitting the 60-case ground-truth dataset for formal blind peer review by practicing Supreme Court advocates and data protection specialists.</w:t>
      </w:r>
    </w:p>
    <w:p w14:paraId="09CC39C2" w14:textId="77777777" w:rsidR="00AB70A3" w:rsidRDefault="00B56DB4">
      <w:pPr>
        <w:pStyle w:val="ListBullet"/>
        <w:spacing w:after="60"/>
        <w:jc w:val="both"/>
      </w:pPr>
      <w:r>
        <w:rPr>
          <w:rFonts w:ascii="Times New Roman" w:hAnsi="Times New Roman"/>
          <w:b/>
          <w:color w:val="0F172A"/>
        </w:rPr>
        <w:t xml:space="preserve">In-Process Embedded Vector Inference: </w:t>
      </w:r>
      <w:r>
        <w:rPr>
          <w:rFonts w:ascii="Times New Roman" w:hAnsi="Times New Roman"/>
          <w:color w:val="1E293B"/>
        </w:rPr>
        <w:t>Deploying a lightweight ONNX or WebAssembly embedding runtime directly in the Node.js backend to eliminate external Python sidecar dependencies.</w:t>
      </w:r>
    </w:p>
    <w:sectPr w:rsidR="00AB70A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4714785">
    <w:abstractNumId w:val="8"/>
  </w:num>
  <w:num w:numId="2" w16cid:durableId="1469586125">
    <w:abstractNumId w:val="6"/>
  </w:num>
  <w:num w:numId="3" w16cid:durableId="510487270">
    <w:abstractNumId w:val="5"/>
  </w:num>
  <w:num w:numId="4" w16cid:durableId="1479692011">
    <w:abstractNumId w:val="4"/>
  </w:num>
  <w:num w:numId="5" w16cid:durableId="680662912">
    <w:abstractNumId w:val="7"/>
  </w:num>
  <w:num w:numId="6" w16cid:durableId="1488522035">
    <w:abstractNumId w:val="3"/>
  </w:num>
  <w:num w:numId="7" w16cid:durableId="432096511">
    <w:abstractNumId w:val="2"/>
  </w:num>
  <w:num w:numId="8" w16cid:durableId="1463692521">
    <w:abstractNumId w:val="1"/>
  </w:num>
  <w:num w:numId="9" w16cid:durableId="62397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1C4"/>
    <w:rsid w:val="00AA1D8D"/>
    <w:rsid w:val="00AB70A3"/>
    <w:rsid w:val="00B47730"/>
    <w:rsid w:val="00B56DB4"/>
    <w:rsid w:val="00B907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D55773"/>
  <w14:defaultImageDpi w14:val="300"/>
  <w15:docId w15:val="{1ED52932-7A16-48B0-A873-879D1757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5156</Words>
  <Characters>34550</Characters>
  <Application>Microsoft Office Word</Application>
  <DocSecurity>0</DocSecurity>
  <Lines>863</Lines>
  <Paragraphs>529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Mannan Shah</cp:lastModifiedBy>
  <cp:revision>2</cp:revision>
  <dcterms:created xsi:type="dcterms:W3CDTF">2013-12-23T23:15:00Z</dcterms:created>
  <dcterms:modified xsi:type="dcterms:W3CDTF">2026-10-22T10:47:00Z</dcterms:modified>
  <cp:category/>
</cp:coreProperties>
</file>