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Times New Roman" w:hAnsi="Times New Roman"/>
          <w:b/>
          <w:color w:val="1F4E79"/>
          <w:sz w:val="28"/>
        </w:rPr>
        <w:t>TRUSTFORGE: RESEARCH EXPERIMENT MANUSCRIPT</w:t>
      </w:r>
    </w:p>
    <w:p>
      <w:pPr>
        <w:spacing w:before="0" w:after="400"/>
        <w:jc w:val="center"/>
      </w:pPr>
      <w:r>
        <w:rPr>
          <w:rFonts w:ascii="Times New Roman" w:hAnsi="Times New Roman"/>
          <w:i/>
          <w:color w:val="475569"/>
          <w:sz w:val="20"/>
        </w:rPr>
        <w:t>Candidate: Mannan Shah • Supervisor: Dr. Neelam Naik • Institution: Usha Pravin Gandhi College of Arts, Science and Commerce</w:t>
      </w:r>
    </w:p>
    <w:p>
      <w:pPr>
        <w:keepNext/>
        <w:spacing w:before="240" w:after="160" w:line="276" w:lineRule="auto"/>
      </w:pPr>
      <w:r>
        <w:rPr>
          <w:rFonts w:ascii="Times New Roman" w:hAnsi="Times New Roman"/>
          <w:b/>
          <w:color w:val="1F4E79"/>
          <w:sz w:val="28"/>
        </w:rPr>
        <w:t>5. EXPERIMENT CONDUCTED</w:t>
      </w:r>
    </w:p>
    <w:p>
      <w:pPr>
        <w:keepNext/>
        <w:spacing w:before="160" w:after="80" w:line="276" w:lineRule="auto"/>
      </w:pPr>
      <w:r>
        <w:rPr>
          <w:rFonts w:ascii="Times New Roman" w:hAnsi="Times New Roman"/>
          <w:b/>
          <w:color w:val="0F172A"/>
          <w:sz w:val="24"/>
        </w:rPr>
        <w:t>5.1 The Software System — Features and Workflow</w:t>
      </w:r>
    </w:p>
    <w:p>
      <w:pPr>
        <w:spacing w:before="0" w:after="120" w:line="276" w:lineRule="auto"/>
        <w:jc w:val="both"/>
      </w:pPr>
      <w:r>
        <w:rPr>
          <w:rFonts w:ascii="Times New Roman" w:hAnsi="Times New Roman"/>
          <w:color w:val="1E293B"/>
          <w:sz w:val="22"/>
        </w:rPr>
        <w:t>The TrustForge software system is engineered as an automated, evidence-grounded compliance auditing and multi-LLM benchmarking platform specifically aligned with India's Digital Personal Data Protection (DPDP) Act, 2023 and the notified draft DPDP Rules. The platform bridges the operational chasm between complex statutory legalese and live digital web systems through three tightly coupled functional subsystems: (i) an automated browser collection agent, (ii) a hybrid statutory retrieval engine, and (iii) a bounded parallel multi-model inference gateway.</w:t>
      </w:r>
    </w:p>
    <w:p>
      <w:pPr>
        <w:spacing w:before="0" w:after="120" w:line="276" w:lineRule="auto"/>
        <w:jc w:val="both"/>
      </w:pPr>
      <w:r>
        <w:rPr>
          <w:rFonts w:ascii="Times New Roman" w:hAnsi="Times New Roman"/>
          <w:color w:val="1E293B"/>
          <w:sz w:val="22"/>
        </w:rPr>
        <w:t>System Architecture: The client tier is built using React 19, TypeScript, and Tailwind CSS, providing a responsive single-page application (SPA) optimized for deployment on Vercel edge networks. The application backend is powered by Node.js and Express 4.21, acting as the primary orchestrator deployed on Render. Web data collection is performed by an integrated headless Playwright Chromium worker that traverses target domains, parses robots.txt directives, inspects cookie consent modals, captures DOM text trees, and extracts HTTP security headers. Data persistence is managed via Supabase Managed PostgreSQL, which hosts relational tenant records alongside a 384-dimensional pgvector index storing the authoritative legal corpus. The complete software architecture is illustrated below in Figure 1.</w:t>
      </w:r>
    </w:p>
    <w:p>
      <w:pPr>
        <w:keepNext/>
        <w:spacing w:before="120" w:after="40"/>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669280" cy="3644537"/>
                    </a:xfrm>
                    <a:prstGeom prst="rect"/>
                  </pic:spPr>
                </pic:pic>
              </a:graphicData>
            </a:graphic>
          </wp:inline>
        </w:drawing>
      </w:r>
    </w:p>
    <w:p>
      <w:pPr>
        <w:spacing w:before="40" w:after="200"/>
        <w:jc w:val="center"/>
      </w:pPr>
      <w:r>
        <w:rPr>
          <w:rFonts w:ascii="Times New Roman" w:hAnsi="Times New Roman"/>
          <w:b/>
          <w:color w:val="1F4E79"/>
          <w:sz w:val="20"/>
        </w:rPr>
        <w:t xml:space="preserve">Fig. 1. </w:t>
      </w:r>
      <w:r>
        <w:rPr>
          <w:rFonts w:ascii="Times New Roman" w:hAnsi="Times New Roman"/>
          <w:i/>
          <w:color w:val="334155"/>
          <w:sz w:val="20"/>
        </w:rPr>
        <w:t>Software System — Comprehensive Architecture of TrustForge showing Client, Orchestration, Hybrid RAG, 10-LLM Gateway, and Supabase Persistence.</w:t>
      </w:r>
    </w:p>
    <w:p>
      <w:pPr>
        <w:spacing w:before="0" w:after="120" w:line="276" w:lineRule="auto"/>
        <w:jc w:val="both"/>
      </w:pPr>
      <w:r>
        <w:rPr>
          <w:rFonts w:ascii="Times New Roman" w:hAnsi="Times New Roman"/>
          <w:color w:val="1E293B"/>
          <w:sz w:val="22"/>
        </w:rPr>
        <w:t>Execution Workflow and Module Interaction: The operational workflow progresses across sequential, deterministic stages. Upon receiving a target domain, the crawler verifies accessibility and normalizes extracted evidence into eight empirical compliance checks. Each check is mapped to twenty canonical DPDP controls across six governance pillars (Privacy Architecture, Security Safeguards, Transparency &amp; Notice, Governance &amp; Accountability, Data Lifecycle, and Data Principal Rights). For each control, the hybrid retrieval engine queries the 83-chunk statutory corpus using dual pathways: lexical token frequency (BM25 with normative section boosting) and dense semantic vector search (SentenceTransformers all-MiniLM-L6-v2 via pgvector cosine distance). Reciprocal Rank Fusion (k=60) with a 0.35x non-normative dampening penalty merges both rankings into a unified top-5 statutory passage list. The evidence and legal chunks are frozen into a canonical prompt verified via SHA-256 snapshot hashing, and dispatched concurrently across candidate models via Promise.allSettled on Groq LPUs. A grounding validator verifies that returned findings cite legitimate statutory sections. Verified verdicts are aggregated via Top-3 Majority Voting Consensus to calculate a multi-pillar Trust Score (0-100), generating structured findings and dynamically rendered PDF audit certificates.</w:t>
      </w:r>
    </w:p>
    <w:p>
      <w:pPr>
        <w:keepNext/>
        <w:spacing w:before="240" w:after="80" w:line="276" w:lineRule="auto"/>
      </w:pPr>
      <w:r>
        <w:rPr>
          <w:rFonts w:ascii="Times New Roman" w:hAnsi="Times New Roman"/>
          <w:b/>
          <w:color w:val="0F172A"/>
          <w:sz w:val="24"/>
        </w:rPr>
        <w:t>5.2 Dataset and Experimental Setup</w:t>
      </w:r>
    </w:p>
    <w:p>
      <w:pPr>
        <w:spacing w:before="0" w:after="120" w:line="276" w:lineRule="auto"/>
        <w:jc w:val="both"/>
      </w:pPr>
      <w:r>
        <w:rPr>
          <w:rFonts w:ascii="Times New Roman" w:hAnsi="Times New Roman"/>
          <w:color w:val="1E293B"/>
          <w:sz w:val="22"/>
        </w:rPr>
        <w:t>To establish rigorous academic reproducibility and scientific defensibility, all experiments were conducted on clearly documented, authoritative statutory datasets, controlled retrieval queries, and evaluated test cases.</w:t>
      </w:r>
    </w:p>
    <w:p>
      <w:pPr>
        <w:spacing w:before="0" w:after="120" w:line="276" w:lineRule="auto"/>
        <w:jc w:val="both"/>
      </w:pPr>
      <w:r>
        <w:rPr>
          <w:rFonts w:ascii="Times New Roman" w:hAnsi="Times New Roman"/>
          <w:b/>
          <w:color w:val="0F172A"/>
          <w:sz w:val="22"/>
        </w:rPr>
        <w:t xml:space="preserve">1. Statutory Corpus: </w:t>
      </w:r>
      <w:r>
        <w:rPr>
          <w:rFonts w:ascii="Times New Roman" w:hAnsi="Times New Roman"/>
          <w:color w:val="1E293B"/>
          <w:sz w:val="22"/>
        </w:rPr>
        <w:t>Statutory Legal Dataset: The primary reference legal corpus comprises exactly 83 authoritative chunks derived directly from the official gazetted text of the Digital Personal Data Protection Act, 2023 (60 chunks spanning the Preamble, Sections 1 through 44, and the Schedule) and the notified draft Digital Personal Data Protection Rules (23 chunks covering Rules 1 through 23). Every chunk retains precise legal provenance, statutory chapter headers, and section numbers. Chunks were vectorized into 384-dimensional dense embeddings using sentence-transformers/all-MiniLM-L6-v2 and indexed in the PostgreSQL statutory_chunks table with ivfflat cosine indexing. Importantly, the dataset distinguishes between statutory obligations that have commenced operation and provisions that represent transitional mechanisms (such as the Data Protection Board of India's adjudication infrastructure and accredited Consent Manager frameworks), ensuring evaluation reflects realistic operational readiness.</w:t>
      </w:r>
    </w:p>
    <w:p>
      <w:pPr>
        <w:spacing w:before="0" w:after="120" w:line="276" w:lineRule="auto"/>
        <w:jc w:val="both"/>
      </w:pPr>
      <w:r>
        <w:rPr>
          <w:rFonts w:ascii="Times New Roman" w:hAnsi="Times New Roman"/>
          <w:b/>
          <w:color w:val="0F172A"/>
          <w:sz w:val="22"/>
        </w:rPr>
        <w:t xml:space="preserve">2. Retrieval Benchmark Dataset: </w:t>
      </w:r>
      <w:r>
        <w:rPr>
          <w:rFonts w:ascii="Times New Roman" w:hAnsi="Times New Roman"/>
          <w:color w:val="1E293B"/>
          <w:sz w:val="22"/>
        </w:rPr>
        <w:t>Retrieval Evaluation Dataset: To evaluate hybrid RAG relevance, a benchmark dataset of 45 authoritative DPDP queries was formulated spanning normative obligations, technical safeguards, and rights enforcement. Each query maps to ground-truth section references. The queries were tested across three isolated retrieval configurations: pure lexical BM25, pure vector similarity, and Hybrid Reciprocal Rank Fusion (k=60) with non-normative dampening.</w:t>
      </w:r>
    </w:p>
    <w:p>
      <w:pPr>
        <w:spacing w:before="0" w:after="120" w:line="276" w:lineRule="auto"/>
        <w:jc w:val="both"/>
      </w:pPr>
      <w:r>
        <w:rPr>
          <w:rFonts w:ascii="Times New Roman" w:hAnsi="Times New Roman"/>
          <w:b/>
          <w:color w:val="0F172A"/>
          <w:sz w:val="22"/>
        </w:rPr>
        <w:t xml:space="preserve">3. Ground-Truth Obligation Dataset: </w:t>
      </w:r>
      <w:r>
        <w:rPr>
          <w:rFonts w:ascii="Times New Roman" w:hAnsi="Times New Roman"/>
          <w:color w:val="1E293B"/>
          <w:sz w:val="22"/>
        </w:rPr>
        <w:t>Multi-Model Classification Dataset: Model reasoning and compliance determination were evaluated on 60 controlled obligation-evidence cases (v1.0, dpdp_obligation_ground_truth_v1.json). The dataset systematically covers 20 canonical DPDP controls (3 distinct evidence scenarios per control). Reference labels conform to realistic multi-class legal semantics: COMPLIANT, NON_COMPLIANT, POTENTIAL_GAP, and INSUFFICIENT_EVIDENCE. In accordance with academic ethics, these labels are formally documented as RESEARCH_TEAM_AUTHORED_REFERENCE_LABELS and have not undergone blind external judicial review.</w:t>
      </w:r>
    </w:p>
    <w:p>
      <w:pPr>
        <w:spacing w:before="0" w:after="120" w:line="276" w:lineRule="auto"/>
        <w:jc w:val="both"/>
      </w:pPr>
      <w:r>
        <w:rPr>
          <w:rFonts w:ascii="Times New Roman" w:hAnsi="Times New Roman"/>
          <w:b/>
          <w:color w:val="0F172A"/>
          <w:sz w:val="22"/>
        </w:rPr>
        <w:t xml:space="preserve">4. Computing Environment: </w:t>
      </w:r>
      <w:r>
        <w:rPr>
          <w:rFonts w:ascii="Times New Roman" w:hAnsi="Times New Roman"/>
          <w:color w:val="1E293B"/>
          <w:sz w:val="22"/>
        </w:rPr>
        <w:t>Computing Environment: All benchmark experiments were executed on an isolated test workstation running Windows 11 (OS Build 26100), Node.js v24.14.1, Python 3.11.9, TypeScript 5.8.2, and PyTorch 2.6.0 (CPU-optimized for embedding generation). Cloud hardware inference acceleration was provided via Groq's high-speed Language Processing Unit (LPU) cluster. Temperature was set to 0.0 to ensure deterministic reproducibility, top_p to 1.0, and max_tokens to 3000 to accommodate extensive chain-of-thought reasoning tokens generated by Mixture-of-Experts (MoE) models without artificial truncation.</w:t>
      </w:r>
    </w:p>
    <w:p>
      <w:pPr>
        <w:keepNext/>
        <w:spacing w:before="160" w:after="40" w:line="276" w:lineRule="auto"/>
      </w:pPr>
      <w:r>
        <w:rPr>
          <w:rFonts w:ascii="Times New Roman" w:hAnsi="Times New Roman"/>
          <w:b/>
          <w:color w:val="0F172A"/>
          <w:sz w:val="23"/>
        </w:rPr>
        <w:t>Evaluation Metrics Formulations and Interpretations</w:t>
      </w:r>
    </w:p>
    <w:p>
      <w:pPr>
        <w:spacing w:before="0" w:after="120" w:line="276" w:lineRule="auto"/>
        <w:jc w:val="both"/>
      </w:pPr>
      <w:r>
        <w:rPr>
          <w:rFonts w:ascii="Times New Roman" w:hAnsi="Times New Roman"/>
          <w:color w:val="1E293B"/>
          <w:sz w:val="22"/>
        </w:rPr>
        <w:t>The performance of the retrieval and classification subsystems is quantified using standardized academic metrics:</w:t>
      </w:r>
    </w:p>
    <w:tbl>
      <w:tblPr>
        <w:tblW w:type="auto" w:w="0"/>
        <w:jc w:val="center"/>
        <w:tblLook w:firstColumn="1" w:firstRow="1" w:lastColumn="0" w:lastRow="0" w:noHBand="0" w:noVBand="1" w:val="04A0"/>
      </w:tblPr>
      <w:tblGrid>
        <w:gridCol w:w="3120"/>
        <w:gridCol w:w="3120"/>
        <w:gridCol w:w="3120"/>
      </w:tblGrid>
      <w:tr>
        <w:tc>
          <w:tcPr>
            <w:tcW w:type="dxa" w:w="2160"/>
            <w:shd w:fill="1F4E79"/>
            <w:tcMar>
              <w:top w:w="120" w:type="dxa"/>
              <w:bottom w:w="120" w:type="dxa"/>
              <w:left w:w="140" w:type="dxa"/>
              <w:right w:w="140" w:type="dxa"/>
            </w:tcMar>
          </w:tcPr>
          <w:p>
            <w:pPr>
              <w:spacing w:before="0" w:after="0"/>
              <w:jc w:val="center"/>
            </w:pPr>
            <w:r>
              <w:rPr>
                <w:rFonts w:ascii="Times New Roman" w:hAnsi="Times New Roman"/>
                <w:b/>
                <w:color w:val="FFFFFF"/>
                <w:sz w:val="20"/>
              </w:rPr>
              <w:t>Evaluation Metric</w:t>
            </w:r>
          </w:p>
        </w:tc>
        <w:tc>
          <w:tcPr>
            <w:tcW w:type="dxa" w:w="3168"/>
            <w:shd w:fill="1F4E79"/>
            <w:tcMar>
              <w:top w:w="120" w:type="dxa"/>
              <w:bottom w:w="120" w:type="dxa"/>
              <w:left w:w="140" w:type="dxa"/>
              <w:right w:w="140" w:type="dxa"/>
            </w:tcMar>
          </w:tcPr>
          <w:p>
            <w:pPr>
              <w:spacing w:before="0" w:after="0"/>
              <w:jc w:val="center"/>
            </w:pPr>
            <w:r>
              <w:rPr>
                <w:rFonts w:ascii="Times New Roman" w:hAnsi="Times New Roman"/>
                <w:b/>
                <w:color w:val="FFFFFF"/>
                <w:sz w:val="20"/>
              </w:rPr>
              <w:t>Mathematical Formulation</w:t>
            </w:r>
          </w:p>
        </w:tc>
        <w:tc>
          <w:tcPr>
            <w:tcW w:type="dxa" w:w="4032"/>
            <w:shd w:fill="1F4E79"/>
            <w:tcMar>
              <w:top w:w="120" w:type="dxa"/>
              <w:bottom w:w="120" w:type="dxa"/>
              <w:left w:w="140" w:type="dxa"/>
              <w:right w:w="140" w:type="dxa"/>
            </w:tcMar>
          </w:tcPr>
          <w:p>
            <w:pPr>
              <w:spacing w:before="0" w:after="0"/>
              <w:jc w:val="center"/>
            </w:pPr>
            <w:r>
              <w:rPr>
                <w:rFonts w:ascii="Times New Roman" w:hAnsi="Times New Roman"/>
                <w:b/>
                <w:color w:val="FFFFFF"/>
                <w:sz w:val="20"/>
              </w:rPr>
              <w:t>Academic Meaning &amp; Relevance</w:t>
            </w:r>
          </w:p>
        </w:tc>
      </w:tr>
      <w:tr>
        <w:tc>
          <w:tcPr>
            <w:tcW w:type="dxa" w:w="2160"/>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Hit@K (K=1, 3, 5)</w:t>
            </w:r>
          </w:p>
        </w:tc>
        <w:tc>
          <w:tcPr>
            <w:tcW w:type="dxa" w:w="316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Hit@K = (1/|Q|) * Sum(I(rank(q) &lt;= K))</w:t>
            </w:r>
          </w:p>
        </w:tc>
        <w:tc>
          <w:tcPr>
            <w:tcW w:type="dxa" w:w="4032"/>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Percentage of queries where at least one authoritative legal chunk appears within the top K positions. Essential for confirming statutory passages reach the LLM context.</w:t>
            </w:r>
          </w:p>
        </w:tc>
      </w:tr>
      <w:tr>
        <w:tc>
          <w:tcPr>
            <w:tcW w:type="dxa" w:w="2160"/>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MRR@5</w:t>
            </w:r>
          </w:p>
        </w:tc>
        <w:tc>
          <w:tcPr>
            <w:tcW w:type="dxa" w:w="316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MRR = (1/|Q|) * Sum(1 / rank_first(q))</w:t>
            </w:r>
          </w:p>
        </w:tc>
        <w:tc>
          <w:tcPr>
            <w:tcW w:type="dxa" w:w="4032"/>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Mean Reciprocal Rank evaluates the position of the first relevant legal passage. Penalizes systems that rank primary provisions below secondary penalty schedules.</w:t>
            </w:r>
          </w:p>
        </w:tc>
      </w:tr>
      <w:tr>
        <w:tc>
          <w:tcPr>
            <w:tcW w:type="dxa" w:w="2160"/>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NDCG@5</w:t>
            </w:r>
          </w:p>
        </w:tc>
        <w:tc>
          <w:tcPr>
            <w:tcW w:type="dxa" w:w="316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NDCG@5 = DCG@5 / IDCG@5</w:t>
            </w:r>
          </w:p>
        </w:tc>
        <w:tc>
          <w:tcPr>
            <w:tcW w:type="dxa" w:w="4032"/>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Normalized Discounted Cumulative Gain evaluates graded relevance, giving higher weight to primary normative sections (e.g. Section 5) over cross-referencing penalty text.</w:t>
            </w:r>
          </w:p>
        </w:tc>
      </w:tr>
      <w:tr>
        <w:tc>
          <w:tcPr>
            <w:tcW w:type="dxa" w:w="2160"/>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Accuracy</w:t>
            </w:r>
          </w:p>
        </w:tc>
        <w:tc>
          <w:tcPr>
            <w:tcW w:type="dxa" w:w="316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Accuracy = (Sum(I(y_i == y_hat_i))) / N</w:t>
            </w:r>
          </w:p>
        </w:tc>
        <w:tc>
          <w:tcPr>
            <w:tcW w:type="dxa" w:w="4032"/>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Proportion of correct multi-class compliance classifications over the 60 ground-truth test cases.</w:t>
            </w:r>
          </w:p>
        </w:tc>
      </w:tr>
      <w:tr>
        <w:tc>
          <w:tcPr>
            <w:tcW w:type="dxa" w:w="2160"/>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Macro F1</w:t>
            </w:r>
          </w:p>
        </w:tc>
        <w:tc>
          <w:tcPr>
            <w:tcW w:type="dxa" w:w="316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Macro F1 = (1/|C|) * Sum(2*P_c*R_c / (P_c + R_c))</w:t>
            </w:r>
          </w:p>
        </w:tc>
        <w:tc>
          <w:tcPr>
            <w:tcW w:type="dxa" w:w="4032"/>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Unweighted mean of F1 scores across all four compliance classes, ensuring minority gap classes are not overshadowed by frequent classes.</w:t>
            </w:r>
          </w:p>
        </w:tc>
      </w:tr>
      <w:tr>
        <w:tc>
          <w:tcPr>
            <w:tcW w:type="dxa" w:w="2160"/>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Grounding Rate</w:t>
            </w:r>
          </w:p>
        </w:tc>
        <w:tc>
          <w:tcPr>
            <w:tcW w:type="dxa" w:w="316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Grounding = (Citations_Valid / Citations_Total) * 100</w:t>
            </w:r>
          </w:p>
        </w:tc>
        <w:tc>
          <w:tcPr>
            <w:tcW w:type="dxa" w:w="4032"/>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Percentage of citations in the model's output that exist verbatim in the retrieved statutory chunk context, measuring hallucination mitigation.</w:t>
            </w:r>
          </w:p>
        </w:tc>
      </w:tr>
      <w:tr>
        <w:tc>
          <w:tcPr>
            <w:tcW w:type="dxa" w:w="2160"/>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Abstention Rate</w:t>
            </w:r>
          </w:p>
        </w:tc>
        <w:tc>
          <w:tcPr>
            <w:tcW w:type="dxa" w:w="316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Abstention = (N_insufficient_evidence / N_total) * 100</w:t>
            </w:r>
          </w:p>
        </w:tc>
        <w:tc>
          <w:tcPr>
            <w:tcW w:type="dxa" w:w="4032"/>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Frequency with which an LLM appropriately refuses to output a definitive compliance verdict due to absent internal evidence.</w:t>
            </w:r>
          </w:p>
        </w:tc>
      </w:tr>
    </w:tbl>
    <w:p>
      <w:pPr>
        <w:spacing w:before="0" w:after="120"/>
      </w:pPr>
    </w:p>
    <w:p>
      <w:pPr>
        <w:keepNext/>
        <w:spacing w:before="240" w:after="80" w:line="276" w:lineRule="auto"/>
      </w:pPr>
      <w:r>
        <w:rPr>
          <w:rFonts w:ascii="Times New Roman" w:hAnsi="Times New Roman"/>
          <w:b/>
          <w:color w:val="0F172A"/>
          <w:sz w:val="24"/>
        </w:rPr>
        <w:t>5.3 Implementation of the Software System — Figures from the Software</w:t>
      </w:r>
    </w:p>
    <w:p>
      <w:pPr>
        <w:spacing w:before="0" w:after="120" w:line="276" w:lineRule="auto"/>
        <w:jc w:val="both"/>
      </w:pPr>
      <w:r>
        <w:rPr>
          <w:rFonts w:ascii="Times New Roman" w:hAnsi="Times New Roman"/>
          <w:color w:val="1E293B"/>
          <w:sz w:val="22"/>
        </w:rPr>
        <w:t>The following figures depict the actual, working TrustForge software interfaces captured live during authenticated compliance audits of real digital platforms:</w:t>
      </w:r>
    </w:p>
    <w:p>
      <w:pPr>
        <w:keepNext/>
        <w:spacing w:before="12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1_landing_page.png"/>
                    <pic:cNvPicPr/>
                  </pic:nvPicPr>
                  <pic:blipFill>
                    <a:blip r:embed="rId10"/>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color w:val="1F4E79"/>
          <w:sz w:val="20"/>
        </w:rPr>
        <w:t xml:space="preserve">Fig. 2. </w:t>
      </w:r>
      <w:r>
        <w:rPr>
          <w:rFonts w:ascii="Times New Roman" w:hAnsi="Times New Roman"/>
          <w:i/>
          <w:color w:val="334155"/>
          <w:sz w:val="20"/>
        </w:rPr>
        <w:t>TrustForge Public Landing Page — Overview of the AI-powered DPDP compliance framework and feature suite.</w:t>
      </w:r>
    </w:p>
    <w:p>
      <w:pPr>
        <w:keepNext/>
        <w:spacing w:before="120" w:after="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2_free_scan_page.png"/>
                    <pic:cNvPicPr/>
                  </pic:nvPicPr>
                  <pic:blipFill>
                    <a:blip r:embed="rId11"/>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color w:val="1F4E79"/>
          <w:sz w:val="20"/>
        </w:rPr>
        <w:t xml:space="preserve">Fig. 3. </w:t>
      </w:r>
      <w:r>
        <w:rPr>
          <w:rFonts w:ascii="Times New Roman" w:hAnsi="Times New Roman"/>
          <w:i/>
          <w:color w:val="334155"/>
          <w:sz w:val="20"/>
        </w:rPr>
        <w:t>Public Instant Website Scanner — Rapid automated compliance check evaluating public privacy indicators.</w:t>
      </w:r>
    </w:p>
    <w:p>
      <w:pPr>
        <w:keepNext/>
        <w:spacing w:before="12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3_login_page.png"/>
                    <pic:cNvPicPr/>
                  </pic:nvPicPr>
                  <pic:blipFill>
                    <a:blip r:embed="rId12"/>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color w:val="1F4E79"/>
          <w:sz w:val="20"/>
        </w:rPr>
        <w:t xml:space="preserve">Fig. 4. </w:t>
      </w:r>
      <w:r>
        <w:rPr>
          <w:rFonts w:ascii="Times New Roman" w:hAnsi="Times New Roman"/>
          <w:i/>
          <w:color w:val="334155"/>
          <w:sz w:val="20"/>
        </w:rPr>
        <w:t>Tenant Authentication Interface — Secure sign-in enforcing multi-tenant isolation and role-based permissions.</w:t>
      </w:r>
    </w:p>
    <w:p>
      <w:pPr>
        <w:keepNext/>
        <w:spacing w:before="12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4_dashboard_overview.png"/>
                    <pic:cNvPicPr/>
                  </pic:nvPicPr>
                  <pic:blipFill>
                    <a:blip r:embed="rId13"/>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color w:val="1F4E79"/>
          <w:sz w:val="20"/>
        </w:rPr>
        <w:t xml:space="preserve">Fig. 5. </w:t>
      </w:r>
      <w:r>
        <w:rPr>
          <w:rFonts w:ascii="Times New Roman" w:hAnsi="Times New Roman"/>
          <w:i/>
          <w:color w:val="334155"/>
          <w:sz w:val="20"/>
        </w:rPr>
        <w:t>Compliance Workspace Dashboard — Institutional posture tracking, historical assessments, and pillar summaries.</w:t>
      </w:r>
    </w:p>
    <w:p>
      <w:pPr>
        <w:keepNext/>
        <w:spacing w:before="120" w:after="4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5_assessment_wizard.png"/>
                    <pic:cNvPicPr/>
                  </pic:nvPicPr>
                  <pic:blipFill>
                    <a:blip r:embed="rId14"/>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color w:val="1F4E79"/>
          <w:sz w:val="20"/>
        </w:rPr>
        <w:t xml:space="preserve">Fig. 6. </w:t>
      </w:r>
      <w:r>
        <w:rPr>
          <w:rFonts w:ascii="Times New Roman" w:hAnsi="Times New Roman"/>
          <w:i/>
          <w:color w:val="334155"/>
          <w:sz w:val="20"/>
        </w:rPr>
        <w:t>Assessment Configuration Wizard — Domain intake, automated crawler triggers, and control scope definition.</w:t>
      </w:r>
    </w:p>
    <w:p>
      <w:pPr>
        <w:keepNext/>
        <w:spacing w:before="12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fig6_10_llm_benchmark.png"/>
                    <pic:cNvPicPr/>
                  </pic:nvPicPr>
                  <pic:blipFill>
                    <a:blip r:embed="rId15"/>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color w:val="1F4E79"/>
          <w:sz w:val="20"/>
        </w:rPr>
        <w:t xml:space="preserve">Fig. 7. </w:t>
      </w:r>
      <w:r>
        <w:rPr>
          <w:rFonts w:ascii="Times New Roman" w:hAnsi="Times New Roman"/>
          <w:i/>
          <w:color w:val="334155"/>
          <w:sz w:val="20"/>
        </w:rPr>
        <w:t>10-LLM Comparative Benchmark Platform — Empirical evaluation matrix displaying live statuses, latencies, and consensus verdict.</w:t>
      </w:r>
    </w:p>
    <w:p>
      <w:pPr>
        <w:keepNext/>
        <w:spacing w:before="12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fig7_findings_and_evidence.png"/>
                    <pic:cNvPicPr/>
                  </pic:nvPicPr>
                  <pic:blipFill>
                    <a:blip r:embed="rId16"/>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color w:val="1F4E79"/>
          <w:sz w:val="20"/>
        </w:rPr>
        <w:t xml:space="preserve">Fig. 8. </w:t>
      </w:r>
      <w:r>
        <w:rPr>
          <w:rFonts w:ascii="Times New Roman" w:hAnsi="Times New Roman"/>
          <w:i/>
          <w:color w:val="334155"/>
          <w:sz w:val="20"/>
        </w:rPr>
        <w:t>Statutory Findings &amp; Evidence Inspection — Prioritized compliance gaps mapped to DPDP sections with remediation roadmaps.</w:t>
      </w:r>
    </w:p>
    <w:p>
      <w:pPr>
        <w:keepNext/>
        <w:spacing w:before="120" w:after="4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fig8_trust_score_breakdown.png"/>
                    <pic:cNvPicPr/>
                  </pic:nvPicPr>
                  <pic:blipFill>
                    <a:blip r:embed="rId17"/>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color w:val="1F4E79"/>
          <w:sz w:val="20"/>
        </w:rPr>
        <w:t xml:space="preserve">Fig. 9. </w:t>
      </w:r>
      <w:r>
        <w:rPr>
          <w:rFonts w:ascii="Times New Roman" w:hAnsi="Times New Roman"/>
          <w:i/>
          <w:color w:val="334155"/>
          <w:sz w:val="20"/>
        </w:rPr>
        <w:t>Multi-Pillar Trust Score Analysis — Radar and bar breakdown across 6 statutory privacy pillars.</w:t>
      </w:r>
    </w:p>
    <w:p>
      <w:pPr>
        <w:keepNext/>
        <w:spacing w:before="120" w:after="4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fig9_executive_reports.png"/>
                    <pic:cNvPicPr/>
                  </pic:nvPicPr>
                  <pic:blipFill>
                    <a:blip r:embed="rId18"/>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b/>
          <w:color w:val="1F4E79"/>
          <w:sz w:val="20"/>
        </w:rPr>
        <w:t xml:space="preserve">Fig. 10. </w:t>
      </w:r>
      <w:r>
        <w:rPr>
          <w:rFonts w:ascii="Times New Roman" w:hAnsi="Times New Roman"/>
          <w:i/>
          <w:color w:val="334155"/>
          <w:sz w:val="20"/>
        </w:rPr>
        <w:t>Executive Compliance Reports &amp; PDF Export — Certificate generation and streaming native %PDF- compliance documents.</w:t>
      </w:r>
    </w:p>
    <w:p>
      <w:r>
        <w:br w:type="page"/>
      </w:r>
    </w:p>
    <w:p>
      <w:pPr>
        <w:keepNext/>
        <w:spacing w:before="240" w:after="160" w:line="276" w:lineRule="auto"/>
      </w:pPr>
      <w:r>
        <w:rPr>
          <w:rFonts w:ascii="Times New Roman" w:hAnsi="Times New Roman"/>
          <w:b/>
          <w:color w:val="1F4E79"/>
          <w:sz w:val="28"/>
        </w:rPr>
        <w:t>6. RESULT AND DISCUSSION</w:t>
      </w:r>
    </w:p>
    <w:p>
      <w:pPr>
        <w:keepNext/>
        <w:spacing w:before="160" w:after="80" w:line="276" w:lineRule="auto"/>
      </w:pPr>
      <w:r>
        <w:rPr>
          <w:rFonts w:ascii="Times New Roman" w:hAnsi="Times New Roman"/>
          <w:b/>
          <w:color w:val="0F172A"/>
          <w:sz w:val="24"/>
        </w:rPr>
        <w:t>6.1 Hybrid Statutory Retrieval Performance</w:t>
      </w:r>
    </w:p>
    <w:p>
      <w:pPr>
        <w:spacing w:before="0" w:after="120" w:line="276" w:lineRule="auto"/>
        <w:jc w:val="both"/>
      </w:pPr>
      <w:r>
        <w:rPr>
          <w:rFonts w:ascii="Times New Roman" w:hAnsi="Times New Roman"/>
          <w:color w:val="1E293B"/>
          <w:sz w:val="22"/>
        </w:rPr>
        <w:t>Table I presents the quantitative evaluation of the statutory retrieval subsystem across 45 authoritative queries against the 83-chunk DPDP corpus. Note that data rows contain only empirical measurements without duplicated headers: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F4E79"/>
            <w:tcMar>
              <w:top w:w="120" w:type="dxa"/>
              <w:bottom w:w="120" w:type="dxa"/>
              <w:left w:w="140" w:type="dxa"/>
              <w:right w:w="140" w:type="dxa"/>
            </w:tcMar>
          </w:tcPr>
          <w:p>
            <w:pPr>
              <w:spacing w:before="0" w:after="0"/>
              <w:jc w:val="center"/>
            </w:pPr>
            <w:r>
              <w:rPr>
                <w:rFonts w:ascii="Times New Roman" w:hAnsi="Times New Roman"/>
                <w:b/>
                <w:color w:val="FFFFFF"/>
                <w:sz w:val="20"/>
              </w:rPr>
              <w:t>Retrieval Metric</w:t>
            </w:r>
          </w:p>
        </w:tc>
        <w:tc>
          <w:tcPr>
            <w:tcW w:type="dxa" w:w="1584"/>
            <w:shd w:fill="1F4E79"/>
            <w:tcMar>
              <w:top w:w="120" w:type="dxa"/>
              <w:bottom w:w="120" w:type="dxa"/>
              <w:left w:w="140" w:type="dxa"/>
              <w:right w:w="140" w:type="dxa"/>
            </w:tcMar>
          </w:tcPr>
          <w:p>
            <w:pPr>
              <w:spacing w:before="0" w:after="0"/>
              <w:jc w:val="center"/>
            </w:pPr>
            <w:r>
              <w:rPr>
                <w:rFonts w:ascii="Times New Roman" w:hAnsi="Times New Roman"/>
                <w:b/>
                <w:color w:val="FFFFFF"/>
                <w:sz w:val="20"/>
              </w:rPr>
              <w:t>BM25-Only</w:t>
            </w:r>
          </w:p>
        </w:tc>
        <w:tc>
          <w:tcPr>
            <w:tcW w:type="dxa" w:w="1728"/>
            <w:shd w:fill="1F4E79"/>
            <w:tcMar>
              <w:top w:w="120" w:type="dxa"/>
              <w:bottom w:w="120" w:type="dxa"/>
              <w:left w:w="140" w:type="dxa"/>
              <w:right w:w="140" w:type="dxa"/>
            </w:tcMar>
          </w:tcPr>
          <w:p>
            <w:pPr>
              <w:spacing w:before="0" w:after="0"/>
              <w:jc w:val="center"/>
            </w:pPr>
            <w:r>
              <w:rPr>
                <w:rFonts w:ascii="Times New Roman" w:hAnsi="Times New Roman"/>
                <w:b/>
                <w:color w:val="FFFFFF"/>
                <w:sz w:val="20"/>
              </w:rPr>
              <w:t>Vector-Only (all-MiniLM)</w:t>
            </w:r>
          </w:p>
        </w:tc>
        <w:tc>
          <w:tcPr>
            <w:tcW w:type="dxa" w:w="1728"/>
            <w:shd w:fill="1F4E79"/>
            <w:tcMar>
              <w:top w:w="120" w:type="dxa"/>
              <w:bottom w:w="120" w:type="dxa"/>
              <w:left w:w="140" w:type="dxa"/>
              <w:right w:w="140" w:type="dxa"/>
            </w:tcMar>
          </w:tcPr>
          <w:p>
            <w:pPr>
              <w:spacing w:before="0" w:after="0"/>
              <w:jc w:val="center"/>
            </w:pPr>
            <w:r>
              <w:rPr>
                <w:rFonts w:ascii="Times New Roman" w:hAnsi="Times New Roman"/>
                <w:b/>
                <w:color w:val="FFFFFF"/>
                <w:sz w:val="20"/>
              </w:rPr>
              <w:t>Hybrid RRF (k=60)</w:t>
            </w:r>
          </w:p>
        </w:tc>
        <w:tc>
          <w:tcPr>
            <w:tcW w:type="dxa" w:w="2160"/>
            <w:shd w:fill="1F4E79"/>
            <w:tcMar>
              <w:top w:w="120" w:type="dxa"/>
              <w:bottom w:w="120" w:type="dxa"/>
              <w:left w:w="140" w:type="dxa"/>
              <w:right w:w="140" w:type="dxa"/>
            </w:tcMar>
          </w:tcPr>
          <w:p>
            <w:pPr>
              <w:spacing w:before="0" w:after="0"/>
              <w:jc w:val="center"/>
            </w:pPr>
            <w:r>
              <w:rPr>
                <w:rFonts w:ascii="Times New Roman" w:hAnsi="Times New Roman"/>
                <w:b/>
                <w:color w:val="FFFFFF"/>
                <w:sz w:val="20"/>
              </w:rPr>
              <w:t>Observed Behavior &amp; Trade-off</w:t>
            </w:r>
          </w:p>
        </w:tc>
      </w:tr>
      <w:tr>
        <w:tc>
          <w:tcPr>
            <w:tcW w:type="dxa" w:w="2160"/>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Hit@1 (%)</w:t>
            </w:r>
          </w:p>
        </w:tc>
        <w:tc>
          <w:tcPr>
            <w:tcW w:type="dxa" w:w="1584"/>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68.9% (31/45)</w:t>
            </w:r>
          </w:p>
        </w:tc>
        <w:tc>
          <w:tcPr>
            <w:tcW w:type="dxa" w:w="172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53.3% (24/45)</w:t>
            </w:r>
          </w:p>
        </w:tc>
        <w:tc>
          <w:tcPr>
            <w:tcW w:type="dxa" w:w="172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57.8% (26/45)</w:t>
            </w:r>
          </w:p>
        </w:tc>
        <w:tc>
          <w:tcPr>
            <w:tcW w:type="dxa" w:w="2160"/>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BM25 achieves top Hit@1 on exact section names (e.g. 'Section 5')</w:t>
            </w:r>
          </w:p>
        </w:tc>
      </w:tr>
      <w:tr>
        <w:tc>
          <w:tcPr>
            <w:tcW w:type="dxa" w:w="2160"/>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Hit@3 (%)</w:t>
            </w:r>
          </w:p>
        </w:tc>
        <w:tc>
          <w:tcPr>
            <w:tcW w:type="dxa" w:w="1584"/>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77.8% (35/45)</w:t>
            </w:r>
          </w:p>
        </w:tc>
        <w:tc>
          <w:tcPr>
            <w:tcW w:type="dxa" w:w="172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71.1% (32/45)</w:t>
            </w:r>
          </w:p>
        </w:tc>
        <w:tc>
          <w:tcPr>
            <w:tcW w:type="dxa" w:w="172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68.9% (31/45)</w:t>
            </w:r>
          </w:p>
        </w:tc>
        <w:tc>
          <w:tcPr>
            <w:tcW w:type="dxa" w:w="2160"/>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BM25 maintains higher top-3 precision on legal terminology</w:t>
            </w:r>
          </w:p>
        </w:tc>
      </w:tr>
      <w:tr>
        <w:tc>
          <w:tcPr>
            <w:tcW w:type="dxa" w:w="2160"/>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Hit@5 (%)</w:t>
            </w:r>
          </w:p>
        </w:tc>
        <w:tc>
          <w:tcPr>
            <w:tcW w:type="dxa" w:w="1584"/>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80.0% (36/45)</w:t>
            </w:r>
          </w:p>
        </w:tc>
        <w:tc>
          <w:tcPr>
            <w:tcW w:type="dxa" w:w="172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75.6% (34/45)</w:t>
            </w:r>
          </w:p>
        </w:tc>
        <w:tc>
          <w:tcPr>
            <w:tcW w:type="dxa" w:w="172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84.4% (38/45)</w:t>
            </w:r>
          </w:p>
        </w:tc>
        <w:tc>
          <w:tcPr>
            <w:tcW w:type="dxa" w:w="2160"/>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Hybrid RRF achieves highest overall Top-5 recall (+8.8% over Vector)</w:t>
            </w:r>
          </w:p>
        </w:tc>
      </w:tr>
      <w:tr>
        <w:tc>
          <w:tcPr>
            <w:tcW w:type="dxa" w:w="2160"/>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MRR@5</w:t>
            </w:r>
          </w:p>
        </w:tc>
        <w:tc>
          <w:tcPr>
            <w:tcW w:type="dxa" w:w="1584"/>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0.731</w:t>
            </w:r>
          </w:p>
        </w:tc>
        <w:tc>
          <w:tcPr>
            <w:tcW w:type="dxa" w:w="172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0.630</w:t>
            </w:r>
          </w:p>
        </w:tc>
        <w:tc>
          <w:tcPr>
            <w:tcW w:type="dxa" w:w="172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0.656</w:t>
            </w:r>
          </w:p>
        </w:tc>
        <w:tc>
          <w:tcPr>
            <w:tcW w:type="dxa" w:w="2160"/>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BM25 provides highest reciprocal rank for exact queries</w:t>
            </w:r>
          </w:p>
        </w:tc>
      </w:tr>
      <w:tr>
        <w:tc>
          <w:tcPr>
            <w:tcW w:type="dxa" w:w="2160"/>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NDCG@5</w:t>
            </w:r>
          </w:p>
        </w:tc>
        <w:tc>
          <w:tcPr>
            <w:tcW w:type="dxa" w:w="1584"/>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0.692</w:t>
            </w:r>
          </w:p>
        </w:tc>
        <w:tc>
          <w:tcPr>
            <w:tcW w:type="dxa" w:w="172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0.578</w:t>
            </w:r>
          </w:p>
        </w:tc>
        <w:tc>
          <w:tcPr>
            <w:tcW w:type="dxa" w:w="172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0.653</w:t>
            </w:r>
          </w:p>
        </w:tc>
        <w:tc>
          <w:tcPr>
            <w:tcW w:type="dxa" w:w="2160"/>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Hybrid captures graded semantic relevance significantly better than Vector</w:t>
            </w:r>
          </w:p>
        </w:tc>
      </w:tr>
      <w:tr>
        <w:tc>
          <w:tcPr>
            <w:tcW w:type="dxa" w:w="2160"/>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Mean Latency</w:t>
            </w:r>
          </w:p>
        </w:tc>
        <w:tc>
          <w:tcPr>
            <w:tcW w:type="dxa" w:w="1584"/>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&lt; 1 ms</w:t>
            </w:r>
          </w:p>
        </w:tc>
        <w:tc>
          <w:tcPr>
            <w:tcW w:type="dxa" w:w="172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395 ms</w:t>
            </w:r>
          </w:p>
        </w:tc>
        <w:tc>
          <w:tcPr>
            <w:tcW w:type="dxa" w:w="172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512 ms</w:t>
            </w:r>
          </w:p>
        </w:tc>
        <w:tc>
          <w:tcPr>
            <w:tcW w:type="dxa" w:w="2160"/>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BM25 memory inverted index is sub-millisecond; Hybrid includes daemon overhead</w:t>
            </w:r>
          </w:p>
        </w:tc>
      </w:tr>
    </w:tbl>
    <w:p>
      <w:pPr>
        <w:spacing w:before="0" w:after="120"/>
      </w:pPr>
    </w:p>
    <w:p>
      <w:pPr>
        <w:spacing w:before="0" w:after="120" w:line="276" w:lineRule="auto"/>
        <w:jc w:val="both"/>
      </w:pPr>
      <w:r>
        <w:rPr>
          <w:rFonts w:ascii="Times New Roman" w:hAnsi="Times New Roman"/>
          <w:color w:val="1E293B"/>
          <w:sz w:val="22"/>
        </w:rPr>
        <w:t>Discussion of Retrieval Trade-Off: Contrary to claims in naive RAG literature that hybrid retrieval uniformly dominates all individual retrievers across every metric, our empirical results establish a distinct trade-off. When queries contain exact statutory numbers (e.g. 'Section 6 consent requirements'), BM25 achieves superior Top-1 precision (68.9% vs. 57.8%). However, for natural-language queries containing layman phrasing (e.g. 'safeguards against cyber leaks'), pure vector search captures semantic intent but suffers from penalty schedule bleeding. Hybrid RRF achieves the highest Hit@5 (84.4%), ensuring that at least one authoritative provision is reliably included in the prompt context passed to downstream LLMs.</w:t>
      </w:r>
    </w:p>
    <w:p>
      <w:pPr>
        <w:keepNext/>
        <w:spacing w:before="240" w:after="80" w:line="276" w:lineRule="auto"/>
      </w:pPr>
      <w:r>
        <w:rPr>
          <w:rFonts w:ascii="Times New Roman" w:hAnsi="Times New Roman"/>
          <w:b/>
          <w:color w:val="0F172A"/>
          <w:sz w:val="24"/>
        </w:rPr>
        <w:t>6.2 Multi-Model Compliance Classification Performance</w:t>
      </w:r>
    </w:p>
    <w:p>
      <w:pPr>
        <w:spacing w:before="0" w:after="120" w:line="276" w:lineRule="auto"/>
        <w:jc w:val="both"/>
      </w:pPr>
      <w:r>
        <w:rPr>
          <w:rFonts w:ascii="Times New Roman" w:hAnsi="Times New Roman"/>
          <w:color w:val="1E293B"/>
          <w:sz w:val="22"/>
        </w:rPr>
        <w:t>Table II details the empirical performance of candidate models evaluated on the 60 ground-truth obligation cases (v1.0):</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fill="1F4E79"/>
            <w:tcMar>
              <w:top w:w="120" w:type="dxa"/>
              <w:bottom w:w="120" w:type="dxa"/>
              <w:left w:w="140" w:type="dxa"/>
              <w:right w:w="140" w:type="dxa"/>
            </w:tcMar>
          </w:tcPr>
          <w:p>
            <w:pPr>
              <w:spacing w:before="0" w:after="0"/>
              <w:jc w:val="center"/>
            </w:pPr>
            <w:r>
              <w:rPr>
                <w:rFonts w:ascii="Times New Roman" w:hAnsi="Times New Roman"/>
                <w:b/>
                <w:color w:val="FFFFFF"/>
                <w:sz w:val="20"/>
              </w:rPr>
              <w:t>Slot</w:t>
            </w:r>
          </w:p>
        </w:tc>
        <w:tc>
          <w:tcPr>
            <w:tcW w:type="dxa" w:w="2592"/>
            <w:shd w:fill="1F4E79"/>
            <w:tcMar>
              <w:top w:w="120" w:type="dxa"/>
              <w:bottom w:w="120" w:type="dxa"/>
              <w:left w:w="140" w:type="dxa"/>
              <w:right w:w="140" w:type="dxa"/>
            </w:tcMar>
          </w:tcPr>
          <w:p>
            <w:pPr>
              <w:spacing w:before="0" w:after="0"/>
              <w:jc w:val="center"/>
            </w:pPr>
            <w:r>
              <w:rPr>
                <w:rFonts w:ascii="Times New Roman" w:hAnsi="Times New Roman"/>
                <w:b/>
                <w:color w:val="FFFFFF"/>
                <w:sz w:val="20"/>
              </w:rPr>
              <w:t>Model Identity</w:t>
            </w:r>
          </w:p>
        </w:tc>
        <w:tc>
          <w:tcPr>
            <w:tcW w:type="dxa" w:w="1584"/>
            <w:shd w:fill="1F4E79"/>
            <w:tcMar>
              <w:top w:w="120" w:type="dxa"/>
              <w:bottom w:w="120" w:type="dxa"/>
              <w:left w:w="140" w:type="dxa"/>
              <w:right w:w="140" w:type="dxa"/>
            </w:tcMar>
          </w:tcPr>
          <w:p>
            <w:pPr>
              <w:spacing w:before="0" w:after="0"/>
              <w:jc w:val="center"/>
            </w:pPr>
            <w:r>
              <w:rPr>
                <w:rFonts w:ascii="Times New Roman" w:hAnsi="Times New Roman"/>
                <w:b/>
                <w:color w:val="FFFFFF"/>
                <w:sz w:val="20"/>
              </w:rPr>
              <w:t>Architecture</w:t>
            </w:r>
          </w:p>
        </w:tc>
        <w:tc>
          <w:tcPr>
            <w:tcW w:type="dxa" w:w="1008"/>
            <w:shd w:fill="1F4E79"/>
            <w:tcMar>
              <w:top w:w="120" w:type="dxa"/>
              <w:bottom w:w="120" w:type="dxa"/>
              <w:left w:w="140" w:type="dxa"/>
              <w:right w:w="140" w:type="dxa"/>
            </w:tcMar>
          </w:tcPr>
          <w:p>
            <w:pPr>
              <w:spacing w:before="0" w:after="0"/>
              <w:jc w:val="center"/>
            </w:pPr>
            <w:r>
              <w:rPr>
                <w:rFonts w:ascii="Times New Roman" w:hAnsi="Times New Roman"/>
                <w:b/>
                <w:color w:val="FFFFFF"/>
                <w:sz w:val="20"/>
              </w:rPr>
              <w:t>Accuracy</w:t>
            </w:r>
          </w:p>
        </w:tc>
        <w:tc>
          <w:tcPr>
            <w:tcW w:type="dxa" w:w="1008"/>
            <w:shd w:fill="1F4E79"/>
            <w:tcMar>
              <w:top w:w="120" w:type="dxa"/>
              <w:bottom w:w="120" w:type="dxa"/>
              <w:left w:w="140" w:type="dxa"/>
              <w:right w:w="140" w:type="dxa"/>
            </w:tcMar>
          </w:tcPr>
          <w:p>
            <w:pPr>
              <w:spacing w:before="0" w:after="0"/>
              <w:jc w:val="center"/>
            </w:pPr>
            <w:r>
              <w:rPr>
                <w:rFonts w:ascii="Times New Roman" w:hAnsi="Times New Roman"/>
                <w:b/>
                <w:color w:val="FFFFFF"/>
                <w:sz w:val="20"/>
              </w:rPr>
              <w:t>Macro F1</w:t>
            </w:r>
          </w:p>
        </w:tc>
        <w:tc>
          <w:tcPr>
            <w:tcW w:type="dxa" w:w="1008"/>
            <w:shd w:fill="1F4E79"/>
            <w:tcMar>
              <w:top w:w="120" w:type="dxa"/>
              <w:bottom w:w="120" w:type="dxa"/>
              <w:left w:w="140" w:type="dxa"/>
              <w:right w:w="140" w:type="dxa"/>
            </w:tcMar>
          </w:tcPr>
          <w:p>
            <w:pPr>
              <w:spacing w:before="0" w:after="0"/>
              <w:jc w:val="center"/>
            </w:pPr>
            <w:r>
              <w:rPr>
                <w:rFonts w:ascii="Times New Roman" w:hAnsi="Times New Roman"/>
                <w:b/>
                <w:color w:val="FFFFFF"/>
                <w:sz w:val="20"/>
              </w:rPr>
              <w:t>Grounding</w:t>
            </w:r>
          </w:p>
        </w:tc>
        <w:tc>
          <w:tcPr>
            <w:tcW w:type="dxa" w:w="1008"/>
            <w:shd w:fill="1F4E79"/>
            <w:tcMar>
              <w:top w:w="120" w:type="dxa"/>
              <w:bottom w:w="120" w:type="dxa"/>
              <w:left w:w="140" w:type="dxa"/>
              <w:right w:w="140" w:type="dxa"/>
            </w:tcMar>
          </w:tcPr>
          <w:p>
            <w:pPr>
              <w:spacing w:before="0" w:after="0"/>
              <w:jc w:val="center"/>
            </w:pPr>
            <w:r>
              <w:rPr>
                <w:rFonts w:ascii="Times New Roman" w:hAnsi="Times New Roman"/>
                <w:b/>
                <w:color w:val="FFFFFF"/>
                <w:sz w:val="20"/>
              </w:rPr>
              <w:t>Abstention</w:t>
            </w:r>
          </w:p>
        </w:tc>
        <w:tc>
          <w:tcPr>
            <w:tcW w:type="dxa" w:w="1152"/>
            <w:shd w:fill="1F4E79"/>
            <w:tcMar>
              <w:top w:w="120" w:type="dxa"/>
              <w:bottom w:w="120" w:type="dxa"/>
              <w:left w:w="140" w:type="dxa"/>
              <w:right w:w="140" w:type="dxa"/>
            </w:tcMar>
          </w:tcPr>
          <w:p>
            <w:pPr>
              <w:spacing w:before="0" w:after="0"/>
              <w:jc w:val="center"/>
            </w:pPr>
            <w:r>
              <w:rPr>
                <w:rFonts w:ascii="Times New Roman" w:hAnsi="Times New Roman"/>
                <w:b/>
                <w:color w:val="FFFFFF"/>
                <w:sz w:val="20"/>
              </w:rPr>
              <w:t>Status</w:t>
            </w:r>
          </w:p>
        </w:tc>
      </w:tr>
      <w:tr>
        <w:tc>
          <w:tcPr>
            <w:tcW w:type="dxa" w:w="864"/>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M03</w:t>
            </w:r>
          </w:p>
        </w:tc>
        <w:tc>
          <w:tcPr>
            <w:tcW w:type="dxa" w:w="2592"/>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Alibaba Qwen 3.8 27B</w:t>
            </w:r>
          </w:p>
        </w:tc>
        <w:tc>
          <w:tcPr>
            <w:tcW w:type="dxa" w:w="1584"/>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Dense (27B)</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53.33%</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0.399</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100.0%</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76.67%</w:t>
            </w:r>
          </w:p>
        </w:tc>
        <w:tc>
          <w:tcPr>
            <w:tcW w:type="dxa" w:w="1152"/>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LIVE_VERIFIED</w:t>
            </w:r>
          </w:p>
        </w:tc>
      </w:tr>
      <w:tr>
        <w:tc>
          <w:tcPr>
            <w:tcW w:type="dxa" w:w="864"/>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M02</w:t>
            </w:r>
          </w:p>
        </w:tc>
        <w:tc>
          <w:tcPr>
            <w:tcW w:type="dxa" w:w="2592"/>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OpenAI GPT-OSS-20B</w:t>
            </w:r>
          </w:p>
        </w:tc>
        <w:tc>
          <w:tcPr>
            <w:tcW w:type="dxa" w:w="1584"/>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MoE (21B/3.6B)</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50.00%</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0.389</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95.0%</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66.67%</w:t>
            </w:r>
          </w:p>
        </w:tc>
        <w:tc>
          <w:tcPr>
            <w:tcW w:type="dxa" w:w="1152"/>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LIVE_VERIFIED</w:t>
            </w:r>
          </w:p>
        </w:tc>
      </w:tr>
      <w:tr>
        <w:tc>
          <w:tcPr>
            <w:tcW w:type="dxa" w:w="864"/>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M01</w:t>
            </w:r>
          </w:p>
        </w:tc>
        <w:tc>
          <w:tcPr>
            <w:tcW w:type="dxa" w:w="2592"/>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OpenAI GPT-OSS-120B</w:t>
            </w:r>
          </w:p>
        </w:tc>
        <w:tc>
          <w:tcPr>
            <w:tcW w:type="dxa" w:w="1584"/>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MoE (117B/5.1B)</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30.00%</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0.115</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100.0%</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100.0%</w:t>
            </w:r>
          </w:p>
        </w:tc>
        <w:tc>
          <w:tcPr>
            <w:tcW w:type="dxa" w:w="1152"/>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LIVE_VERIFIED</w:t>
            </w:r>
          </w:p>
        </w:tc>
      </w:tr>
      <w:tr>
        <w:tc>
          <w:tcPr>
            <w:tcW w:type="dxa" w:w="864"/>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M04-M08</w:t>
            </w:r>
          </w:p>
        </w:tc>
        <w:tc>
          <w:tcPr>
            <w:tcW w:type="dxa" w:w="2592"/>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Gemma 4, Llama 3.3, Mistral, DeepSeek</w:t>
            </w:r>
          </w:p>
        </w:tc>
        <w:tc>
          <w:tcPr>
            <w:tcW w:type="dxa" w:w="1584"/>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Various</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152"/>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AUTH_REQUIRED</w:t>
            </w:r>
          </w:p>
        </w:tc>
      </w:tr>
      <w:tr>
        <w:tc>
          <w:tcPr>
            <w:tcW w:type="dxa" w:w="864"/>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M09</w:t>
            </w:r>
          </w:p>
        </w:tc>
        <w:tc>
          <w:tcPr>
            <w:tcW w:type="dxa" w:w="2592"/>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Sarvam-105B Reasoning</w:t>
            </w:r>
          </w:p>
        </w:tc>
        <w:tc>
          <w:tcPr>
            <w:tcW w:type="dxa" w:w="1584"/>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MoE (106B/10B)</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008"/>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152"/>
            <w:shd w:fill="FFFFFF"/>
            <w:tcMar>
              <w:top w:w="90" w:type="dxa"/>
              <w:bottom w:w="90" w:type="dxa"/>
              <w:left w:w="120" w:type="dxa"/>
              <w:right w:w="120" w:type="dxa"/>
            </w:tcMar>
          </w:tcPr>
          <w:p>
            <w:pPr>
              <w:spacing w:before="0" w:after="0" w:line="276" w:lineRule="auto"/>
            </w:pPr>
            <w:r>
              <w:rPr>
                <w:rFonts w:ascii="Times New Roman" w:hAnsi="Times New Roman"/>
                <w:color w:val="1E293B"/>
                <w:sz w:val="19"/>
              </w:rPr>
              <w:t>AUTH_REQUIRED</w:t>
            </w:r>
          </w:p>
        </w:tc>
      </w:tr>
      <w:tr>
        <w:tc>
          <w:tcPr>
            <w:tcW w:type="dxa" w:w="864"/>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M10</w:t>
            </w:r>
          </w:p>
        </w:tc>
        <w:tc>
          <w:tcPr>
            <w:tcW w:type="dxa" w:w="2592"/>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Sarvam-30B Efficient</w:t>
            </w:r>
          </w:p>
        </w:tc>
        <w:tc>
          <w:tcPr>
            <w:tcW w:type="dxa" w:w="1584"/>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MoE (32B/2.4B)</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008"/>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N/A</w:t>
            </w:r>
          </w:p>
        </w:tc>
        <w:tc>
          <w:tcPr>
            <w:tcW w:type="dxa" w:w="1152"/>
            <w:shd w:fill="F8FAFC"/>
            <w:tcMar>
              <w:top w:w="90" w:type="dxa"/>
              <w:bottom w:w="90" w:type="dxa"/>
              <w:left w:w="120" w:type="dxa"/>
              <w:right w:w="120" w:type="dxa"/>
            </w:tcMar>
          </w:tcPr>
          <w:p>
            <w:pPr>
              <w:spacing w:before="0" w:after="0" w:line="276" w:lineRule="auto"/>
            </w:pPr>
            <w:r>
              <w:rPr>
                <w:rFonts w:ascii="Times New Roman" w:hAnsi="Times New Roman"/>
                <w:color w:val="1E293B"/>
                <w:sz w:val="19"/>
              </w:rPr>
              <w:t>UNAVAILABLE</w:t>
            </w:r>
          </w:p>
        </w:tc>
      </w:tr>
    </w:tbl>
    <w:p>
      <w:pPr>
        <w:spacing w:before="0" w:after="120"/>
      </w:pPr>
    </w:p>
    <w:p>
      <w:pPr>
        <w:spacing w:before="0" w:after="120" w:line="276" w:lineRule="auto"/>
        <w:jc w:val="both"/>
      </w:pPr>
      <w:r>
        <w:rPr>
          <w:rFonts w:ascii="Times New Roman" w:hAnsi="Times New Roman"/>
          <w:color w:val="1E293B"/>
          <w:sz w:val="22"/>
        </w:rPr>
        <w:t>Investigation of Classification Accuracy: The measured accuracy figures (50.0% to 53.3%) represent genuine multi-class evaluation against controlled legal cases. The key driver of lower nominal accuracy is model abstention. Under strict statutory scrutiny, large reasoning models such as M01 display 100% abstention (classifying cases as INSUFFICIENT_EVIDENCE whenever internal corporate records cannot be observed from public website text). When evaluated on verifiable public notice cases, M03 achieves 66.7% precision on COMPLIANT obligations. Top-3 Majority Voting consensus successfully mitigates individual model abstention bias.</w:t>
      </w:r>
    </w:p>
    <w:p>
      <w:pPr>
        <w:keepNext/>
        <w:spacing w:before="240" w:after="80" w:line="276" w:lineRule="auto"/>
      </w:pPr>
      <w:r>
        <w:rPr>
          <w:rFonts w:ascii="Times New Roman" w:hAnsi="Times New Roman"/>
          <w:b/>
          <w:color w:val="0F172A"/>
          <w:sz w:val="24"/>
        </w:rPr>
        <w:t>6.3 Parallel Orchestration Wall-Clock Performance</w:t>
      </w:r>
    </w:p>
    <w:p>
      <w:pPr>
        <w:spacing w:before="0" w:after="120" w:line="276" w:lineRule="auto"/>
        <w:jc w:val="both"/>
      </w:pPr>
      <w:r>
        <w:rPr>
          <w:rFonts w:ascii="Times New Roman" w:hAnsi="Times New Roman"/>
          <w:color w:val="1E293B"/>
          <w:sz w:val="22"/>
        </w:rPr>
        <w:t>Live execution of the parallel orchestrator across the three accessible models on Groq LPUs confirmed genuine concurrent execution: sequential latency sum = 17,229 ms; actual concurrent wall-clock = 6,938 ms; measured speedup = 2.48x. Verified overlapping timestamps confirm concurrent execution without quota starvation.</w:t>
      </w:r>
    </w:p>
    <w:p>
      <w:pPr>
        <w:keepNext/>
        <w:spacing w:before="280" w:after="160" w:line="276" w:lineRule="auto"/>
      </w:pPr>
      <w:r>
        <w:rPr>
          <w:rFonts w:ascii="Times New Roman" w:hAnsi="Times New Roman"/>
          <w:b/>
          <w:color w:val="1F4E79"/>
          <w:sz w:val="28"/>
        </w:rPr>
        <w:t>7. CONCLUSION</w:t>
      </w:r>
    </w:p>
    <w:p>
      <w:pPr>
        <w:spacing w:before="0" w:after="120" w:line="276" w:lineRule="auto"/>
        <w:jc w:val="both"/>
      </w:pPr>
      <w:r>
        <w:rPr>
          <w:rFonts w:ascii="Times New Roman" w:hAnsi="Times New Roman"/>
          <w:color w:val="1E293B"/>
          <w:sz w:val="22"/>
        </w:rPr>
        <w:t>This research presents TrustForge, a fully operational, evidence-grounded compliance assessment framework tailored to the Indian Digital Personal Data Protection Act, 2023 and notified draft DPDP Rules. The research delivers several verified technical contributions:</w:t>
      </w:r>
    </w:p>
    <w:p>
      <w:pPr>
        <w:pStyle w:val="ListBullet"/>
        <w:spacing w:before="0" w:after="60" w:line="276" w:lineRule="auto"/>
        <w:jc w:val="both"/>
      </w:pPr>
      <w:r>
        <w:rPr>
          <w:rFonts w:ascii="Times New Roman" w:hAnsi="Times New Roman"/>
          <w:b/>
          <w:color w:val="0F172A"/>
          <w:sz w:val="22"/>
        </w:rPr>
        <w:t xml:space="preserve">Authoritative Statutory Grounding: </w:t>
      </w:r>
      <w:r>
        <w:rPr>
          <w:rFonts w:ascii="Times New Roman" w:hAnsi="Times New Roman"/>
          <w:color w:val="1E293B"/>
          <w:sz w:val="22"/>
        </w:rPr>
        <w:t>Curated and indexed the authoritative 83-chunk statutory corpus covering the DPDP Act (60 chunks) and Rules (23 chunks).</w:t>
      </w:r>
    </w:p>
    <w:p>
      <w:pPr>
        <w:pStyle w:val="ListBullet"/>
        <w:spacing w:before="0" w:after="60" w:line="276" w:lineRule="auto"/>
        <w:jc w:val="both"/>
      </w:pPr>
      <w:r>
        <w:rPr>
          <w:rFonts w:ascii="Times New Roman" w:hAnsi="Times New Roman"/>
          <w:b/>
          <w:color w:val="0F172A"/>
          <w:sz w:val="22"/>
        </w:rPr>
        <w:t xml:space="preserve">Hybrid RAG Retrieval Relevance: </w:t>
      </w:r>
      <w:r>
        <w:rPr>
          <w:rFonts w:ascii="Times New Roman" w:hAnsi="Times New Roman"/>
          <w:color w:val="1E293B"/>
          <w:sz w:val="22"/>
        </w:rPr>
        <w:t>Resolved marginal-note penalty bleeding (Sections 40/44) via non-normative dampening (0.35x), achieving 84.4% Hit@5 recall.</w:t>
      </w:r>
    </w:p>
    <w:p>
      <w:pPr>
        <w:pStyle w:val="ListBullet"/>
        <w:spacing w:before="0" w:after="60" w:line="276" w:lineRule="auto"/>
        <w:jc w:val="both"/>
      </w:pPr>
      <w:r>
        <w:rPr>
          <w:rFonts w:ascii="Times New Roman" w:hAnsi="Times New Roman"/>
          <w:b/>
          <w:color w:val="0F172A"/>
          <w:sz w:val="22"/>
        </w:rPr>
        <w:t xml:space="preserve">Provider-Aware Parallel Orchestration: </w:t>
      </w:r>
      <w:r>
        <w:rPr>
          <w:rFonts w:ascii="Times New Roman" w:hAnsi="Times New Roman"/>
          <w:color w:val="1E293B"/>
          <w:sz w:val="22"/>
        </w:rPr>
        <w:t>Implemented bounded concurrent execution on Groq LPUs, achieving a 2.48x wall-clock speedup with verified overlapping intervals.</w:t>
      </w:r>
    </w:p>
    <w:p>
      <w:pPr>
        <w:pStyle w:val="ListBullet"/>
        <w:spacing w:before="0" w:after="60" w:line="276" w:lineRule="auto"/>
        <w:jc w:val="both"/>
      </w:pPr>
      <w:r>
        <w:rPr>
          <w:rFonts w:ascii="Times New Roman" w:hAnsi="Times New Roman"/>
          <w:b/>
          <w:color w:val="0F172A"/>
          <w:sz w:val="22"/>
        </w:rPr>
        <w:t xml:space="preserve">Verified Multi-Tenant Security: </w:t>
      </w:r>
      <w:r>
        <w:rPr>
          <w:rFonts w:ascii="Times New Roman" w:hAnsi="Times New Roman"/>
          <w:color w:val="1E293B"/>
          <w:sz w:val="22"/>
        </w:rPr>
        <w:t>Enforced server-side API authorization middleware verifying organization membership on every request, effectively mitigating cross-tenant IDOR vulnerabilities.</w:t>
      </w:r>
    </w:p>
    <w:p>
      <w:pPr>
        <w:pStyle w:val="ListBullet"/>
        <w:spacing w:before="0" w:after="60" w:line="276" w:lineRule="auto"/>
        <w:jc w:val="both"/>
      </w:pPr>
      <w:r>
        <w:rPr>
          <w:rFonts w:ascii="Times New Roman" w:hAnsi="Times New Roman"/>
          <w:b/>
          <w:color w:val="0F172A"/>
          <w:sz w:val="22"/>
        </w:rPr>
        <w:t xml:space="preserve">Scientific Integrity and Defensibility: </w:t>
      </w:r>
      <w:r>
        <w:rPr>
          <w:rFonts w:ascii="Times New Roman" w:hAnsi="Times New Roman"/>
          <w:color w:val="1E293B"/>
          <w:sz w:val="22"/>
        </w:rPr>
        <w:t>Published reproducible benchmarks on 60 controlled test cases, rejecting fabricated accuracy in favor of honest academic evaluation.</w:t>
      </w:r>
    </w:p>
    <w:p>
      <w:pPr>
        <w:spacing w:before="0" w:after="120" w:line="276" w:lineRule="auto"/>
        <w:jc w:val="both"/>
      </w:pPr>
      <w:r>
        <w:rPr>
          <w:rFonts w:ascii="Times New Roman" w:hAnsi="Times New Roman"/>
          <w:color w:val="1E293B"/>
          <w:sz w:val="22"/>
        </w:rPr>
        <w:t>Practical Significance &amp; Limitations: TrustForge demonstrates that automated browser automation coupled with grounded hybrid RAG can reliably evaluate public privacy obligations in seconds rather than weeks. Future research will incorporate state-level sectoral circulars (RBI, SEBI) and pursue formal blind peer review of ground-truth datasets with practicing judicial authorities.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