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B3A6B"/>
          <w:sz w:val="72"/>
          <w:szCs w:val="72"/>
        </w:rPr>
        <w:t xml:space="preserve">S-XG-NID</w:t>
      </w:r>
    </w:p>
    <w:p>
      <w:pPr>
        <w:spacing w:before="0" w:after="80"/>
        <w:jc w:val="center"/>
      </w:pPr>
      <w:r>
        <w:rPr>
          <w:rFonts w:ascii="Arial" w:cs="Arial" w:eastAsia="Arial" w:hAnsi="Arial"/>
          <w:b/>
          <w:bCs/>
          <w:color w:val="6D28D9"/>
          <w:sz w:val="36"/>
          <w:szCs w:val="36"/>
        </w:rPr>
        <w:t xml:space="preserve">Extensions &amp; Novel Contributions</w:t>
      </w:r>
    </w:p>
    <w:p>
      <w:pPr>
        <w:spacing w:before="0" w:after="400"/>
        <w:jc w:val="center"/>
      </w:pPr>
      <w:r>
        <w:rPr>
          <w:rFonts w:ascii="Arial" w:cs="Arial" w:eastAsia="Arial" w:hAnsi="Arial"/>
          <w:i/>
          <w:iCs/>
          <w:color w:val="475569"/>
          <w:sz w:val="24"/>
          <w:szCs w:val="24"/>
        </w:rPr>
        <w:t xml:space="preserve">Technical Design Document — Volume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F5F3FF" w:val="clear"/>
            <w:tcMar>
              <w:top w:type="dxa" w:w="200"/>
              <w:left w:type="dxa" w:w="300"/>
              <w:bottom w:type="dxa" w:w="200"/>
              <w:right w:type="dxa" w:w="300"/>
            </w:tcMar>
          </w:tcPr>
          <w:p>
            <w:pPr>
              <w:spacing w:after="100"/>
              <w:jc w:val="center"/>
            </w:pPr>
            <w:r>
              <w:rPr>
                <w:rFonts w:ascii="Arial" w:cs="Arial" w:eastAsia="Arial" w:hAnsi="Arial"/>
                <w:i/>
                <w:iCs/>
                <w:color w:val="475569"/>
                <w:sz w:val="20"/>
                <w:szCs w:val="20"/>
              </w:rPr>
              <w:t xml:space="preserve">This document is a direct continuation of Volume I (S-XG-NID Technical Design Document).</w:t>
            </w:r>
          </w:p>
          <w:p>
            <w:pPr>
              <w:jc w:val="center"/>
            </w:pPr>
            <w:r>
              <w:rPr>
                <w:rFonts w:ascii="Arial" w:cs="Arial" w:eastAsia="Arial" w:hAnsi="Arial"/>
                <w:i/>
                <w:iCs/>
                <w:color w:val="475569"/>
                <w:sz w:val="20"/>
                <w:szCs w:val="20"/>
              </w:rPr>
              <w:t xml:space="preserve">It covers six novel extensions beyond the base XG-NID paper that together form a publication-grade research contribution.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60"/>
      </w:tblGrid>
      <w:tr>
        <w:trPr>
          <w:tblHeader/>
        </w:trPr>
        <w:tc>
          <w:tcPr>
            <w:tcW w:type="dxa" w:w="4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Extension</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Section</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Complexity</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E1 — Uncertainty Quantification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Section 1</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E2 — Concept Drift Detection</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Section 2</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E3 — Attack Campaign Correlation (Temporal Graph)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Section 3</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E4 — RAG-Enhanced Explainability</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Section 4</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E5 — Analyst Feedback Loop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Section 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E6 — Federated Learning</w:t>
            </w:r>
          </w:p>
        </w:tc>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Section 6</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High</w:t>
            </w:r>
          </w:p>
        </w:tc>
      </w:tr>
    </w:tbl>
    <w:p>
      <w:pPr>
        <w:spacing w:before="80" w:after="80"/>
      </w:pPr>
      <w:r>
        <w:t xml:space="preserve"/>
      </w:r>
    </w:p>
    <w:p>
      <w:pPr>
        <w:spacing w:before="80" w:after="80"/>
      </w:pPr>
      <w:r>
        <w:t xml:space="preserve"/>
      </w:r>
    </w:p>
    <w:p>
      <w:pPr>
        <w:jc w:val="center"/>
      </w:pPr>
      <w:r>
        <w:rPr>
          <w:rFonts w:ascii="Arial" w:cs="Arial" w:eastAsia="Arial" w:hAnsi="Arial"/>
          <w:color w:val="475569"/>
          <w:sz w:val="20"/>
          <w:szCs w:val="20"/>
        </w:rPr>
        <w:t xml:space="preserve">Hardware Target: NVIDIA RTX 4090 (16GB VRAM)  |  32GB RAM  |  Intel i9</w:t>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Extension 1: Uncertainty Quantification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F766E" w:sz="1"/>
              <w:left w:val="single" w:color="0F766E" w:sz="1"/>
              <w:bottom w:val="single" w:color="0F766E" w:sz="1"/>
              <w:right w:val="single" w:color="0F766E" w:sz="1"/>
            </w:tcBorders>
            <w:shd w:fill="0F766E"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WHY</w:t>
            </w:r>
          </w:p>
        </w:tc>
        <w:tc>
          <w:tcPr>
            <w:tcW w:type="dxa" w:w="7760"/>
            <w:tcBorders>
              <w:top w:val="single" w:color="0F766E" w:sz="1"/>
              <w:left w:val="single" w:color="0F766E" w:sz="1"/>
              <w:bottom w:val="single" w:color="0F766E" w:sz="1"/>
              <w:right w:val="single" w:color="0F766E" w:sz="1"/>
            </w:tcBorders>
            <w:shd w:fill="FAFAFA" w:val="clear"/>
            <w:tcMar>
              <w:top w:type="dxa" w:w="120"/>
              <w:left w:type="dxa" w:w="180"/>
              <w:bottom w:type="dxa" w:w="120"/>
              <w:right w:type="dxa" w:w="140"/>
            </w:tcMar>
          </w:tcPr>
          <w:p>
            <w:r>
              <w:rPr>
                <w:rFonts w:ascii="Arial" w:cs="Arial" w:eastAsia="Arial" w:hAnsi="Arial"/>
                <w:i/>
                <w:iCs/>
                <w:color w:val="475569"/>
                <w:sz w:val="20"/>
                <w:szCs w:val="20"/>
              </w:rPr>
              <w:t xml:space="preserve">The base HGNN outputs a softmax probability but this is not a true probability — it is overconfident by design. A model that says '99% DDoS' on an input it has never seen before is dangerous in a security context. We need to know not just WHAT the model predicts, but HOW SURE it is.</w:t>
            </w:r>
          </w:p>
        </w:tc>
      </w:tr>
    </w:tbl>
    <w:p>
      <w:pPr>
        <w:spacing w:before="80" w:after="80"/>
      </w:pPr>
      <w:r>
        <w:t xml:space="preserve"/>
      </w:r>
    </w:p>
    <w:p>
      <w:pPr>
        <w:spacing w:before="80" w:after="120"/>
        <w:jc w:val="both"/>
      </w:pPr>
      <w:r>
        <w:rPr>
          <w:rFonts w:ascii="Arial" w:cs="Arial" w:eastAsia="Arial" w:hAnsi="Arial"/>
          <w:sz w:val="22"/>
          <w:szCs w:val="22"/>
        </w:rPr>
        <w:t xml:space="preserve">Uncertainty quantification separates </w:t>
      </w:r>
      <w:r>
        <w:rPr>
          <w:rFonts w:ascii="Arial" w:cs="Arial" w:eastAsia="Arial" w:hAnsi="Arial"/>
          <w:b/>
          <w:bCs/>
          <w:sz w:val="22"/>
          <w:szCs w:val="22"/>
        </w:rPr>
        <w:t xml:space="preserve">aleatoric uncertainty</w:t>
      </w:r>
      <w:r>
        <w:rPr>
          <w:rFonts w:ascii="Arial" w:cs="Arial" w:eastAsia="Arial" w:hAnsi="Arial"/>
          <w:sz w:val="22"/>
          <w:szCs w:val="22"/>
        </w:rPr>
        <w:t xml:space="preserve"> (irreducible noise in the data itself, e.g. ambiguous traffic that genuinely looks like two attack types) from </w:t>
      </w:r>
      <w:r>
        <w:rPr>
          <w:rFonts w:ascii="Arial" w:cs="Arial" w:eastAsia="Arial" w:hAnsi="Arial"/>
          <w:b/>
          <w:bCs/>
          <w:sz w:val="22"/>
          <w:szCs w:val="22"/>
        </w:rPr>
        <w:t xml:space="preserve">epistemic uncertainty</w:t>
      </w:r>
      <w:r>
        <w:rPr>
          <w:rFonts w:ascii="Arial" w:cs="Arial" w:eastAsia="Arial" w:hAnsi="Arial"/>
          <w:sz w:val="22"/>
          <w:szCs w:val="22"/>
        </w:rPr>
        <w:t xml:space="preserve"> (the model's ignorance about inputs unlike anything it trained on). Both are critical for a production NIDS. We implement two complementary approaches: Monte Carlo Dropout for epistemic uncertainty and an Evidential Deep Learning head for aleatoric uncertainty.</w:t>
      </w:r>
    </w:p>
    <w:p>
      <w:pPr>
        <w:pStyle w:val="Heading2"/>
        <w:spacing w:before="360" w:after="160"/>
      </w:pPr>
      <w:r>
        <w:rPr>
          <w:rFonts w:ascii="Arial" w:cs="Arial" w:eastAsia="Arial" w:hAnsi="Arial"/>
          <w:b/>
          <w:bCs/>
          <w:color w:val="1E40AF"/>
          <w:sz w:val="28"/>
          <w:szCs w:val="28"/>
        </w:rPr>
        <w:t xml:space="preserve">1.1  Monte Carlo Dropout (MC-Dropout)</w:t>
      </w:r>
    </w:p>
    <w:p>
      <w:pPr>
        <w:spacing w:before="80" w:after="120"/>
        <w:jc w:val="both"/>
      </w:pPr>
      <w:r>
        <w:rPr>
          <w:rFonts w:ascii="Arial" w:cs="Arial" w:eastAsia="Arial" w:hAnsi="Arial"/>
          <w:sz w:val="22"/>
          <w:szCs w:val="22"/>
        </w:rPr>
        <w:t xml:space="preserve">Standard dropout is disabled at inference time. MC-Dropout (Gal &amp; Ghahramani, 2016) keeps dropout active at inference and runs the model T times on the same input, producing a distribution of predictions. The variance of this distribution is the epistemic uncertainty.</w:t>
      </w:r>
    </w:p>
    <w:p>
      <w:pPr>
        <w:spacing w:before="80" w:after="120"/>
        <w:jc w:val="both"/>
      </w:pPr>
      <w:r>
        <w:rPr>
          <w:rFonts w:ascii="Arial" w:cs="Arial" w:eastAsia="Arial" w:hAnsi="Arial"/>
          <w:b/>
          <w:bCs/>
          <w:sz w:val="22"/>
          <w:szCs w:val="22"/>
        </w:rPr>
        <w:t xml:space="preserve">Forward pass modification:</w:t>
      </w:r>
      <w:r>
        <w:rPr>
          <w:rFonts w:ascii="Arial" w:cs="Arial" w:eastAsia="Arial" w:hAnsi="Arial"/>
          <w:sz w:val="22"/>
          <w:szCs w:val="22"/>
        </w:rPr>
        <w:t xml:space="preserve"> In the HGNN, apply dropout with rate p = 0.2 to node embeddings after each GATConv layer, and keep it active during inference: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h^{(l)} = Dropout_p( LeakyReLU( BN( HeteroConv_l( h^{(l-1)}, A, E ) ) ) )   [BOTH train and inference]</w:t>
      </w:r>
    </w:p>
    <w:p>
      <w:pPr>
        <w:spacing w:before="80" w:after="120"/>
        <w:jc w:val="both"/>
      </w:pPr>
      <w:r>
        <w:rPr>
          <w:rFonts w:ascii="Arial" w:cs="Arial" w:eastAsia="Arial" w:hAnsi="Arial"/>
          <w:b/>
          <w:bCs/>
          <w:sz w:val="22"/>
          <w:szCs w:val="22"/>
        </w:rPr>
        <w:t xml:space="preserve">MC-Dropout inference:</w:t>
      </w:r>
      <w:r>
        <w:rPr>
          <w:rFonts w:ascii="Arial" w:cs="Arial" w:eastAsia="Arial" w:hAnsi="Arial"/>
          <w:sz w:val="22"/>
          <w:szCs w:val="22"/>
        </w:rPr>
        <w:t xml:space="preserve"> For each flow, run T = 30 stochastic forward passes: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y_hat_1, y_hat_2, ..., y_hat_T }  =  { F_theta_t(x) }_{t=1}^{T}</w:t>
      </w:r>
    </w:p>
    <w:p>
      <w:pPr>
        <w:spacing w:before="80" w:after="120"/>
        <w:jc w:val="both"/>
      </w:pPr>
      <w:r>
        <w:rPr>
          <w:rFonts w:ascii="Arial" w:cs="Arial" w:eastAsia="Arial" w:hAnsi="Arial"/>
          <w:sz w:val="22"/>
          <w:szCs w:val="22"/>
        </w:rPr>
        <w:t xml:space="preserve">where theta_t denotes the random dropout mask applied at pass t. Each y_hat_t is a C-dimensional probability vector.</w:t>
      </w:r>
    </w:p>
    <w:p>
      <w:pPr>
        <w:spacing w:before="80" w:after="120"/>
        <w:jc w:val="both"/>
      </w:pPr>
      <w:r>
        <w:rPr>
          <w:rFonts w:ascii="Arial" w:cs="Arial" w:eastAsia="Arial" w:hAnsi="Arial"/>
          <w:b/>
          <w:bCs/>
          <w:sz w:val="22"/>
          <w:szCs w:val="22"/>
        </w:rPr>
        <w:t xml:space="preserve">Mean prediction:</w:t>
      </w:r>
      <w:r>
        <w:rPr>
          <w:rFonts w:ascii="Arial" w:cs="Arial" w:eastAsia="Arial" w:hAnsi="Arial"/>
          <w:sz w:val="22"/>
          <w:szCs w:val="22"/>
        </w:rPr>
        <w:t xml:space="preserve"> The final class prediction is the mean across passes: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mu_c = (1/T) * SUM_{t=1}^{T} y_hat_t(c)      for each class c</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y_hat_final = argmax_c ( mu_c )</w:t>
      </w:r>
    </w:p>
    <w:p>
      <w:pPr>
        <w:spacing w:before="80" w:after="120"/>
        <w:jc w:val="both"/>
      </w:pPr>
      <w:r>
        <w:rPr>
          <w:rFonts w:ascii="Arial" w:cs="Arial" w:eastAsia="Arial" w:hAnsi="Arial"/>
          <w:b/>
          <w:bCs/>
          <w:sz w:val="22"/>
          <w:szCs w:val="22"/>
        </w:rPr>
        <w:t xml:space="preserve">Epistemic uncertainty:</w:t>
      </w:r>
      <w:r>
        <w:rPr>
          <w:rFonts w:ascii="Arial" w:cs="Arial" w:eastAsia="Arial" w:hAnsi="Arial"/>
          <w:sz w:val="22"/>
          <w:szCs w:val="22"/>
        </w:rPr>
        <w:t xml:space="preserve"> Measured as the mean variance across classes: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U_epistemic = (1/C) * SUM_{c=1}^{C} Var_t[ y_hat_t(c)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 (1/C) * SUM_c (1/T) * SUM_t (y_hat_t(c) - mu_c)^2</w:t>
      </w:r>
    </w:p>
    <w:p>
      <w:pPr>
        <w:spacing w:before="80" w:after="120"/>
        <w:jc w:val="both"/>
      </w:pPr>
      <w:r>
        <w:rPr>
          <w:rFonts w:ascii="Arial" w:cs="Arial" w:eastAsia="Arial" w:hAnsi="Arial"/>
          <w:b/>
          <w:bCs/>
          <w:sz w:val="22"/>
          <w:szCs w:val="22"/>
        </w:rPr>
        <w:t xml:space="preserve">Predictive entropy:</w:t>
      </w:r>
      <w:r>
        <w:rPr>
          <w:rFonts w:ascii="Arial" w:cs="Arial" w:eastAsia="Arial" w:hAnsi="Arial"/>
          <w:sz w:val="22"/>
          <w:szCs w:val="22"/>
        </w:rPr>
        <w:t xml:space="preserve"> An alternative scalar uncertainty measure that captures total uncertainty (aleatoric + epistemic):</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H[y|x] = - SUM_c mu_c * log(mu_c + epsilon)</w:t>
      </w:r>
    </w:p>
    <w:p>
      <w:pPr>
        <w:spacing w:before="80" w:after="120"/>
        <w:jc w:val="both"/>
      </w:pPr>
      <w:r>
        <w:rPr>
          <w:rFonts w:ascii="Arial" w:cs="Arial" w:eastAsia="Arial" w:hAnsi="Arial"/>
          <w:sz w:val="22"/>
          <w:szCs w:val="22"/>
        </w:rPr>
        <w:t xml:space="preserve">where epsilon = 1e-8 for numerical stability. Higher entropy means higher total uncertainty.</w:t>
      </w:r>
    </w:p>
    <w:p>
      <w:pPr>
        <w:pStyle w:val="Heading2"/>
        <w:spacing w:before="360" w:after="160"/>
      </w:pPr>
      <w:r>
        <w:rPr>
          <w:rFonts w:ascii="Arial" w:cs="Arial" w:eastAsia="Arial" w:hAnsi="Arial"/>
          <w:b/>
          <w:bCs/>
          <w:color w:val="1E40AF"/>
          <w:sz w:val="28"/>
          <w:szCs w:val="28"/>
        </w:rPr>
        <w:t xml:space="preserve">1.2  Evidential Deep Learning (EDL)</w:t>
      </w:r>
    </w:p>
    <w:p>
      <w:pPr>
        <w:spacing w:before="80" w:after="120"/>
        <w:jc w:val="both"/>
      </w:pPr>
      <w:r>
        <w:rPr>
          <w:rFonts w:ascii="Arial" w:cs="Arial" w:eastAsia="Arial" w:hAnsi="Arial"/>
          <w:sz w:val="22"/>
          <w:szCs w:val="22"/>
        </w:rPr>
        <w:t xml:space="preserve">EDL (Sensoy et al., 2018) replaces the softmax output head with a Dirichlet distribution head. Instead of outputting class probabilities directly, the model outputs the parameters alpha of a Dirichlet distribution over the probability simplex. This allows direct estimation of aleatoric uncertainty.</w:t>
      </w:r>
    </w:p>
    <w:p>
      <w:pPr>
        <w:spacing w:before="80" w:after="120"/>
        <w:jc w:val="both"/>
      </w:pPr>
      <w:r>
        <w:rPr>
          <w:rFonts w:ascii="Arial" w:cs="Arial" w:eastAsia="Arial" w:hAnsi="Arial"/>
          <w:b/>
          <w:bCs/>
          <w:sz w:val="22"/>
          <w:szCs w:val="22"/>
        </w:rPr>
        <w:t xml:space="preserve">Output head modification:</w:t>
      </w:r>
      <w:r>
        <w:rPr>
          <w:rFonts w:ascii="Arial" w:cs="Arial" w:eastAsia="Arial" w:hAnsi="Arial"/>
          <w:sz w:val="22"/>
          <w:szCs w:val="22"/>
        </w:rPr>
        <w:t xml:space="preserve"> Replace the LogSoftmax classifier head with a ReLU + 1 activation producing Dirichlet evidence: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e_c = ReLU( W_2 * z_f + b_2 )_c + 1      evidence for class c, e_c &gt;= 1</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alpha_c = e_c                              Dirichlet concentration parameter</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 = SUM_c alpha_c                          Dirichlet strength (total evidence)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p_hat_c = alpha_c / S                      expected class probability</w:t>
      </w:r>
    </w:p>
    <w:p>
      <w:pPr>
        <w:spacing w:before="80" w:after="120"/>
        <w:jc w:val="both"/>
      </w:pPr>
      <w:r>
        <w:rPr>
          <w:rFonts w:ascii="Arial" w:cs="Arial" w:eastAsia="Arial" w:hAnsi="Arial"/>
          <w:b/>
          <w:bCs/>
          <w:sz w:val="22"/>
          <w:szCs w:val="22"/>
        </w:rPr>
        <w:t xml:space="preserve">Aleatoric uncertainty:</w:t>
      </w:r>
      <w:r>
        <w:rPr>
          <w:rFonts w:ascii="Arial" w:cs="Arial" w:eastAsia="Arial" w:hAnsi="Arial"/>
          <w:sz w:val="22"/>
          <w:szCs w:val="22"/>
        </w:rPr>
        <w:t xml:space="preserve"> The variance of the Dirichlet distribution measures data-level ambiguity:</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U_aleatoric(c) = alpha_c * (S - alpha_c) / (S^2 * (S + 1))</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U_aleatoric_total = SUM_c U_aleatoric(c)</w:t>
      </w:r>
    </w:p>
    <w:p>
      <w:pPr>
        <w:spacing w:before="80" w:after="120"/>
        <w:jc w:val="both"/>
      </w:pPr>
      <w:r>
        <w:rPr>
          <w:rFonts w:ascii="Arial" w:cs="Arial" w:eastAsia="Arial" w:hAnsi="Arial"/>
          <w:b/>
          <w:bCs/>
          <w:sz w:val="22"/>
          <w:szCs w:val="22"/>
        </w:rPr>
        <w:t xml:space="preserve">EDL Training Loss:</w:t>
      </w:r>
      <w:r>
        <w:rPr>
          <w:rFonts w:ascii="Arial" w:cs="Arial" w:eastAsia="Arial" w:hAnsi="Arial"/>
          <w:sz w:val="22"/>
          <w:szCs w:val="22"/>
        </w:rPr>
        <w:t xml:space="preserve"> The model is trained with a modified loss that penalises wrong predictions while encouraging low uncertainty on correct ones: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L_EDL = SUM_i [ SUM_c (y_ic - p_hat_ic)^2 + y_ic*(1-y_ic)/(S_i+1)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 lambda * KL[ Dir(alpha_i_tilde) || Dir(1) ]</w:t>
      </w:r>
    </w:p>
    <w:p>
      <w:pPr>
        <w:spacing w:before="80" w:after="120"/>
        <w:jc w:val="both"/>
      </w:pPr>
      <w:r>
        <w:rPr>
          <w:rFonts w:ascii="Arial" w:cs="Arial" w:eastAsia="Arial" w:hAnsi="Arial"/>
          <w:sz w:val="22"/>
          <w:szCs w:val="22"/>
        </w:rPr>
        <w:t xml:space="preserve">where alpha_i_tilde = y_i + (1-y_i) * alpha_i (vacuous Dirichlet for wrong classes), and lambda is annealed from 0 to 1 over training to prevent the model from learning maximum uncertainty for everything.</w:t>
      </w:r>
    </w:p>
    <w:p>
      <w:pPr>
        <w:pStyle w:val="Heading2"/>
        <w:spacing w:before="360" w:after="160"/>
      </w:pPr>
      <w:r>
        <w:rPr>
          <w:rFonts w:ascii="Arial" w:cs="Arial" w:eastAsia="Arial" w:hAnsi="Arial"/>
          <w:b/>
          <w:bCs/>
          <w:color w:val="1E40AF"/>
          <w:sz w:val="28"/>
          <w:szCs w:val="28"/>
        </w:rPr>
        <w:t xml:space="preserve">1.3  Uncertainty-Gated LLM Invocation</w:t>
      </w:r>
    </w:p>
    <w:p>
      <w:pPr>
        <w:spacing w:before="80" w:after="120"/>
        <w:jc w:val="both"/>
      </w:pPr>
      <w:r>
        <w:rPr>
          <w:rFonts w:ascii="Arial" w:cs="Arial" w:eastAsia="Arial" w:hAnsi="Arial"/>
          <w:sz w:val="22"/>
          <w:szCs w:val="22"/>
        </w:rPr>
        <w:t xml:space="preserve">This is the practical payoff: the expensive LLM explainer is only invoked when uncertainty is above a threshold, saving compute on high-confidence routine detections: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if U_epistemic &gt; tau_e  OR  H[y|x] &gt; tau_h:</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invoke_llm_explainer(flow, attribution)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else: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    return ontology_lookup(y_hat_final)  # fast path</w:t>
      </w:r>
    </w:p>
    <w:p>
      <w:pPr>
        <w:spacing w:before="80" w:after="120"/>
        <w:jc w:val="both"/>
      </w:pPr>
      <w:r>
        <w:rPr>
          <w:rFonts w:ascii="Arial" w:cs="Arial" w:eastAsia="Arial" w:hAnsi="Arial"/>
          <w:sz w:val="22"/>
          <w:szCs w:val="22"/>
        </w:rPr>
        <w:t xml:space="preserve">Thresholds tau_e and tau_h are calibrated on the validation set to achieve a target precision-recall trade-off on the LLM invocation decision.</w:t>
      </w:r>
    </w:p>
    <w:p>
      <w:pPr>
        <w:pStyle w:val="Heading2"/>
        <w:spacing w:before="360" w:after="160"/>
      </w:pPr>
      <w:r>
        <w:rPr>
          <w:rFonts w:ascii="Arial" w:cs="Arial" w:eastAsia="Arial" w:hAnsi="Arial"/>
          <w:b/>
          <w:bCs/>
          <w:color w:val="1E40AF"/>
          <w:sz w:val="28"/>
          <w:szCs w:val="28"/>
        </w:rPr>
        <w:t xml:space="preserve">1.4  Calibration Evaluation</w:t>
      </w:r>
    </w:p>
    <w:p>
      <w:pPr>
        <w:spacing w:before="80" w:after="120"/>
        <w:jc w:val="both"/>
      </w:pPr>
      <w:r>
        <w:rPr>
          <w:rFonts w:ascii="Arial" w:cs="Arial" w:eastAsia="Arial" w:hAnsi="Arial"/>
          <w:sz w:val="22"/>
          <w:szCs w:val="22"/>
        </w:rPr>
        <w:t xml:space="preserve">A well-calibrated model should have confidence matching empirical accuracy. We measure calibration using Expected Calibration Error (ECE):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ECE = SUM_{b=1}^{B} (|B_b| / N) * |acc(B_b) - conf(B_b)|</w:t>
      </w:r>
    </w:p>
    <w:p>
      <w:pPr>
        <w:spacing w:before="80" w:after="120"/>
        <w:jc w:val="both"/>
      </w:pPr>
      <w:r>
        <w:rPr>
          <w:rFonts w:ascii="Arial" w:cs="Arial" w:eastAsia="Arial" w:hAnsi="Arial"/>
          <w:sz w:val="22"/>
          <w:szCs w:val="22"/>
        </w:rPr>
        <w:t xml:space="preserve">where B_b is the set of predictions with confidence in bin b, acc(B_b) is accuracy within the bin, and conf(B_b) is mean confidence. Lower ECE is better. Target: ECE &lt; 0.05.</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Extension 2: Concept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97706" w:sz="1"/>
              <w:left w:val="single" w:color="D97706" w:sz="1"/>
              <w:bottom w:val="single" w:color="D97706" w:sz="1"/>
              <w:right w:val="single" w:color="D97706" w:sz="1"/>
            </w:tcBorders>
            <w:shd w:fill="D9770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WHY</w:t>
            </w:r>
          </w:p>
        </w:tc>
        <w:tc>
          <w:tcPr>
            <w:tcW w:type="dxa" w:w="7760"/>
            <w:tcBorders>
              <w:top w:val="single" w:color="D97706" w:sz="1"/>
              <w:left w:val="single" w:color="D97706" w:sz="1"/>
              <w:bottom w:val="single" w:color="D97706" w:sz="1"/>
              <w:right w:val="single" w:color="D97706" w:sz="1"/>
            </w:tcBorders>
            <w:shd w:fill="FAFAFA" w:val="clear"/>
            <w:tcMar>
              <w:top w:type="dxa" w:w="120"/>
              <w:left w:type="dxa" w:w="180"/>
              <w:bottom w:type="dxa" w:w="120"/>
              <w:right w:type="dxa" w:w="140"/>
            </w:tcMar>
          </w:tcPr>
          <w:p>
            <w:r>
              <w:rPr>
                <w:rFonts w:ascii="Arial" w:cs="Arial" w:eastAsia="Arial" w:hAnsi="Arial"/>
                <w:i/>
                <w:iCs/>
                <w:color w:val="475569"/>
                <w:sz w:val="20"/>
                <w:szCs w:val="20"/>
              </w:rPr>
              <w:t xml:space="preserve">Network traffic distributions change over time — new protocols emerge, attack toolkits evolve, and normal usage patterns shift seasonally. A NIDS trained in January on enterprise traffic will silently degrade by June. We need to detect when the model's world no longer matches reality, before false negatives accumulate.</w:t>
            </w:r>
          </w:p>
        </w:tc>
      </w:tr>
    </w:tbl>
    <w:p>
      <w:pPr>
        <w:spacing w:before="80" w:after="80"/>
      </w:pPr>
      <w:r>
        <w:t xml:space="preserve"/>
      </w:r>
    </w:p>
    <w:p>
      <w:pPr>
        <w:spacing w:before="80" w:after="120"/>
        <w:jc w:val="both"/>
      </w:pPr>
      <w:r>
        <w:rPr>
          <w:rFonts w:ascii="Arial" w:cs="Arial" w:eastAsia="Arial" w:hAnsi="Arial"/>
          <w:sz w:val="22"/>
          <w:szCs w:val="22"/>
        </w:rPr>
        <w:t xml:space="preserve">We implement a three-layer drift detection system: a statistical test on the input feature distribution, a performance-based monitor on prediction confidence, and an embedding-space drift detector on entity representations.</w:t>
      </w:r>
    </w:p>
    <w:p>
      <w:pPr>
        <w:pStyle w:val="Heading2"/>
        <w:spacing w:before="360" w:after="160"/>
      </w:pPr>
      <w:r>
        <w:rPr>
          <w:rFonts w:ascii="Arial" w:cs="Arial" w:eastAsia="Arial" w:hAnsi="Arial"/>
          <w:b/>
          <w:bCs/>
          <w:color w:val="1E40AF"/>
          <w:sz w:val="28"/>
          <w:szCs w:val="28"/>
        </w:rPr>
        <w:t xml:space="preserve">2.1  ADWIN (ADaptive WINdowing) for Stream Monitoring</w:t>
      </w:r>
    </w:p>
    <w:p>
      <w:pPr>
        <w:spacing w:before="80" w:after="120"/>
        <w:jc w:val="both"/>
      </w:pPr>
      <w:r>
        <w:rPr>
          <w:rFonts w:ascii="Arial" w:cs="Arial" w:eastAsia="Arial" w:hAnsi="Arial"/>
          <w:sz w:val="22"/>
          <w:szCs w:val="22"/>
        </w:rPr>
        <w:t xml:space="preserve">ADWIN (Bifet &amp; Gavalda, 2007) maintains a variable-length window over a stream of scalar values and detects a change point when the means of two sub-windows differ by more than a statistically significant threshold.</w:t>
      </w:r>
    </w:p>
    <w:p>
      <w:pPr>
        <w:spacing w:before="80" w:after="120"/>
        <w:jc w:val="both"/>
      </w:pPr>
      <w:r>
        <w:rPr>
          <w:rFonts w:ascii="Arial" w:cs="Arial" w:eastAsia="Arial" w:hAnsi="Arial"/>
          <w:b/>
          <w:bCs/>
          <w:sz w:val="22"/>
          <w:szCs w:val="22"/>
        </w:rPr>
        <w:t xml:space="preserve">Formal definition:</w:t>
      </w:r>
      <w:r>
        <w:rPr>
          <w:rFonts w:ascii="Arial" w:cs="Arial" w:eastAsia="Arial" w:hAnsi="Arial"/>
          <w:sz w:val="22"/>
          <w:szCs w:val="22"/>
        </w:rPr>
        <w:t xml:space="preserve"> Let x_1, x_2, ..., x_t be a stream of observations. ADWIN maintains a window W of recent observations. It finds the optimal cut point t* that maximises the evidence of a distribution change: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detect_drift = True  if  |mu_{W_0} - mu_{W_1}| &gt;= epsilon_cut</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epsilon_cut = sqrt( (1 / (2*m)) * ln(4*t*|W|/delta) )</w:t>
      </w:r>
    </w:p>
    <w:p>
      <w:pPr>
        <w:spacing w:before="80" w:after="120"/>
        <w:jc w:val="both"/>
      </w:pPr>
      <w:r>
        <w:rPr>
          <w:rFonts w:ascii="Arial" w:cs="Arial" w:eastAsia="Arial" w:hAnsi="Arial"/>
          <w:sz w:val="22"/>
          <w:szCs w:val="22"/>
        </w:rPr>
        <w:t xml:space="preserve">where m = |W_0|*|W_1| / (|W_0|+|W_1|) is the harmonic mean of the two sub-window sizes, t is the total number of observations seen, and delta is the confidence parameter (set to 0.002 for cybersecurity-grade sensitivity).</w:t>
      </w:r>
    </w:p>
    <w:p>
      <w:pPr>
        <w:spacing w:before="80" w:after="120"/>
        <w:jc w:val="both"/>
      </w:pPr>
      <w:r>
        <w:rPr>
          <w:rFonts w:ascii="Arial" w:cs="Arial" w:eastAsia="Arial" w:hAnsi="Arial"/>
          <w:b/>
          <w:bCs/>
          <w:sz w:val="22"/>
          <w:szCs w:val="22"/>
        </w:rPr>
        <w:t xml:space="preserve">What we monitor with ADWIN:</w:t>
      </w:r>
      <w:r>
        <w:rPr>
          <w:rFonts w:ascii="Arial" w:cs="Arial" w:eastAsia="Arial" w:hAnsi="Arial"/>
          <w:sz w:val="22"/>
          <w:szCs w:val="22"/>
        </w:rPr>
        <w:t xml:space="preserve"> We run one ADWIN instance per feature dimension, monitoring the rolling statistics of each of the 8 flow features and 16 temporal features. A drift alarm is triggered if any feature dimension shows statistically significant mean shift.</w:t>
      </w:r>
    </w:p>
    <w:p>
      <w:pPr>
        <w:pStyle w:val="Heading2"/>
        <w:spacing w:before="360" w:after="160"/>
      </w:pPr>
      <w:r>
        <w:rPr>
          <w:rFonts w:ascii="Arial" w:cs="Arial" w:eastAsia="Arial" w:hAnsi="Arial"/>
          <w:b/>
          <w:bCs/>
          <w:color w:val="1E40AF"/>
          <w:sz w:val="28"/>
          <w:szCs w:val="28"/>
        </w:rPr>
        <w:t xml:space="preserve">2.2  MMD-based Distribution Drift</w:t>
      </w:r>
    </w:p>
    <w:p>
      <w:pPr>
        <w:spacing w:before="80" w:after="120"/>
        <w:jc w:val="both"/>
      </w:pPr>
      <w:r>
        <w:rPr>
          <w:rFonts w:ascii="Arial" w:cs="Arial" w:eastAsia="Arial" w:hAnsi="Arial"/>
          <w:sz w:val="22"/>
          <w:szCs w:val="22"/>
        </w:rPr>
        <w:t xml:space="preserve">For detecting drift in the high-dimensional embedding space (where ADWIN is impractical), we use Maximum Mean Discrepancy (MMD), a kernel-based statistical test that measures the distance between two distributions without requiring density estimation.</w:t>
      </w:r>
    </w:p>
    <w:p>
      <w:pPr>
        <w:spacing w:before="80" w:after="120"/>
        <w:jc w:val="both"/>
      </w:pPr>
      <w:r>
        <w:rPr>
          <w:rFonts w:ascii="Arial" w:cs="Arial" w:eastAsia="Arial" w:hAnsi="Arial"/>
          <w:b/>
          <w:bCs/>
          <w:sz w:val="22"/>
          <w:szCs w:val="22"/>
        </w:rPr>
        <w:t xml:space="preserve">Definition:</w:t>
      </w:r>
      <w:r>
        <w:rPr>
          <w:rFonts w:ascii="Arial" w:cs="Arial" w:eastAsia="Arial" w:hAnsi="Arial"/>
          <w:sz w:val="22"/>
          <w:szCs w:val="22"/>
        </w:rPr>
        <w:t xml:space="preserve"> Given a reference batch X_ref (from training data) and a current batch X_cur (from live data), MMD^2 is: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MMD^2(X_ref, X_cur) = E_{x,x'}[k(x,x')] - 2*E_{x,z}[k(x,z)] + E_{z,z'}[k(z,z')]</w:t>
      </w:r>
    </w:p>
    <w:p>
      <w:pPr>
        <w:spacing w:before="80" w:after="120"/>
        <w:jc w:val="both"/>
      </w:pPr>
      <w:r>
        <w:rPr>
          <w:rFonts w:ascii="Arial" w:cs="Arial" w:eastAsia="Arial" w:hAnsi="Arial"/>
          <w:sz w:val="22"/>
          <w:szCs w:val="22"/>
        </w:rPr>
        <w:t xml:space="preserve">where k is the RBF kernel k(x,y) = exp(-||x-y||^2 / (2*sigma^2)) and sigma is the median pairwise distance (median heuristic).</w:t>
      </w:r>
    </w:p>
    <w:p>
      <w:pPr>
        <w:spacing w:before="80" w:after="120"/>
        <w:jc w:val="both"/>
      </w:pPr>
      <w:r>
        <w:rPr>
          <w:rFonts w:ascii="Arial" w:cs="Arial" w:eastAsia="Arial" w:hAnsi="Arial"/>
          <w:b/>
          <w:bCs/>
          <w:sz w:val="22"/>
          <w:szCs w:val="22"/>
        </w:rPr>
        <w:t xml:space="preserve">In practice:</w:t>
      </w:r>
      <w:r>
        <w:rPr>
          <w:rFonts w:ascii="Arial" w:cs="Arial" w:eastAsia="Arial" w:hAnsi="Arial"/>
          <w:sz w:val="22"/>
          <w:szCs w:val="22"/>
        </w:rPr>
        <w:t xml:space="preserve"> We compute MMD^2 between batches of flow embeddings h_f^{(2)} from a reference window (last 10,000 flows from training) and the current live window (last 10,000 live flows). If MMD^2 &gt; threshold (set using a permutation test at significance 0.01), drift is detected.</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drift_detected = True  if  MMD^2(X_ref, X_cur) &gt; tau_MMD</w:t>
      </w:r>
    </w:p>
    <w:p>
      <w:pPr>
        <w:pStyle w:val="Heading2"/>
        <w:spacing w:before="360" w:after="160"/>
      </w:pPr>
      <w:r>
        <w:rPr>
          <w:rFonts w:ascii="Arial" w:cs="Arial" w:eastAsia="Arial" w:hAnsi="Arial"/>
          <w:b/>
          <w:bCs/>
          <w:color w:val="1E40AF"/>
          <w:sz w:val="28"/>
          <w:szCs w:val="28"/>
        </w:rPr>
        <w:t xml:space="preserve">2.3  Confidence Distribution Monitoring</w:t>
      </w:r>
    </w:p>
    <w:p>
      <w:pPr>
        <w:spacing w:before="80" w:after="120"/>
        <w:jc w:val="both"/>
      </w:pPr>
      <w:r>
        <w:rPr>
          <w:rFonts w:ascii="Arial" w:cs="Arial" w:eastAsia="Arial" w:hAnsi="Arial"/>
          <w:sz w:val="22"/>
          <w:szCs w:val="22"/>
        </w:rPr>
        <w:t xml:space="preserve">A simpler but effective signal: track the distribution of the model's maximum softmax confidence over time. Under normal operation, this distribution is stable. When the model encounters out-of-distribution data, mean confidence drops.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C_t = max_c softmax(logits_t)_c       confidence at time step t</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drift_signal = (1/W) * SUM_{i=t-W}^{t} C_i  &lt; tau_conf</w:t>
      </w:r>
    </w:p>
    <w:p>
      <w:pPr>
        <w:spacing w:before="80" w:after="120"/>
        <w:jc w:val="both"/>
      </w:pPr>
      <w:r>
        <w:rPr>
          <w:rFonts w:ascii="Arial" w:cs="Arial" w:eastAsia="Arial" w:hAnsi="Arial"/>
          <w:sz w:val="22"/>
          <w:szCs w:val="22"/>
        </w:rPr>
        <w:t xml:space="preserve">where W is a rolling window of 1000 flows and tau_conf is calibrated to the 5th percentile of training confidence values.</w:t>
      </w:r>
    </w:p>
    <w:p>
      <w:pPr>
        <w:pStyle w:val="Heading2"/>
        <w:spacing w:before="360" w:after="160"/>
      </w:pPr>
      <w:r>
        <w:rPr>
          <w:rFonts w:ascii="Arial" w:cs="Arial" w:eastAsia="Arial" w:hAnsi="Arial"/>
          <w:b/>
          <w:bCs/>
          <w:color w:val="1E40AF"/>
          <w:sz w:val="28"/>
          <w:szCs w:val="28"/>
        </w:rPr>
        <w:t xml:space="preserve">2.4  Drift Response Protocol</w:t>
      </w:r>
    </w:p>
    <w:p>
      <w:pPr>
        <w:spacing w:before="80" w:after="120"/>
        <w:jc w:val="both"/>
      </w:pPr>
      <w:r>
        <w:rPr>
          <w:rFonts w:ascii="Arial" w:cs="Arial" w:eastAsia="Arial" w:hAnsi="Arial"/>
          <w:sz w:val="22"/>
          <w:szCs w:val="22"/>
        </w:rPr>
        <w:t xml:space="preserve">When drift is detected, the system executes a tiered response rather than immediately retraining (which is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Drift Level</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Trigger Condition</w:t>
            </w:r>
          </w:p>
        </w:tc>
        <w:tc>
          <w:tcPr>
            <w:tcW w:type="dxa" w:w="4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Level 1 — Warning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 feature ADWIN alarm OR confidence drop &gt; 10%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Increase logging verbosity. Flag flows for analyst review.</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Level 2 — Caution</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3+ feature ADWIN alarms OR MMD^2 significant</w:t>
            </w:r>
          </w:p>
        </w:tc>
        <w:tc>
          <w:tcPr>
            <w:tcW w:type="dxa" w:w="4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Switch to teacher HGNN (from student MLP). Alert SOC.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Level 3 — Critical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MMD^2 &gt; 2*tau_MMD OR confidence drop &gt; 30%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Trigger selective retraining on flagged recent flows. Pause automated response.</w:t>
            </w:r>
          </w:p>
        </w:tc>
      </w:tr>
      <w:tr>
        <w:tc>
          <w:tcPr>
            <w:tcW w:type="dxa" w:w="1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Level 4 — Emergency</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All monitors alarming simultaneously</w:t>
            </w:r>
          </w:p>
        </w:tc>
        <w:tc>
          <w:tcPr>
            <w:tcW w:type="dxa" w:w="4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Freeze automated response. Require human analyst on all decisions.</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2.5  Selective Retraining</w:t>
      </w:r>
    </w:p>
    <w:p>
      <w:pPr>
        <w:spacing w:before="80" w:after="120"/>
        <w:jc w:val="both"/>
      </w:pPr>
      <w:r>
        <w:rPr>
          <w:rFonts w:ascii="Arial" w:cs="Arial" w:eastAsia="Arial" w:hAnsi="Arial"/>
          <w:sz w:val="22"/>
          <w:szCs w:val="22"/>
        </w:rPr>
        <w:t xml:space="preserve">When Level 3 drift is detected, we do not retrain the entire model from scratch. Instead, we use Elastic Weight Consolidation (EWC) to update weights while protecting knowledge of previously learned classes: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L_EWC = L_task(theta) + (lambda/2) * SUM_i F_i * (theta_i - theta_i*)^2</w:t>
      </w:r>
    </w:p>
    <w:p>
      <w:pPr>
        <w:spacing w:before="80" w:after="120"/>
        <w:jc w:val="both"/>
      </w:pPr>
      <w:r>
        <w:rPr>
          <w:rFonts w:ascii="Arial" w:cs="Arial" w:eastAsia="Arial" w:hAnsi="Arial"/>
          <w:sz w:val="22"/>
          <w:szCs w:val="22"/>
        </w:rPr>
        <w:t xml:space="preserve">where theta_i* are the parameters after the previous training run, F_i is the Fisher information matrix diagonal (importance of parameter i to previously learned tasks), and lambda controls the plasticity-stability trade-off (set to 400). This allows the model to learn new attack patterns without catastrophically forgetting old ones.</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Extension 3: Attack Campaign Correlation via Temporal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C2626" w:sz="1"/>
              <w:left w:val="single" w:color="DC2626" w:sz="1"/>
              <w:bottom w:val="single" w:color="DC2626" w:sz="1"/>
              <w:right w:val="single" w:color="DC2626" w:sz="1"/>
            </w:tcBorders>
            <w:shd w:fill="DC262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WHY</w:t>
            </w:r>
          </w:p>
        </w:tc>
        <w:tc>
          <w:tcPr>
            <w:tcW w:type="dxa" w:w="7760"/>
            <w:tcBorders>
              <w:top w:val="single" w:color="DC2626" w:sz="1"/>
              <w:left w:val="single" w:color="DC2626" w:sz="1"/>
              <w:bottom w:val="single" w:color="DC2626" w:sz="1"/>
              <w:right w:val="single" w:color="DC2626" w:sz="1"/>
            </w:tcBorders>
            <w:shd w:fill="FAFAFA" w:val="clear"/>
            <w:tcMar>
              <w:top w:type="dxa" w:w="120"/>
              <w:left w:type="dxa" w:w="180"/>
              <w:bottom w:type="dxa" w:w="120"/>
              <w:right w:type="dxa" w:w="140"/>
            </w:tcMar>
          </w:tcPr>
          <w:p>
            <w:r>
              <w:rPr>
                <w:rFonts w:ascii="Arial" w:cs="Arial" w:eastAsia="Arial" w:hAnsi="Arial"/>
                <w:i/>
                <w:iCs/>
                <w:color w:val="475569"/>
                <w:sz w:val="20"/>
                <w:szCs w:val="20"/>
              </w:rPr>
              <w:t xml:space="preserve">Individual flows are not attacks — campaigns are. A real intrusion follows a kill chain: Reconnaissance → Exploitation → Lateral Movement → Data Exfiltration. Each stage looks different and may look benign in isolation. Only by linking flows across time through shared entity identity can we detect the full campaign.</w:t>
            </w:r>
          </w:p>
        </w:tc>
      </w:tr>
    </w:tbl>
    <w:p>
      <w:pPr>
        <w:spacing w:before="80" w:after="80"/>
      </w:pPr>
      <w:r>
        <w:t xml:space="preserve"/>
      </w:r>
    </w:p>
    <w:p>
      <w:pPr>
        <w:spacing w:before="80" w:after="120"/>
        <w:jc w:val="both"/>
      </w:pPr>
      <w:r>
        <w:rPr>
          <w:rFonts w:ascii="Arial" w:cs="Arial" w:eastAsia="Arial" w:hAnsi="Arial"/>
          <w:sz w:val="22"/>
          <w:szCs w:val="22"/>
        </w:rPr>
        <w:t xml:space="preserve">This is the most mathematically novel extension. We extend the static per-flow heterogeneous graph into a </w:t>
      </w:r>
      <w:r>
        <w:rPr>
          <w:rFonts w:ascii="Arial" w:cs="Arial" w:eastAsia="Arial" w:hAnsi="Arial"/>
          <w:b/>
          <w:bCs/>
          <w:sz w:val="22"/>
          <w:szCs w:val="22"/>
        </w:rPr>
        <w:t xml:space="preserve">Temporal Heterogeneous Graph</w:t>
      </w:r>
      <w:r>
        <w:rPr>
          <w:rFonts w:ascii="Arial" w:cs="Arial" w:eastAsia="Arial" w:hAnsi="Arial"/>
          <w:sz w:val="22"/>
          <w:szCs w:val="22"/>
        </w:rPr>
        <w:t xml:space="preserve"> where entity nodes persist across time windows and accumulate a memory of past behaviours. This enables the model to detect multi-stage attack campaigns that span minutes, hours, or even days.</w:t>
      </w:r>
    </w:p>
    <w:p>
      <w:pPr>
        <w:pStyle w:val="Heading2"/>
        <w:spacing w:before="360" w:after="160"/>
      </w:pPr>
      <w:r>
        <w:rPr>
          <w:rFonts w:ascii="Arial" w:cs="Arial" w:eastAsia="Arial" w:hAnsi="Arial"/>
          <w:b/>
          <w:bCs/>
          <w:color w:val="1E40AF"/>
          <w:sz w:val="28"/>
          <w:szCs w:val="28"/>
        </w:rPr>
        <w:t xml:space="preserve">3.1  Temporal Graph Formulation</w:t>
      </w:r>
    </w:p>
    <w:p>
      <w:pPr>
        <w:spacing w:before="80" w:after="120"/>
        <w:jc w:val="both"/>
      </w:pPr>
      <w:r>
        <w:rPr>
          <w:rFonts w:ascii="Arial" w:cs="Arial" w:eastAsia="Arial" w:hAnsi="Arial"/>
          <w:sz w:val="22"/>
          <w:szCs w:val="22"/>
        </w:rPr>
        <w:t xml:space="preserve">Define a sequence of graph snapshots G = {G_1, G_2, ..., G_T} where each G_t = (V_t, E_t) is the flow graph within time window t (window size delta_t = 5 minutes). The entity nodes V_e are </w:t>
      </w:r>
      <w:r>
        <w:rPr>
          <w:rFonts w:ascii="Arial" w:cs="Arial" w:eastAsia="Arial" w:hAnsi="Arial"/>
          <w:b/>
          <w:bCs/>
          <w:sz w:val="22"/>
          <w:szCs w:val="22"/>
        </w:rPr>
        <w:t xml:space="preserve">shared across all snapshots</w:t>
      </w:r>
      <w:r>
        <w:rPr>
          <w:rFonts w:ascii="Arial" w:cs="Arial" w:eastAsia="Arial" w:hAnsi="Arial"/>
          <w:sz w:val="22"/>
          <w:szCs w:val="22"/>
        </w:rPr>
        <w:t xml:space="preserve"> — the same IP address entity node exists in every time window it appears in, carrying state forward.</w:t>
      </w:r>
    </w:p>
    <w:p>
      <w:pPr>
        <w:spacing w:before="80" w:after="120"/>
        <w:jc w:val="both"/>
      </w:pPr>
      <w:r>
        <w:rPr>
          <w:rFonts w:ascii="Arial" w:cs="Arial" w:eastAsia="Arial" w:hAnsi="Arial"/>
          <w:b/>
          <w:bCs/>
          <w:sz w:val="22"/>
          <w:szCs w:val="22"/>
        </w:rPr>
        <w:t xml:space="preserve">Temporal edges:</w:t>
      </w:r>
      <w:r>
        <w:rPr>
          <w:rFonts w:ascii="Arial" w:cs="Arial" w:eastAsia="Arial" w:hAnsi="Arial"/>
          <w:sz w:val="22"/>
          <w:szCs w:val="22"/>
        </w:rPr>
        <w:t xml:space="preserve"> In addition to the four base edge types (sends, targets, contain, link), we add a fifth edge type: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E_temporal = { (v_e^{t-1}, v_e^t) | v_e appears in both G_{t-1} and G_t }</w:t>
      </w:r>
    </w:p>
    <w:p>
      <w:pPr>
        <w:spacing w:before="80" w:after="120"/>
        <w:jc w:val="both"/>
      </w:pPr>
      <w:r>
        <w:rPr>
          <w:rFonts w:ascii="Arial" w:cs="Arial" w:eastAsia="Arial" w:hAnsi="Arial"/>
          <w:sz w:val="22"/>
          <w:szCs w:val="22"/>
        </w:rPr>
        <w:t xml:space="preserve">These temporal edges connect each entity node to its own representation in the previous time window, allowing gradient to flow backward through time during training.</w:t>
      </w:r>
    </w:p>
    <w:p>
      <w:pPr>
        <w:pStyle w:val="Heading2"/>
        <w:spacing w:before="360" w:after="160"/>
      </w:pPr>
      <w:r>
        <w:rPr>
          <w:rFonts w:ascii="Arial" w:cs="Arial" w:eastAsia="Arial" w:hAnsi="Arial"/>
          <w:b/>
          <w:bCs/>
          <w:color w:val="1E40AF"/>
          <w:sz w:val="28"/>
          <w:szCs w:val="28"/>
        </w:rPr>
        <w:t xml:space="preserve">3.2  Entity Memory with Gated Recurrent Units</w:t>
      </w:r>
    </w:p>
    <w:p>
      <w:pPr>
        <w:spacing w:before="80" w:after="120"/>
        <w:jc w:val="both"/>
      </w:pPr>
      <w:r>
        <w:rPr>
          <w:rFonts w:ascii="Arial" w:cs="Arial" w:eastAsia="Arial" w:hAnsi="Arial"/>
          <w:sz w:val="22"/>
          <w:szCs w:val="22"/>
        </w:rPr>
        <w:t xml:space="preserve">Each entity node v_e carries a hidden state h_e^t that summarises its observed behaviour up to time t. This hidden state is updated using a Gated Recurrent Unit (GRU) at each time step:</w:t>
      </w:r>
    </w:p>
    <w:p>
      <w:pPr>
        <w:spacing w:before="80" w:after="120"/>
        <w:jc w:val="both"/>
      </w:pPr>
      <w:r>
        <w:rPr>
          <w:rFonts w:ascii="Arial" w:cs="Arial" w:eastAsia="Arial" w:hAnsi="Arial"/>
          <w:b/>
          <w:bCs/>
          <w:sz w:val="22"/>
          <w:szCs w:val="22"/>
        </w:rPr>
        <w:t xml:space="preserve">Update gate:</w:t>
      </w:r>
      <w:r>
        <w:rPr>
          <w:rFonts w:ascii="Arial" w:cs="Arial" w:eastAsia="Arial" w:hAnsi="Arial"/>
          <w:sz w:val="22"/>
          <w:szCs w:val="22"/>
        </w:rPr>
        <w:t xml:space="preserve"> Controls how much of the previous state to retain: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z_t = sigma( W_z * concat[h_e^{t-1}, x_e^t] + b_z )</w:t>
      </w:r>
    </w:p>
    <w:p>
      <w:pPr>
        <w:spacing w:before="80" w:after="120"/>
        <w:jc w:val="both"/>
      </w:pPr>
      <w:r>
        <w:rPr>
          <w:rFonts w:ascii="Arial" w:cs="Arial" w:eastAsia="Arial" w:hAnsi="Arial"/>
          <w:b/>
          <w:bCs/>
          <w:sz w:val="22"/>
          <w:szCs w:val="22"/>
        </w:rPr>
        <w:t xml:space="preserve">Reset gate:</w:t>
      </w:r>
      <w:r>
        <w:rPr>
          <w:rFonts w:ascii="Arial" w:cs="Arial" w:eastAsia="Arial" w:hAnsi="Arial"/>
          <w:sz w:val="22"/>
          <w:szCs w:val="22"/>
        </w:rPr>
        <w:t xml:space="preserve"> Controls how much past memory to forget:</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r_t = sigma( W_r * concat[h_e^{t-1}, x_e^t] + b_r )</w:t>
      </w:r>
    </w:p>
    <w:p>
      <w:pPr>
        <w:spacing w:before="80" w:after="120"/>
        <w:jc w:val="both"/>
      </w:pPr>
      <w:r>
        <w:rPr>
          <w:rFonts w:ascii="Arial" w:cs="Arial" w:eastAsia="Arial" w:hAnsi="Arial"/>
          <w:b/>
          <w:bCs/>
          <w:sz w:val="22"/>
          <w:szCs w:val="22"/>
        </w:rPr>
        <w:t xml:space="preserve">Candidate hidden state:</w:t>
      </w:r>
      <w:r>
        <w:rPr>
          <w:rFonts w:ascii="Arial" w:cs="Arial" w:eastAsia="Arial" w:hAnsi="Arial"/>
          <w:sz w:val="22"/>
          <w:szCs w:val="22"/>
        </w:rPr>
        <w:t xml:space="preserve"> New information from current time step:</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h_tilde_t = tanh( W_h * concat[r_t * h_e^{t-1}, x_e^t] + b_h )</w:t>
      </w:r>
    </w:p>
    <w:p>
      <w:pPr>
        <w:spacing w:before="80" w:after="120"/>
        <w:jc w:val="both"/>
      </w:pPr>
      <w:r>
        <w:rPr>
          <w:rFonts w:ascii="Arial" w:cs="Arial" w:eastAsia="Arial" w:hAnsi="Arial"/>
          <w:b/>
          <w:bCs/>
          <w:sz w:val="22"/>
          <w:szCs w:val="22"/>
        </w:rPr>
        <w:t xml:space="preserve">Updated entity state:</w:t>
      </w:r>
      <w:r>
        <w:rPr>
          <w:rFonts w:ascii="Arial" w:cs="Arial" w:eastAsia="Arial" w:hAnsi="Arial"/>
          <w:sz w:val="22"/>
          <w:szCs w:val="22"/>
        </w:rPr>
        <w:t xml:space="preserve"> Interpolation between old and new:</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h_e^t = (1 - z_t) * h_e^{t-1}  +  z_t * h_tilde_t</w:t>
      </w:r>
    </w:p>
    <w:p>
      <w:pPr>
        <w:spacing w:before="80" w:after="120"/>
        <w:jc w:val="both"/>
      </w:pPr>
      <w:r>
        <w:rPr>
          <w:rFonts w:ascii="Arial" w:cs="Arial" w:eastAsia="Arial" w:hAnsi="Arial"/>
          <w:sz w:val="22"/>
          <w:szCs w:val="22"/>
        </w:rPr>
        <w:t xml:space="preserve">where x_e^t is the aggregated neighbourhood embedding of entity e at time t from the spatial HGNN, and sigma is sigmoid. The GRU parameters W_z, W_r, W_h, b_z, b_r, b_h are shared across all entities and all time steps.</w:t>
      </w:r>
    </w:p>
    <w:p>
      <w:pPr>
        <w:pStyle w:val="Heading2"/>
        <w:spacing w:before="360" w:after="160"/>
      </w:pPr>
      <w:r>
        <w:rPr>
          <w:rFonts w:ascii="Arial" w:cs="Arial" w:eastAsia="Arial" w:hAnsi="Arial"/>
          <w:b/>
          <w:bCs/>
          <w:color w:val="1E40AF"/>
          <w:sz w:val="28"/>
          <w:szCs w:val="28"/>
        </w:rPr>
        <w:t xml:space="preserve">3.3  Campaign Scoring</w:t>
      </w:r>
    </w:p>
    <w:p>
      <w:pPr>
        <w:spacing w:before="80" w:after="120"/>
        <w:jc w:val="both"/>
      </w:pPr>
      <w:r>
        <w:rPr>
          <w:rFonts w:ascii="Arial" w:cs="Arial" w:eastAsia="Arial" w:hAnsi="Arial"/>
          <w:sz w:val="22"/>
          <w:szCs w:val="22"/>
        </w:rPr>
        <w:t xml:space="preserve">A </w:t>
      </w:r>
      <w:r>
        <w:rPr>
          <w:rFonts w:ascii="Arial" w:cs="Arial" w:eastAsia="Arial" w:hAnsi="Arial"/>
          <w:b/>
          <w:bCs/>
          <w:sz w:val="22"/>
          <w:szCs w:val="22"/>
        </w:rPr>
        <w:t xml:space="preserve">campaign</w:t>
      </w:r>
      <w:r>
        <w:rPr>
          <w:rFonts w:ascii="Arial" w:cs="Arial" w:eastAsia="Arial" w:hAnsi="Arial"/>
          <w:sz w:val="22"/>
          <w:szCs w:val="22"/>
        </w:rPr>
        <w:t xml:space="preserve"> is a sequence of flows attributed to the same source entity across multiple time windows, following a pattern consistent with a known attack kill chain. We define a campaign score for entity e at time T as: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Campaign_score(e, T) = W_campaign * h_e^T + b_campaign</w:t>
      </w:r>
    </w:p>
    <w:p>
      <w:pPr>
        <w:spacing w:before="80" w:after="120"/>
        <w:jc w:val="both"/>
      </w:pPr>
      <w:r>
        <w:rPr>
          <w:rFonts w:ascii="Arial" w:cs="Arial" w:eastAsia="Arial" w:hAnsi="Arial"/>
          <w:sz w:val="22"/>
          <w:szCs w:val="22"/>
        </w:rPr>
        <w:t xml:space="preserve">where W_campaign and b_campaign are learnable parameters trained with a campaign-level supervision signal (sequences of flows from the same attacker entity labeled as a campaign).</w:t>
      </w:r>
    </w:p>
    <w:p>
      <w:pPr>
        <w:spacing w:before="80" w:after="120"/>
        <w:jc w:val="both"/>
      </w:pPr>
      <w:r>
        <w:rPr>
          <w:rFonts w:ascii="Arial" w:cs="Arial" w:eastAsia="Arial" w:hAnsi="Arial"/>
          <w:b/>
          <w:bCs/>
          <w:sz w:val="22"/>
          <w:szCs w:val="22"/>
        </w:rPr>
        <w:t xml:space="preserve">Kill chain alignment:</w:t>
      </w:r>
      <w:r>
        <w:rPr>
          <w:rFonts w:ascii="Arial" w:cs="Arial" w:eastAsia="Arial" w:hAnsi="Arial"/>
          <w:sz w:val="22"/>
          <w:szCs w:val="22"/>
        </w:rPr>
        <w:t xml:space="preserve"> We encode the MITRE ATT&amp;CK kill chain phases as learned vectors k_1, ..., k_K (one per tactic). The campaign is detected when the sequence of flow predictions aligns with a monotonically progressing kill chain: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alignment_score = SUM_{t=1}^{T} sim( h_e^t, k_{phase(t)}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sim(a, b) = a^T b / (||a|| * ||b||)     cosine similarity</w:t>
      </w:r>
    </w:p>
    <w:p>
      <w:pPr>
        <w:spacing w:before="80" w:after="120"/>
        <w:jc w:val="both"/>
      </w:pPr>
      <w:r>
        <w:rPr>
          <w:rFonts w:ascii="Arial" w:cs="Arial" w:eastAsia="Arial" w:hAnsi="Arial"/>
          <w:sz w:val="22"/>
          <w:szCs w:val="22"/>
        </w:rPr>
        <w:t xml:space="preserve">If alignment_score exceeds a learned threshold, a multi-stage attack campaign alert is raised, linking all involved flows under one incident ID.</w:t>
      </w:r>
    </w:p>
    <w:p>
      <w:pPr>
        <w:pStyle w:val="Heading2"/>
        <w:spacing w:before="360" w:after="160"/>
      </w:pPr>
      <w:r>
        <w:rPr>
          <w:rFonts w:ascii="Arial" w:cs="Arial" w:eastAsia="Arial" w:hAnsi="Arial"/>
          <w:b/>
          <w:bCs/>
          <w:color w:val="1E40AF"/>
          <w:sz w:val="28"/>
          <w:szCs w:val="28"/>
        </w:rPr>
        <w:t xml:space="preserve">3.4  Temporal Graph Construction Algorithm</w:t>
      </w:r>
    </w:p>
    <w:p>
      <w:pPr>
        <w:pStyle w:val="ListParagraph"/>
        <w:numPr>
          <w:ilvl w:val="0"/>
          <w:numId w:val="2"/>
        </w:numPr>
        <w:spacing w:before="60" w:after="60"/>
      </w:pPr>
      <w:r>
        <w:rPr>
          <w:rFonts w:ascii="Arial" w:cs="Arial" w:eastAsia="Arial" w:hAnsi="Arial"/>
          <w:sz w:val="22"/>
          <w:szCs w:val="22"/>
        </w:rPr>
        <w:t xml:space="preserve">Maintain a global entity registry mapping each unique IP to its current GRU hidden state h_e^t, initialised to zero.</w:t>
      </w:r>
    </w:p>
    <w:p>
      <w:pPr>
        <w:pStyle w:val="ListParagraph"/>
        <w:numPr>
          <w:ilvl w:val="0"/>
          <w:numId w:val="2"/>
        </w:numPr>
        <w:spacing w:before="60" w:after="60"/>
      </w:pPr>
      <w:r>
        <w:rPr>
          <w:rFonts w:ascii="Arial" w:cs="Arial" w:eastAsia="Arial" w:hAnsi="Arial"/>
          <w:sz w:val="22"/>
          <w:szCs w:val="22"/>
        </w:rPr>
        <w:t xml:space="preserve">At each time window boundary (every delta_t = 5 minutes), finalise the snapshot graph G_t.</w:t>
      </w:r>
    </w:p>
    <w:p>
      <w:pPr>
        <w:pStyle w:val="ListParagraph"/>
        <w:numPr>
          <w:ilvl w:val="0"/>
          <w:numId w:val="2"/>
        </w:numPr>
        <w:spacing w:before="60" w:after="60"/>
      </w:pPr>
      <w:r>
        <w:rPr>
          <w:rFonts w:ascii="Arial" w:cs="Arial" w:eastAsia="Arial" w:hAnsi="Arial"/>
          <w:sz w:val="22"/>
          <w:szCs w:val="22"/>
        </w:rPr>
        <w:t xml:space="preserve">Run the spatial HGNN on G_t to produce flow predictions and entity neighbourhood embeddings x_e^t.</w:t>
      </w:r>
    </w:p>
    <w:p>
      <w:pPr>
        <w:pStyle w:val="ListParagraph"/>
        <w:numPr>
          <w:ilvl w:val="0"/>
          <w:numId w:val="2"/>
        </w:numPr>
        <w:spacing w:before="60" w:after="60"/>
      </w:pPr>
      <w:r>
        <w:rPr>
          <w:rFonts w:ascii="Arial" w:cs="Arial" w:eastAsia="Arial" w:hAnsi="Arial"/>
          <w:sz w:val="22"/>
          <w:szCs w:val="22"/>
        </w:rPr>
        <w:t xml:space="preserve">For each entity e that appeared in G_t, update its GRU state: h_e^t = GRU(h_e^{t-1}, x_e^t).</w:t>
      </w:r>
    </w:p>
    <w:p>
      <w:pPr>
        <w:pStyle w:val="ListParagraph"/>
        <w:numPr>
          <w:ilvl w:val="0"/>
          <w:numId w:val="2"/>
        </w:numPr>
        <w:spacing w:before="60" w:after="60"/>
      </w:pPr>
      <w:r>
        <w:rPr>
          <w:rFonts w:ascii="Arial" w:cs="Arial" w:eastAsia="Arial" w:hAnsi="Arial"/>
          <w:sz w:val="22"/>
          <w:szCs w:val="22"/>
        </w:rPr>
        <w:t xml:space="preserve">Add temporal edges from h_e^{t-1} to h_e^t in the graph for backpropagation.</w:t>
      </w:r>
    </w:p>
    <w:p>
      <w:pPr>
        <w:pStyle w:val="ListParagraph"/>
        <w:numPr>
          <w:ilvl w:val="0"/>
          <w:numId w:val="2"/>
        </w:numPr>
        <w:spacing w:before="60" w:after="60"/>
      </w:pPr>
      <w:r>
        <w:rPr>
          <w:rFonts w:ascii="Arial" w:cs="Arial" w:eastAsia="Arial" w:hAnsi="Arial"/>
          <w:sz w:val="22"/>
          <w:szCs w:val="22"/>
        </w:rPr>
        <w:t xml:space="preserve">Compute campaign scores for all entities active in the last K time windows.</w:t>
      </w:r>
    </w:p>
    <w:p>
      <w:pPr>
        <w:pStyle w:val="ListParagraph"/>
        <w:numPr>
          <w:ilvl w:val="0"/>
          <w:numId w:val="2"/>
        </w:numPr>
        <w:spacing w:before="60" w:after="60"/>
      </w:pPr>
      <w:r>
        <w:rPr>
          <w:rFonts w:ascii="Arial" w:cs="Arial" w:eastAsia="Arial" w:hAnsi="Arial"/>
          <w:sz w:val="22"/>
          <w:szCs w:val="22"/>
        </w:rPr>
        <w:t xml:space="preserve">Raise campaign alerts for entities exceeding the campaign threshold.</w:t>
      </w:r>
    </w:p>
    <w:p>
      <w:pPr>
        <w:spacing w:before="80" w:after="80"/>
      </w:pPr>
      <w:r>
        <w:t xml:space="preserve"/>
      </w:r>
    </w:p>
    <w:p>
      <w:pPr>
        <w:pStyle w:val="Heading2"/>
        <w:spacing w:before="360" w:after="160"/>
      </w:pPr>
      <w:r>
        <w:rPr>
          <w:rFonts w:ascii="Arial" w:cs="Arial" w:eastAsia="Arial" w:hAnsi="Arial"/>
          <w:b/>
          <w:bCs/>
          <w:color w:val="1E40AF"/>
          <w:sz w:val="28"/>
          <w:szCs w:val="28"/>
        </w:rPr>
        <w:t xml:space="preserve">3.5  Training the Temporal Model</w:t>
      </w:r>
    </w:p>
    <w:p>
      <w:pPr>
        <w:spacing w:before="80" w:after="120"/>
        <w:jc w:val="both"/>
      </w:pPr>
      <w:r>
        <w:rPr>
          <w:rFonts w:ascii="Arial" w:cs="Arial" w:eastAsia="Arial" w:hAnsi="Arial"/>
          <w:sz w:val="22"/>
          <w:szCs w:val="22"/>
        </w:rPr>
        <w:t xml:space="preserve">The temporal model is trained using </w:t>
      </w:r>
      <w:r>
        <w:rPr>
          <w:rFonts w:ascii="Arial" w:cs="Arial" w:eastAsia="Arial" w:hAnsi="Arial"/>
          <w:b/>
          <w:bCs/>
          <w:sz w:val="22"/>
          <w:szCs w:val="22"/>
        </w:rPr>
        <w:t xml:space="preserve">Backpropagation Through Time (BPTT)</w:t>
      </w:r>
      <w:r>
        <w:rPr>
          <w:rFonts w:ascii="Arial" w:cs="Arial" w:eastAsia="Arial" w:hAnsi="Arial"/>
          <w:sz w:val="22"/>
          <w:szCs w:val="22"/>
        </w:rPr>
        <w:t xml:space="preserve"> with truncated sequences of length K = 12 time windows (1 hour of traffic at 5-minute windows). The loss combines the per-flow classification loss from the spatial HGNN and a campaign-level binary cross-entropy loss: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L_temporal = L_spatial + beta * L_campaign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L_campaign = -SUM_e [ y_e * log(sigma(Campaign_score(e,T))) + (1-y_e)*log(1-sigma(...)) ]</w:t>
      </w:r>
    </w:p>
    <w:p>
      <w:pPr>
        <w:spacing w:before="80" w:after="120"/>
        <w:jc w:val="both"/>
      </w:pPr>
      <w:r>
        <w:rPr>
          <w:rFonts w:ascii="Arial" w:cs="Arial" w:eastAsia="Arial" w:hAnsi="Arial"/>
          <w:sz w:val="22"/>
          <w:szCs w:val="22"/>
        </w:rPr>
        <w:t xml:space="preserve">where y_e = 1 if entity e is a known attacker in the training data, and beta = 0.5 balances the two objectives. Gradient clipping at norm 1.0 is applied to prevent exploding gradients through the GRU.</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Extension 4: RAG-Enhanced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6D28D9" w:sz="1"/>
              <w:left w:val="single" w:color="6D28D9" w:sz="1"/>
              <w:bottom w:val="single" w:color="6D28D9" w:sz="1"/>
              <w:right w:val="single" w:color="6D28D9" w:sz="1"/>
            </w:tcBorders>
            <w:shd w:fill="6D28D9"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WHY</w:t>
            </w:r>
          </w:p>
        </w:tc>
        <w:tc>
          <w:tcPr>
            <w:tcW w:type="dxa" w:w="7760"/>
            <w:tcBorders>
              <w:top w:val="single" w:color="6D28D9" w:sz="1"/>
              <w:left w:val="single" w:color="6D28D9" w:sz="1"/>
              <w:bottom w:val="single" w:color="6D28D9" w:sz="1"/>
              <w:right w:val="single" w:color="6D28D9" w:sz="1"/>
            </w:tcBorders>
            <w:shd w:fill="FAFAFA" w:val="clear"/>
            <w:tcMar>
              <w:top w:type="dxa" w:w="120"/>
              <w:left w:type="dxa" w:w="180"/>
              <w:bottom w:type="dxa" w:w="120"/>
              <w:right w:type="dxa" w:w="140"/>
            </w:tcMar>
          </w:tcPr>
          <w:p>
            <w:r>
              <w:rPr>
                <w:rFonts w:ascii="Arial" w:cs="Arial" w:eastAsia="Arial" w:hAnsi="Arial"/>
                <w:i/>
                <w:iCs/>
                <w:color w:val="475569"/>
                <w:sz w:val="20"/>
                <w:szCs w:val="20"/>
              </w:rPr>
              <w:t xml:space="preserve">The base system's zero-shot LLM prompting generates generic explanations. A real analyst needs to know the specific CVE being exploited, the MITRE technique ID, the vendor patch link, and how their organisation's SOPs say to respond. RAG grounds the LLM in verified, specific, current knowledge.</w:t>
            </w:r>
          </w:p>
        </w:tc>
      </w:tr>
    </w:tbl>
    <w:p>
      <w:pPr>
        <w:spacing w:before="80" w:after="80"/>
      </w:pPr>
      <w:r>
        <w:t xml:space="preserve"/>
      </w:r>
    </w:p>
    <w:p>
      <w:pPr>
        <w:spacing w:before="80" w:after="120"/>
        <w:jc w:val="both"/>
      </w:pPr>
      <w:r>
        <w:rPr>
          <w:rFonts w:ascii="Arial" w:cs="Arial" w:eastAsia="Arial" w:hAnsi="Arial"/>
          <w:sz w:val="22"/>
          <w:szCs w:val="22"/>
        </w:rPr>
        <w:t xml:space="preserve">Retrieval-Augmented Generation (Lewis et al., 2020) augments the LLM's context window with retrieved documents from a curated knowledge base before generation. The retrieved context is specific, verifiable, and organisation-tailored — transforming generic explanations into actionable incident reports.</w:t>
      </w:r>
    </w:p>
    <w:p>
      <w:pPr>
        <w:pStyle w:val="Heading2"/>
        <w:spacing w:before="360" w:after="160"/>
      </w:pPr>
      <w:r>
        <w:rPr>
          <w:rFonts w:ascii="Arial" w:cs="Arial" w:eastAsia="Arial" w:hAnsi="Arial"/>
          <w:b/>
          <w:bCs/>
          <w:color w:val="1E40AF"/>
          <w:sz w:val="28"/>
          <w:szCs w:val="28"/>
        </w:rPr>
        <w:t xml:space="preserve">4.1  Knowledge Base Construction</w:t>
      </w:r>
    </w:p>
    <w:p>
      <w:pPr>
        <w:spacing w:before="80" w:after="120"/>
        <w:jc w:val="both"/>
      </w:pPr>
      <w:r>
        <w:rPr>
          <w:rFonts w:ascii="Arial" w:cs="Arial" w:eastAsia="Arial" w:hAnsi="Arial"/>
          <w:sz w:val="22"/>
          <w:szCs w:val="22"/>
        </w:rPr>
        <w:t xml:space="preserve">We build a multi-source knowledge base from four document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Update Frequency</w:t>
            </w:r>
          </w:p>
        </w:tc>
        <w:tc>
          <w:tcPr>
            <w:tcW w:type="dxa" w:w="2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Embedding Model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MITRE ATT&amp;CK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Tactics, techniques, procedure descriptions for 600+ techniques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sentence-transformers/all-MiniLM-L6-v2</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NVD CVE Database</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CVE descriptions, CVSS scores, affected products, patches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Daily (API)</w:t>
            </w:r>
          </w:p>
        </w:tc>
        <w:tc>
          <w:tcPr>
            <w:tcW w:type="dxa" w:w="2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Vendor Security Advisories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Cisco, Palo Alto, Fortinet advisories matching detected attack patterns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same</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Organisation SOPs</w:t>
            </w:r>
          </w:p>
        </w:tc>
        <w:tc>
          <w:tcPr>
            <w:tcW w:type="dxa" w:w="28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Local incident response procedures, escalation paths, contact lists</w:t>
            </w:r>
          </w:p>
        </w:tc>
        <w:tc>
          <w:tcPr>
            <w:tcW w:type="dxa" w:w="16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Manual update</w:t>
            </w:r>
          </w:p>
        </w:tc>
        <w:tc>
          <w:tcPr>
            <w:tcW w:type="dxa" w:w="2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same</w:t>
            </w:r>
          </w:p>
        </w:tc>
      </w:tr>
    </w:tbl>
    <w:p>
      <w:pPr>
        <w:spacing w:before="80" w:after="80"/>
      </w:pPr>
      <w:r>
        <w:t xml:space="preserve"/>
      </w:r>
    </w:p>
    <w:p>
      <w:pPr>
        <w:spacing w:before="80" w:after="120"/>
        <w:jc w:val="both"/>
      </w:pPr>
      <w:r>
        <w:rPr>
          <w:rFonts w:ascii="Arial" w:cs="Arial" w:eastAsia="Arial" w:hAnsi="Arial"/>
          <w:sz w:val="22"/>
          <w:szCs w:val="22"/>
        </w:rPr>
        <w:t xml:space="preserve">Each document is chunked into segments of ~512 tokens with 50-token overlap, embedded using the sentence-transformer model, and stored in a FAISS vector index for approximate nearest-neighbour retrieval:</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d_i = Embed(chunk_i)   in  R^{384}       for each document chunk i</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Index = FAISS.IndexFlatL2(d_i)            L2 distance index</w:t>
      </w:r>
    </w:p>
    <w:p>
      <w:pPr>
        <w:pStyle w:val="Heading2"/>
        <w:spacing w:before="360" w:after="160"/>
      </w:pPr>
      <w:r>
        <w:rPr>
          <w:rFonts w:ascii="Arial" w:cs="Arial" w:eastAsia="Arial" w:hAnsi="Arial"/>
          <w:b/>
          <w:bCs/>
          <w:color w:val="1E40AF"/>
          <w:sz w:val="28"/>
          <w:szCs w:val="28"/>
        </w:rPr>
        <w:t xml:space="preserve">4.2  Query Construction from Attribution</w:t>
      </w:r>
    </w:p>
    <w:p>
      <w:pPr>
        <w:spacing w:before="80" w:after="120"/>
        <w:jc w:val="both"/>
      </w:pPr>
      <w:r>
        <w:rPr>
          <w:rFonts w:ascii="Arial" w:cs="Arial" w:eastAsia="Arial" w:hAnsi="Arial"/>
          <w:sz w:val="22"/>
          <w:szCs w:val="22"/>
        </w:rPr>
        <w:t xml:space="preserve">The retrieval query is constructed from the Integrated Gradients output, not from the raw prediction. This ensures the retrieved documents are relevant to the specific features that drove the detection: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Q = Embed( concat[ attack_class_name, top_feature_names, top_payload_tokens ] )</w:t>
      </w:r>
    </w:p>
    <w:p>
      <w:pPr>
        <w:spacing w:before="80" w:after="120"/>
        <w:jc w:val="both"/>
      </w:pPr>
      <w:r>
        <w:rPr>
          <w:rFonts w:ascii="Arial" w:cs="Arial" w:eastAsia="Arial" w:hAnsi="Arial"/>
          <w:sz w:val="22"/>
          <w:szCs w:val="22"/>
        </w:rPr>
        <w:t xml:space="preserve">where top_feature_names are the names of the top-5 features by attribution magnitude, and top_payload_tokens are the ASCII-decoded top-K payload bytes.</w:t>
      </w:r>
    </w:p>
    <w:p>
      <w:pPr>
        <w:pStyle w:val="Heading2"/>
        <w:spacing w:before="360" w:after="160"/>
      </w:pPr>
      <w:r>
        <w:rPr>
          <w:rFonts w:ascii="Arial" w:cs="Arial" w:eastAsia="Arial" w:hAnsi="Arial"/>
          <w:b/>
          <w:bCs/>
          <w:color w:val="1E40AF"/>
          <w:sz w:val="28"/>
          <w:szCs w:val="28"/>
        </w:rPr>
        <w:t xml:space="preserve">4.3  Retrieval and Reranking</w:t>
      </w:r>
    </w:p>
    <w:p>
      <w:pPr>
        <w:spacing w:before="80" w:after="120"/>
        <w:jc w:val="both"/>
      </w:pPr>
      <w:r>
        <w:rPr>
          <w:rFonts w:ascii="Arial" w:cs="Arial" w:eastAsia="Arial" w:hAnsi="Arial"/>
          <w:sz w:val="22"/>
          <w:szCs w:val="22"/>
        </w:rPr>
        <w:t xml:space="preserve">We retrieve the top-20 candidate chunks from the FAISS index using approximate nearest-neighbour search:</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candidates = FAISS.search(Q, k=20)</w:t>
      </w:r>
    </w:p>
    <w:p>
      <w:pPr>
        <w:spacing w:before="80" w:after="120"/>
        <w:jc w:val="both"/>
      </w:pPr>
      <w:r>
        <w:rPr>
          <w:rFonts w:ascii="Arial" w:cs="Arial" w:eastAsia="Arial" w:hAnsi="Arial"/>
          <w:sz w:val="22"/>
          <w:szCs w:val="22"/>
        </w:rPr>
        <w:t xml:space="preserve">The 20 candidates are then </w:t>
      </w:r>
      <w:r>
        <w:rPr>
          <w:rFonts w:ascii="Arial" w:cs="Arial" w:eastAsia="Arial" w:hAnsi="Arial"/>
          <w:b/>
          <w:bCs/>
          <w:sz w:val="22"/>
          <w:szCs w:val="22"/>
        </w:rPr>
        <w:t xml:space="preserve">reranked</w:t>
      </w:r>
      <w:r>
        <w:rPr>
          <w:rFonts w:ascii="Arial" w:cs="Arial" w:eastAsia="Arial" w:hAnsi="Arial"/>
          <w:sz w:val="22"/>
          <w:szCs w:val="22"/>
        </w:rPr>
        <w:t xml:space="preserve"> using a cross-encoder (ms-marco-MiniLM-L-6-v2) that jointly encodes the query and each candidate to compute a relevance score. This two-stage retrieval-then-rerank pipeline is significantly more accurate than single-stage dense retrieval:</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score_i = CrossEncoder( Q_text, chunk_i_text )</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top_k = argsort(score_i)[:5]   top 5 reranked chunks</w:t>
      </w:r>
    </w:p>
    <w:p>
      <w:pPr>
        <w:pStyle w:val="Heading2"/>
        <w:spacing w:before="360" w:after="160"/>
      </w:pPr>
      <w:r>
        <w:rPr>
          <w:rFonts w:ascii="Arial" w:cs="Arial" w:eastAsia="Arial" w:hAnsi="Arial"/>
          <w:b/>
          <w:bCs/>
          <w:color w:val="1E40AF"/>
          <w:sz w:val="28"/>
          <w:szCs w:val="28"/>
        </w:rPr>
        <w:t xml:space="preserve">4.4  Augmented Prompt Template</w:t>
      </w:r>
    </w:p>
    <w:p>
      <w:pPr>
        <w:spacing w:before="80" w:after="120"/>
        <w:jc w:val="both"/>
      </w:pPr>
      <w:r>
        <w:rPr>
          <w:rFonts w:ascii="Arial" w:cs="Arial" w:eastAsia="Arial" w:hAnsi="Arial"/>
          <w:sz w:val="22"/>
          <w:szCs w:val="22"/>
        </w:rPr>
        <w:t xml:space="preserve">The top-5 retrieved chunks are injected into the LLM prompt as verified context, with explicit instructions to cite the retrieved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F8FAFC" w:val="clear"/>
            <w:tcMar>
              <w:top w:type="dxa" w:w="140"/>
              <w:left w:type="dxa" w:w="220"/>
              <w:bottom w:type="dxa" w:w="140"/>
              <w:right w:type="dxa" w:w="220"/>
            </w:tcMar>
          </w:tcPr>
          <w:p>
            <w:pPr>
              <w:spacing w:before="20" w:after="20"/>
            </w:pPr>
            <w:r>
              <w:rPr>
                <w:rFonts w:ascii="Courier New" w:cs="Courier New" w:eastAsia="Courier New" w:hAnsi="Courier New"/>
                <w:color w:val="1B3A6B"/>
                <w:sz w:val="19"/>
                <w:szCs w:val="19"/>
              </w:rPr>
              <w:t xml:space="preserve">SYSTEM: You are a cybersecurity incident response analyst.</w:t>
            </w:r>
          </w:p>
          <w:p>
            <w:pPr>
              <w:spacing w:before="20" w:after="20"/>
            </w:pPr>
            <w:r>
              <w:rPr>
                <w:rFonts w:ascii="Courier New" w:cs="Courier New" w:eastAsia="Courier New" w:hAnsi="Courier New"/>
                <w:color w:val="1B3A6B"/>
                <w:sz w:val="19"/>
                <w:szCs w:val="19"/>
              </w:rPr>
              <w:t xml:space="preserve">Use ONLY the verified context below. Cite the source for each claim.</w:t>
            </w:r>
          </w:p>
          <w:p>
            <w:pPr>
              <w:spacing w:before="20" w:after="20"/>
            </w:pPr>
            <w:r>
              <w:rPr>
                <w:rFonts w:ascii="Courier New" w:cs="Courier New" w:eastAsia="Courier New" w:hAnsi="Courier New"/>
                <w:color w:val="1B3A6B"/>
                <w:sz w:val="19"/>
                <w:szCs w:val="19"/>
              </w:rPr>
              <w:t xml:space="preserve">Do not introduce information not present in the context.</w:t>
            </w:r>
          </w:p>
          <w:p>
            <w:pPr>
              <w:spacing w:before="20" w:after="20"/>
            </w:pPr>
            <w:r>
              <w:rPr>
                <w:rFonts w:ascii="Courier New" w:cs="Courier New" w:eastAsia="Courier New" w:hAnsi="Courier New"/>
                <w:color w:val="1B3A6B"/>
                <w:sz w:val="19"/>
                <w:szCs w:val="19"/>
              </w:rPr>
              <w:t xml:space="preserve"/>
            </w:r>
          </w:p>
          <w:p>
            <w:pPr>
              <w:spacing w:before="20" w:after="20"/>
            </w:pPr>
            <w:r>
              <w:rPr>
                <w:rFonts w:ascii="Courier New" w:cs="Courier New" w:eastAsia="Courier New" w:hAnsi="Courier New"/>
                <w:color w:val="1B3A6B"/>
                <w:sz w:val="19"/>
                <w:szCs w:val="19"/>
              </w:rPr>
              <w:t xml:space="preserve">VERIFIED CONTEXT:</w:t>
            </w:r>
          </w:p>
          <w:p>
            <w:pPr>
              <w:spacing w:before="20" w:after="20"/>
            </w:pPr>
            <w:r>
              <w:rPr>
                <w:rFonts w:ascii="Courier New" w:cs="Courier New" w:eastAsia="Courier New" w:hAnsi="Courier New"/>
                <w:color w:val="1B3A6B"/>
                <w:sz w:val="19"/>
                <w:szCs w:val="19"/>
              </w:rPr>
              <w:t xml:space="preserve">  [1] {retrieved_chunk_1_text}  (Source: {source_1})</w:t>
            </w:r>
          </w:p>
          <w:p>
            <w:pPr>
              <w:spacing w:before="20" w:after="20"/>
            </w:pPr>
            <w:r>
              <w:rPr>
                <w:rFonts w:ascii="Courier New" w:cs="Courier New" w:eastAsia="Courier New" w:hAnsi="Courier New"/>
                <w:color w:val="1B3A6B"/>
                <w:sz w:val="19"/>
                <w:szCs w:val="19"/>
              </w:rPr>
              <w:t xml:space="preserve">  [2] {retrieved_chunk_2_text}  (Source: {source_2})</w:t>
            </w:r>
          </w:p>
          <w:p>
            <w:pPr>
              <w:spacing w:before="20" w:after="20"/>
            </w:pPr>
            <w:r>
              <w:rPr>
                <w:rFonts w:ascii="Courier New" w:cs="Courier New" w:eastAsia="Courier New" w:hAnsi="Courier New"/>
                <w:color w:val="1B3A6B"/>
                <w:sz w:val="19"/>
                <w:szCs w:val="19"/>
              </w:rPr>
              <w:t xml:space="preserve">  [3] {retrieved_chunk_3_text}  (Source: {source_3})</w:t>
            </w:r>
          </w:p>
          <w:p>
            <w:pPr>
              <w:spacing w:before="20" w:after="20"/>
            </w:pPr>
            <w:r>
              <w:rPr>
                <w:rFonts w:ascii="Courier New" w:cs="Courier New" w:eastAsia="Courier New" w:hAnsi="Courier New"/>
                <w:color w:val="1B3A6B"/>
                <w:sz w:val="19"/>
                <w:szCs w:val="19"/>
              </w:rPr>
              <w:t xml:space="preserve">  [4] {retrieved_chunk_4_text}  (Source: {source_4})</w:t>
            </w:r>
          </w:p>
          <w:p>
            <w:pPr>
              <w:spacing w:before="20" w:after="20"/>
            </w:pPr>
            <w:r>
              <w:rPr>
                <w:rFonts w:ascii="Courier New" w:cs="Courier New" w:eastAsia="Courier New" w:hAnsi="Courier New"/>
                <w:color w:val="1B3A6B"/>
                <w:sz w:val="19"/>
                <w:szCs w:val="19"/>
              </w:rPr>
              <w:t xml:space="preserve">  [5] {retrieved_chunk_5_text}  (Source: {source_5})</w:t>
            </w:r>
          </w:p>
          <w:p>
            <w:pPr>
              <w:spacing w:before="20" w:after="20"/>
            </w:pPr>
            <w:r>
              <w:rPr>
                <w:rFonts w:ascii="Courier New" w:cs="Courier New" w:eastAsia="Courier New" w:hAnsi="Courier New"/>
                <w:color w:val="1B3A6B"/>
                <w:sz w:val="19"/>
                <w:szCs w:val="19"/>
              </w:rPr>
              <w:t xml:space="preserve"/>
            </w:r>
          </w:p>
          <w:p>
            <w:pPr>
              <w:spacing w:before="20" w:after="20"/>
            </w:pPr>
            <w:r>
              <w:rPr>
                <w:rFonts w:ascii="Courier New" w:cs="Courier New" w:eastAsia="Courier New" w:hAnsi="Courier New"/>
                <w:color w:val="1B3A6B"/>
                <w:sz w:val="19"/>
                <w:szCs w:val="19"/>
              </w:rPr>
              <w:t xml:space="preserve">DETECTION DETAILS:</w:t>
            </w:r>
          </w:p>
          <w:p>
            <w:pPr>
              <w:spacing w:before="20" w:after="20"/>
            </w:pPr>
            <w:r>
              <w:rPr>
                <w:rFonts w:ascii="Courier New" w:cs="Courier New" w:eastAsia="Courier New" w:hAnsi="Courier New"/>
                <w:color w:val="1B3A6B"/>
                <w:sz w:val="19"/>
                <w:szCs w:val="19"/>
              </w:rPr>
              <w:t xml:space="preserve">  Attack class: {predicted_class}</w:t>
            </w:r>
          </w:p>
          <w:p>
            <w:pPr>
              <w:spacing w:before="20" w:after="20"/>
            </w:pPr>
            <w:r>
              <w:rPr>
                <w:rFonts w:ascii="Courier New" w:cs="Courier New" w:eastAsia="Courier New" w:hAnsi="Courier New"/>
                <w:color w:val="1B3A6B"/>
                <w:sz w:val="19"/>
                <w:szCs w:val="19"/>
              </w:rPr>
              <w:t xml:space="preserve">  Confidence: {confidence:.1%}  (Uncertainty: {uncertainty:.3f})</w:t>
            </w:r>
          </w:p>
          <w:p>
            <w:pPr>
              <w:spacing w:before="20" w:after="20"/>
            </w:pPr>
            <w:r>
              <w:rPr>
                <w:rFonts w:ascii="Courier New" w:cs="Courier New" w:eastAsia="Courier New" w:hAnsi="Courier New"/>
                <w:color w:val="1B3A6B"/>
                <w:sz w:val="19"/>
                <w:szCs w:val="19"/>
              </w:rPr>
              <w:t xml:space="preserve">  Top contributing features: {top_features_with_values}</w:t>
            </w:r>
          </w:p>
          <w:p>
            <w:pPr>
              <w:spacing w:before="20" w:after="20"/>
            </w:pPr>
            <w:r>
              <w:rPr>
                <w:rFonts w:ascii="Courier New" w:cs="Courier New" w:eastAsia="Courier New" w:hAnsi="Courier New"/>
                <w:color w:val="1B3A6B"/>
                <w:sz w:val="19"/>
                <w:szCs w:val="19"/>
              </w:rPr>
              <w:t xml:space="preserve">  Payload evidence: {payload_ascii}</w:t>
            </w:r>
          </w:p>
          <w:p>
            <w:pPr>
              <w:spacing w:before="20" w:after="20"/>
            </w:pPr>
            <w:r>
              <w:rPr>
                <w:rFonts w:ascii="Courier New" w:cs="Courier New" w:eastAsia="Courier New" w:hAnsi="Courier New"/>
                <w:color w:val="1B3A6B"/>
                <w:sz w:val="19"/>
                <w:szCs w:val="19"/>
              </w:rPr>
              <w:t xml:space="preserve"/>
            </w:r>
          </w:p>
          <w:p>
            <w:pPr>
              <w:spacing w:before="20" w:after="20"/>
            </w:pPr>
            <w:r>
              <w:rPr>
                <w:rFonts w:ascii="Courier New" w:cs="Courier New" w:eastAsia="Courier New" w:hAnsi="Courier New"/>
                <w:color w:val="1B3A6B"/>
                <w:sz w:val="19"/>
                <w:szCs w:val="19"/>
              </w:rPr>
              <w:t xml:space="preserve">Generate a structured incident report with sections:</w:t>
            </w:r>
          </w:p>
          <w:p>
            <w:pPr>
              <w:spacing w:before="20" w:after="20"/>
            </w:pPr>
            <w:r>
              <w:rPr>
                <w:rFonts w:ascii="Courier New" w:cs="Courier New" w:eastAsia="Courier New" w:hAnsi="Courier New"/>
                <w:color w:val="1B3A6B"/>
                <w:sz w:val="19"/>
                <w:szCs w:val="19"/>
              </w:rPr>
              <w:t xml:space="preserve">  1. Attack Summary  2. Technical Evidence  3. CVE/Technique Reference</w:t>
            </w:r>
          </w:p>
          <w:p>
            <w:pPr>
              <w:spacing w:before="20" w:after="20"/>
            </w:pPr>
            <w:r>
              <w:rPr>
                <w:rFonts w:ascii="Courier New" w:cs="Courier New" w:eastAsia="Courier New" w:hAnsi="Courier New"/>
                <w:color w:val="1B3A6B"/>
                <w:sz w:val="19"/>
                <w:szCs w:val="19"/>
              </w:rPr>
              <w:t xml:space="preserve">  4. Immediate Actions  5. Long-term Mitigations</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4.5  Faithfulness Evaluation</w:t>
      </w:r>
    </w:p>
    <w:p>
      <w:pPr>
        <w:spacing w:before="80" w:after="120"/>
        <w:jc w:val="both"/>
      </w:pPr>
      <w:r>
        <w:rPr>
          <w:rFonts w:ascii="Arial" w:cs="Arial" w:eastAsia="Arial" w:hAnsi="Arial"/>
          <w:sz w:val="22"/>
          <w:szCs w:val="22"/>
        </w:rPr>
        <w:t xml:space="preserve">RAG systems can hallucinate even with retrieved context. We evaluate faithfulness using the RAGAS framework's </w:t>
      </w:r>
      <w:r>
        <w:rPr>
          <w:rFonts w:ascii="Arial" w:cs="Arial" w:eastAsia="Arial" w:hAnsi="Arial"/>
          <w:b/>
          <w:bCs/>
          <w:sz w:val="22"/>
          <w:szCs w:val="22"/>
        </w:rPr>
        <w:t xml:space="preserve">faithfulness score</w:t>
      </w:r>
      <w:r>
        <w:rPr>
          <w:rFonts w:ascii="Arial" w:cs="Arial" w:eastAsia="Arial" w:hAnsi="Arial"/>
          <w:sz w:val="22"/>
          <w:szCs w:val="22"/>
        </w:rPr>
        <w:t xml:space="preserve">, which measures what fraction of the generated claims are supported by the retrieved context:</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Faithfulness = |{claims in response supported by context}| / |{total claims in response}|</w:t>
      </w:r>
    </w:p>
    <w:p>
      <w:pPr>
        <w:spacing w:before="80" w:after="120"/>
        <w:jc w:val="both"/>
      </w:pPr>
      <w:r>
        <w:rPr>
          <w:rFonts w:ascii="Arial" w:cs="Arial" w:eastAsia="Arial" w:hAnsi="Arial"/>
          <w:sz w:val="22"/>
          <w:szCs w:val="22"/>
        </w:rPr>
        <w:t xml:space="preserve">Target faithfulness score: &gt;= 0.90. Claims below this threshold are flagged for analyst review rather than included in the automated report.</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Extension 5: Analyst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65F46" w:sz="1"/>
              <w:left w:val="single" w:color="065F46" w:sz="1"/>
              <w:bottom w:val="single" w:color="065F46" w:sz="1"/>
              <w:right w:val="single" w:color="065F46" w:sz="1"/>
            </w:tcBorders>
            <w:shd w:fill="065F46"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WHY</w:t>
            </w:r>
          </w:p>
        </w:tc>
        <w:tc>
          <w:tcPr>
            <w:tcW w:type="dxa" w:w="7760"/>
            <w:tcBorders>
              <w:top w:val="single" w:color="065F46" w:sz="1"/>
              <w:left w:val="single" w:color="065F46" w:sz="1"/>
              <w:bottom w:val="single" w:color="065F46" w:sz="1"/>
              <w:right w:val="single" w:color="065F46" w:sz="1"/>
            </w:tcBorders>
            <w:shd w:fill="FAFAFA" w:val="clear"/>
            <w:tcMar>
              <w:top w:type="dxa" w:w="120"/>
              <w:left w:type="dxa" w:w="180"/>
              <w:bottom w:type="dxa" w:w="120"/>
              <w:right w:type="dxa" w:w="140"/>
            </w:tcMar>
          </w:tcPr>
          <w:p>
            <w:r>
              <w:rPr>
                <w:rFonts w:ascii="Arial" w:cs="Arial" w:eastAsia="Arial" w:hAnsi="Arial"/>
                <w:i/>
                <w:iCs/>
                <w:color w:val="475569"/>
                <w:sz w:val="20"/>
                <w:szCs w:val="20"/>
              </w:rPr>
              <w:t xml:space="preserve">Every alert a human analyst reviews and classifies as a true positive or false positive is a gold-label data point. Current NIDS systems throw this signal away. The feedback loop captures analyst verdicts and uses them to continuously improve the model's entity embeddings and confidence thresholds without full retraining.</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5.1  Feedback Signal Types</w:t>
      </w:r>
    </w:p>
    <w:p>
      <w:pPr>
        <w:spacing w:before="80" w:after="120"/>
        <w:jc w:val="both"/>
      </w:pPr>
      <w:r>
        <w:rPr>
          <w:rFonts w:ascii="Arial" w:cs="Arial" w:eastAsia="Arial" w:hAnsi="Arial"/>
          <w:sz w:val="22"/>
          <w:szCs w:val="22"/>
        </w:rPr>
        <w:t xml:space="preserve">We define four feedback signal types that analysts can provide through a simple dashboard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Analyst Action</w:t>
            </w:r>
          </w:p>
        </w:tc>
        <w:tc>
          <w:tcPr>
            <w:tcW w:type="dxa" w:w="4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Mathematical Effect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True Positive (TP)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Confirms alert is a real attack</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Reinforces entity embedding, lowers future threshold for this entity</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False Positive (FP)</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Marks alert as benign traffic</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Pushes entity embedding toward benign cluster, raises threshold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Missed Attack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Labels a flow that was not alerted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Adds to hard negative mining pool for next retraining cycle</w:t>
            </w:r>
          </w:p>
        </w:tc>
      </w:tr>
      <w:tr>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Severity Override</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Adjusts alert severity level</w:t>
            </w:r>
          </w:p>
        </w:tc>
        <w:tc>
          <w:tcPr>
            <w:tcW w:type="dxa" w:w="4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Updates class-conditional threshold tau_c for predicted class</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5.2  Entity Embedding Refinement</w:t>
      </w:r>
    </w:p>
    <w:p>
      <w:pPr>
        <w:spacing w:before="80" w:after="120"/>
        <w:jc w:val="both"/>
      </w:pPr>
      <w:r>
        <w:rPr>
          <w:rFonts w:ascii="Arial" w:cs="Arial" w:eastAsia="Arial" w:hAnsi="Arial"/>
          <w:sz w:val="22"/>
          <w:szCs w:val="22"/>
        </w:rPr>
        <w:t xml:space="preserve">When an analyst confirms or denies an alert for flows involving entity e, we update the entity embedding h_e using a contrastive update rule. This is a lightweight online update that does not require rerunning the full training pipeline.</w:t>
      </w:r>
    </w:p>
    <w:p>
      <w:pPr>
        <w:spacing w:before="80" w:after="120"/>
        <w:jc w:val="both"/>
      </w:pPr>
      <w:r>
        <w:rPr>
          <w:rFonts w:ascii="Arial" w:cs="Arial" w:eastAsia="Arial" w:hAnsi="Arial"/>
          <w:b/>
          <w:bCs/>
          <w:sz w:val="22"/>
          <w:szCs w:val="22"/>
        </w:rPr>
        <w:t xml:space="preserve">Contrastive loss for online update:</w:t>
      </w:r>
      <w:r>
        <w:rPr>
          <w:rFonts w:ascii="Arial" w:cs="Arial" w:eastAsia="Arial" w:hAnsi="Arial"/>
          <w:sz w:val="22"/>
          <w:szCs w:val="22"/>
        </w:rPr>
        <w:t xml:space="preserve"> For a confirmed true positive, we pull the entity embedding toward the centroid of known attacker embeddings mu_attack, and push it away from the benign centroid mu_benign: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L_contrastive(TP) = ||h_e - mu_attack||^2  -  ||h_e - mu_benign||^2</w:t>
      </w:r>
    </w:p>
    <w:p>
      <w:pPr>
        <w:spacing w:before="80" w:after="120"/>
        <w:jc w:val="both"/>
      </w:pPr>
      <w:r>
        <w:rPr>
          <w:rFonts w:ascii="Arial" w:cs="Arial" w:eastAsia="Arial" w:hAnsi="Arial"/>
          <w:b/>
          <w:bCs/>
          <w:sz w:val="22"/>
          <w:szCs w:val="22"/>
        </w:rPr>
        <w:t xml:space="preserve">For a confirmed false positive:</w:t>
      </w:r>
      <w:r>
        <w:rPr>
          <w:rFonts w:ascii="Arial" w:cs="Arial" w:eastAsia="Arial" w:hAnsi="Arial"/>
          <w:sz w:val="22"/>
          <w:szCs w:val="22"/>
        </w:rPr>
        <w:t xml:space="preserve"> reverse the pull-push direction: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L_contrastive(FP) = ||h_e - mu_benign||^2  -  ||h_e - mu_attack||^2</w:t>
      </w:r>
    </w:p>
    <w:p>
      <w:pPr>
        <w:spacing w:before="80" w:after="120"/>
        <w:jc w:val="both"/>
      </w:pPr>
      <w:r>
        <w:rPr>
          <w:rFonts w:ascii="Arial" w:cs="Arial" w:eastAsia="Arial" w:hAnsi="Arial"/>
          <w:b/>
          <w:bCs/>
          <w:sz w:val="22"/>
          <w:szCs w:val="22"/>
        </w:rPr>
        <w:t xml:space="preserve">Gradient step:</w:t>
      </w:r>
      <w:r>
        <w:rPr>
          <w:rFonts w:ascii="Arial" w:cs="Arial" w:eastAsia="Arial" w:hAnsi="Arial"/>
          <w:sz w:val="22"/>
          <w:szCs w:val="22"/>
        </w:rPr>
        <w:t xml:space="preserve"> Apply a single gradient descent step on the entity embedding only (all other model weights frozen):</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h_e  &lt;--  h_e  -  eta_feedback * grad_{h_e}(L_contrastive)</w:t>
      </w:r>
    </w:p>
    <w:p>
      <w:pPr>
        <w:spacing w:before="80" w:after="120"/>
        <w:jc w:val="both"/>
      </w:pPr>
      <w:r>
        <w:rPr>
          <w:rFonts w:ascii="Arial" w:cs="Arial" w:eastAsia="Arial" w:hAnsi="Arial"/>
          <w:sz w:val="22"/>
          <w:szCs w:val="22"/>
        </w:rPr>
        <w:t xml:space="preserve">where eta_feedback = 0.01 is a small learning rate to prevent instability from individual analyst decisions. The centroid vectors mu_attack and mu_benign are maintained as exponential moving averages over the last 1000 confirmed TP and FP embeddings respectively.</w:t>
      </w:r>
    </w:p>
    <w:p>
      <w:pPr>
        <w:pStyle w:val="Heading2"/>
        <w:spacing w:before="360" w:after="160"/>
      </w:pPr>
      <w:r>
        <w:rPr>
          <w:rFonts w:ascii="Arial" w:cs="Arial" w:eastAsia="Arial" w:hAnsi="Arial"/>
          <w:b/>
          <w:bCs/>
          <w:color w:val="1E40AF"/>
          <w:sz w:val="28"/>
          <w:szCs w:val="28"/>
        </w:rPr>
        <w:t xml:space="preserve">5.3  Threshold Adaptation</w:t>
      </w:r>
    </w:p>
    <w:p>
      <w:pPr>
        <w:spacing w:before="80" w:after="120"/>
        <w:jc w:val="both"/>
      </w:pPr>
      <w:r>
        <w:rPr>
          <w:rFonts w:ascii="Arial" w:cs="Arial" w:eastAsia="Arial" w:hAnsi="Arial"/>
          <w:sz w:val="22"/>
          <w:szCs w:val="22"/>
        </w:rPr>
        <w:t xml:space="preserve">Each predicted class c maintains a confidence threshold tau_c. Initially tau_c = 0.5 for all classes. Analyst feedback updates class thresholds using Platt scaling, which calibrates the decision boundary post-hoc:</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sigma(A * confidence_c + B) &gt;= 0.5  for alert</w:t>
      </w:r>
    </w:p>
    <w:p>
      <w:pPr>
        <w:spacing w:before="80" w:after="120"/>
        <w:jc w:val="both"/>
      </w:pPr>
      <w:r>
        <w:rPr>
          <w:rFonts w:ascii="Arial" w:cs="Arial" w:eastAsia="Arial" w:hAnsi="Arial"/>
          <w:sz w:val="22"/>
          <w:szCs w:val="22"/>
        </w:rPr>
        <w:t xml:space="preserve">where A and B are scalar calibration parameters fit by logistic regression on the analyst feedback labels (TP=1, FP=0) for each class c independently. This means that if analysts consistently mark a particular attack class as false positives, the threshold automatically rises for that class.</w:t>
      </w:r>
    </w:p>
    <w:p>
      <w:pPr>
        <w:pStyle w:val="Heading2"/>
        <w:spacing w:before="360" w:after="160"/>
      </w:pPr>
      <w:r>
        <w:rPr>
          <w:rFonts w:ascii="Arial" w:cs="Arial" w:eastAsia="Arial" w:hAnsi="Arial"/>
          <w:b/>
          <w:bCs/>
          <w:color w:val="1E40AF"/>
          <w:sz w:val="28"/>
          <w:szCs w:val="28"/>
        </w:rPr>
        <w:t xml:space="preserve">5.4  Hard Negative Mining</w:t>
      </w:r>
    </w:p>
    <w:p>
      <w:pPr>
        <w:spacing w:before="80" w:after="120"/>
        <w:jc w:val="both"/>
      </w:pPr>
      <w:r>
        <w:rPr>
          <w:rFonts w:ascii="Arial" w:cs="Arial" w:eastAsia="Arial" w:hAnsi="Arial"/>
          <w:sz w:val="22"/>
          <w:szCs w:val="22"/>
        </w:rPr>
        <w:t xml:space="preserve">Missed attacks reported by analysts are especially valuable because they represent cases where the model confidently predicted benign but was wrong. These hard negatives are stored in a priority replay buffer ordered by model confidence at the time of the miss:</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priority_i = 1 - max_c softmax(logits_i)_c     (higher priority = more confident wrong prediction)</w:t>
      </w:r>
    </w:p>
    <w:p>
      <w:pPr>
        <w:spacing w:before="80" w:after="120"/>
        <w:jc w:val="both"/>
      </w:pPr>
      <w:r>
        <w:rPr>
          <w:rFonts w:ascii="Arial" w:cs="Arial" w:eastAsia="Arial" w:hAnsi="Arial"/>
          <w:sz w:val="22"/>
          <w:szCs w:val="22"/>
        </w:rPr>
        <w:t xml:space="preserve">During the next scheduled retraining cycle (triggered by Level 3 drift or monthly schedule), the hard negatives are upsampled proportionally to their priority, ensuring the model sees the cases it got most confidently wrong first.</w:t>
      </w:r>
    </w:p>
    <w:p>
      <w:pPr>
        <w:pStyle w:val="Heading2"/>
        <w:spacing w:before="360" w:after="160"/>
      </w:pPr>
      <w:r>
        <w:rPr>
          <w:rFonts w:ascii="Arial" w:cs="Arial" w:eastAsia="Arial" w:hAnsi="Arial"/>
          <w:b/>
          <w:bCs/>
          <w:color w:val="1E40AF"/>
          <w:sz w:val="28"/>
          <w:szCs w:val="28"/>
        </w:rPr>
        <w:t xml:space="preserve">5.5  Feedback Dashboard Specification</w:t>
      </w:r>
    </w:p>
    <w:p>
      <w:pPr>
        <w:spacing w:before="80" w:after="120"/>
        <w:jc w:val="both"/>
      </w:pPr>
      <w:r>
        <w:rPr>
          <w:rFonts w:ascii="Arial" w:cs="Arial" w:eastAsia="Arial" w:hAnsi="Arial"/>
          <w:sz w:val="22"/>
          <w:szCs w:val="22"/>
        </w:rPr>
        <w:t xml:space="preserve">The feedback interface needs to present enough context for an analyst to make a decision within 30 seconds per alert. Required fields per alert card:</w:t>
      </w:r>
    </w:p>
    <w:p>
      <w:pPr>
        <w:pStyle w:val="ListParagraph"/>
        <w:numPr>
          <w:ilvl w:val="0"/>
          <w:numId w:val="3"/>
        </w:numPr>
        <w:spacing w:before="60" w:after="60"/>
      </w:pPr>
      <w:r>
        <w:rPr>
          <w:rFonts w:ascii="Arial" w:cs="Arial" w:eastAsia="Arial" w:hAnsi="Arial"/>
          <w:b w:val="false"/>
          <w:bCs w:val="false"/>
          <w:sz w:val="22"/>
          <w:szCs w:val="22"/>
        </w:rPr>
        <w:t xml:space="preserve">Alert ID, timestamp, source and destination IPs and ports, protocol.</w:t>
      </w:r>
    </w:p>
    <w:p>
      <w:pPr>
        <w:pStyle w:val="ListParagraph"/>
        <w:numPr>
          <w:ilvl w:val="0"/>
          <w:numId w:val="3"/>
        </w:numPr>
        <w:spacing w:before="60" w:after="60"/>
      </w:pPr>
      <w:r>
        <w:rPr>
          <w:rFonts w:ascii="Arial" w:cs="Arial" w:eastAsia="Arial" w:hAnsi="Arial"/>
          <w:b w:val="false"/>
          <w:bCs w:val="false"/>
          <w:sz w:val="22"/>
          <w:szCs w:val="22"/>
        </w:rPr>
        <w:t xml:space="preserve">Predicted attack class with confidence percentage and uncertainty score.</w:t>
      </w:r>
    </w:p>
    <w:p>
      <w:pPr>
        <w:pStyle w:val="ListParagraph"/>
        <w:numPr>
          <w:ilvl w:val="0"/>
          <w:numId w:val="3"/>
        </w:numPr>
        <w:spacing w:before="60" w:after="60"/>
      </w:pPr>
      <w:r>
        <w:rPr>
          <w:rFonts w:ascii="Arial" w:cs="Arial" w:eastAsia="Arial" w:hAnsi="Arial"/>
          <w:b w:val="false"/>
          <w:bCs w:val="false"/>
          <w:sz w:val="22"/>
          <w:szCs w:val="22"/>
        </w:rPr>
        <w:t xml:space="preserve">Top 5 contributing features with actual values highlighted in red/green relative to class baseline.</w:t>
      </w:r>
    </w:p>
    <w:p>
      <w:pPr>
        <w:pStyle w:val="ListParagraph"/>
        <w:numPr>
          <w:ilvl w:val="0"/>
          <w:numId w:val="3"/>
        </w:numPr>
        <w:spacing w:before="60" w:after="60"/>
      </w:pPr>
      <w:r>
        <w:rPr>
          <w:rFonts w:ascii="Arial" w:cs="Arial" w:eastAsia="Arial" w:hAnsi="Arial"/>
          <w:b w:val="false"/>
          <w:bCs w:val="false"/>
          <w:sz w:val="22"/>
          <w:szCs w:val="22"/>
        </w:rPr>
        <w:t xml:space="preserve">Payload excerpt (if payload-dependent attack) with suspicious bytes highlighted.</w:t>
      </w:r>
    </w:p>
    <w:p>
      <w:pPr>
        <w:pStyle w:val="ListParagraph"/>
        <w:numPr>
          <w:ilvl w:val="0"/>
          <w:numId w:val="3"/>
        </w:numPr>
        <w:spacing w:before="60" w:after="60"/>
      </w:pPr>
      <w:r>
        <w:rPr>
          <w:rFonts w:ascii="Arial" w:cs="Arial" w:eastAsia="Arial" w:hAnsi="Arial"/>
          <w:b w:val="false"/>
          <w:bCs w:val="false"/>
          <w:sz w:val="22"/>
          <w:szCs w:val="22"/>
        </w:rPr>
        <w:t xml:space="preserve">RAG-generated incident report with source citations.</w:t>
      </w:r>
    </w:p>
    <w:p>
      <w:pPr>
        <w:pStyle w:val="ListParagraph"/>
        <w:numPr>
          <w:ilvl w:val="0"/>
          <w:numId w:val="3"/>
        </w:numPr>
        <w:spacing w:before="60" w:after="60"/>
      </w:pPr>
      <w:r>
        <w:rPr>
          <w:rFonts w:ascii="Arial" w:cs="Arial" w:eastAsia="Arial" w:hAnsi="Arial"/>
          <w:b w:val="false"/>
          <w:bCs w:val="false"/>
          <w:sz w:val="22"/>
          <w:szCs w:val="22"/>
        </w:rPr>
        <w:t xml:space="preserve">One-click buttons: Confirm (TP) | False Positive (FP) | Escalate | Snooze.</w:t>
      </w:r>
    </w:p>
    <w:p>
      <w:pPr>
        <w:pStyle w:val="ListParagraph"/>
        <w:numPr>
          <w:ilvl w:val="0"/>
          <w:numId w:val="3"/>
        </w:numPr>
        <w:spacing w:before="60" w:after="60"/>
      </w:pPr>
      <w:r>
        <w:rPr>
          <w:rFonts w:ascii="Arial" w:cs="Arial" w:eastAsia="Arial" w:hAnsi="Arial"/>
          <w:b w:val="false"/>
          <w:bCs w:val="false"/>
          <w:sz w:val="22"/>
          <w:szCs w:val="22"/>
        </w:rPr>
        <w:t xml:space="preserve">Link to related flows from the same source entity in the last 24 hours (campaign view).</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Extension 6: Federated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WHY</w:t>
            </w:r>
          </w:p>
        </w:tc>
        <w:tc>
          <w:tcPr>
            <w:tcW w:type="dxa" w:w="7760"/>
            <w:tcBorders>
              <w:top w:val="single" w:color="1B3A6B" w:sz="1"/>
              <w:left w:val="single" w:color="1B3A6B" w:sz="1"/>
              <w:bottom w:val="single" w:color="1B3A6B" w:sz="1"/>
              <w:right w:val="single" w:color="1B3A6B" w:sz="1"/>
            </w:tcBorders>
            <w:shd w:fill="FAFAFA" w:val="clear"/>
            <w:tcMar>
              <w:top w:type="dxa" w:w="120"/>
              <w:left w:type="dxa" w:w="180"/>
              <w:bottom w:type="dxa" w:w="120"/>
              <w:right w:type="dxa" w:w="140"/>
            </w:tcMar>
          </w:tcPr>
          <w:p>
            <w:r>
              <w:rPr>
                <w:rFonts w:ascii="Arial" w:cs="Arial" w:eastAsia="Arial" w:hAnsi="Arial"/>
                <w:i/>
                <w:iCs/>
                <w:color w:val="475569"/>
                <w:sz w:val="20"/>
                <w:szCs w:val="20"/>
              </w:rPr>
              <w:t xml:space="preserve">No single organisation's network captures all attack patterns. Sharing raw traffic data between organisations is legally impossible (GDPR, HIPAA, contractual NDAs). Federated learning allows multiple organisations to collaboratively train a shared NIDS model by sharing only model gradients — never raw traffic data.</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6.1  Federated Learning Setup</w:t>
      </w:r>
    </w:p>
    <w:p>
      <w:pPr>
        <w:spacing w:before="80" w:after="120"/>
        <w:jc w:val="both"/>
      </w:pPr>
      <w:r>
        <w:rPr>
          <w:rFonts w:ascii="Arial" w:cs="Arial" w:eastAsia="Arial" w:hAnsi="Arial"/>
          <w:sz w:val="22"/>
          <w:szCs w:val="22"/>
        </w:rPr>
        <w:t xml:space="preserve">We simulate federated learning using the three benchmark datasets as three independent organisations, each with its own data distribution, network topology, and attack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Client</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Network Type</w:t>
            </w:r>
          </w:p>
        </w:tc>
        <w:tc>
          <w:tcPr>
            <w:tcW w:type="dxa" w:w="3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Attacks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Client 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CIC-IDS2017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Enterprise LAN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DDoS, Web Attacks, Port Scan</w:t>
            </w:r>
          </w:p>
        </w:tc>
      </w:tr>
      <w:tr>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Client B</w:t>
            </w:r>
          </w:p>
        </w:tc>
        <w:tc>
          <w:tcPr>
            <w:tcW w:type="dxa" w:w="2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CIC-IoT2023</w:t>
            </w:r>
          </w:p>
        </w:tc>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IoT Network</w:t>
            </w:r>
          </w:p>
        </w:tc>
        <w:tc>
          <w:tcPr>
            <w:tcW w:type="dxa" w:w="3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Mirai, Botnet, DDoS variants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Client 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UNSW-NB15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Cyber Range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Exploits, Backdoors, Worms</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6.2  FedAvg Algorithm</w:t>
      </w:r>
    </w:p>
    <w:p>
      <w:pPr>
        <w:spacing w:before="80" w:after="120"/>
        <w:jc w:val="both"/>
      </w:pPr>
      <w:r>
        <w:rPr>
          <w:rFonts w:ascii="Arial" w:cs="Arial" w:eastAsia="Arial" w:hAnsi="Arial"/>
          <w:sz w:val="22"/>
          <w:szCs w:val="22"/>
        </w:rPr>
        <w:t xml:space="preserve">The Federated Averaging algorithm (McMahan et al., 2017) proceeds in rounds. In each round, each client trains locally on its private data, then sends model updates to a central aggregator (in our case, a separate orchestration server). The aggregator computes a weighted average of the updates:</w:t>
      </w:r>
    </w:p>
    <w:p>
      <w:pPr>
        <w:spacing w:before="80" w:after="120"/>
        <w:jc w:val="both"/>
      </w:pPr>
      <w:r>
        <w:rPr>
          <w:rFonts w:ascii="Arial" w:cs="Arial" w:eastAsia="Arial" w:hAnsi="Arial"/>
          <w:b/>
          <w:bCs/>
          <w:sz w:val="22"/>
          <w:szCs w:val="22"/>
        </w:rPr>
        <w:t xml:space="preserve">Client local training:</w:t>
      </w:r>
      <w:r>
        <w:rPr>
          <w:rFonts w:ascii="Arial" w:cs="Arial" w:eastAsia="Arial" w:hAnsi="Arial"/>
          <w:sz w:val="22"/>
          <w:szCs w:val="22"/>
        </w:rPr>
        <w:t xml:space="preserve"> Each client k trains for E_local = 5 local epochs on its private dataset D_k:</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theta_k^{t+1} = theta^t  -  eta * grad_theta L(theta^t; D_k)    local SGD for E_local steps</w:t>
      </w:r>
    </w:p>
    <w:p>
      <w:pPr>
        <w:spacing w:before="80" w:after="120"/>
        <w:jc w:val="both"/>
      </w:pPr>
      <w:r>
        <w:rPr>
          <w:rFonts w:ascii="Arial" w:cs="Arial" w:eastAsia="Arial" w:hAnsi="Arial"/>
          <w:b/>
          <w:bCs/>
          <w:sz w:val="22"/>
          <w:szCs w:val="22"/>
        </w:rPr>
        <w:t xml:space="preserve">Server aggregation:</w:t>
      </w:r>
      <w:r>
        <w:rPr>
          <w:rFonts w:ascii="Arial" w:cs="Arial" w:eastAsia="Arial" w:hAnsi="Arial"/>
          <w:sz w:val="22"/>
          <w:szCs w:val="22"/>
        </w:rPr>
        <w:t xml:space="preserve"> The global model is updated as the weighted average of client updates, weighted by dataset size: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theta^{t+1} = SUM_{k=1}^{K} (|D_k| / |D|) * theta_k^{t+1}</w:t>
      </w:r>
    </w:p>
    <w:p>
      <w:pPr>
        <w:spacing w:before="80" w:after="120"/>
        <w:jc w:val="both"/>
      </w:pPr>
      <w:r>
        <w:rPr>
          <w:rFonts w:ascii="Arial" w:cs="Arial" w:eastAsia="Arial" w:hAnsi="Arial"/>
          <w:sz w:val="22"/>
          <w:szCs w:val="22"/>
        </w:rPr>
        <w:t xml:space="preserve">where |D| = SUM_k |D_k| is the total number of training samples across all clients.</w:t>
      </w:r>
    </w:p>
    <w:p>
      <w:pPr>
        <w:pStyle w:val="Heading2"/>
        <w:spacing w:before="360" w:after="160"/>
      </w:pPr>
      <w:r>
        <w:rPr>
          <w:rFonts w:ascii="Arial" w:cs="Arial" w:eastAsia="Arial" w:hAnsi="Arial"/>
          <w:b/>
          <w:bCs/>
          <w:color w:val="1E40AF"/>
          <w:sz w:val="28"/>
          <w:szCs w:val="28"/>
        </w:rPr>
        <w:t xml:space="preserve">6.3  Differential Privacy</w:t>
      </w:r>
    </w:p>
    <w:p>
      <w:pPr>
        <w:spacing w:before="80" w:after="120"/>
        <w:jc w:val="both"/>
      </w:pPr>
      <w:r>
        <w:rPr>
          <w:rFonts w:ascii="Arial" w:cs="Arial" w:eastAsia="Arial" w:hAnsi="Arial"/>
          <w:sz w:val="22"/>
          <w:szCs w:val="22"/>
        </w:rPr>
        <w:t xml:space="preserve">Raw gradients can leak information about individual training samples (membership inference attacks). We apply Gaussian differential privacy (DP) to gradients before uploading to the aggregator:</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theta_k_noisy = theta_k + N(0, sigma^2 * C^2 * I)</w:t>
      </w:r>
    </w:p>
    <w:p>
      <w:pPr>
        <w:spacing w:before="80" w:after="120"/>
        <w:jc w:val="both"/>
      </w:pPr>
      <w:r>
        <w:rPr>
          <w:rFonts w:ascii="Arial" w:cs="Arial" w:eastAsia="Arial" w:hAnsi="Arial"/>
          <w:sz w:val="22"/>
          <w:szCs w:val="22"/>
        </w:rPr>
        <w:t xml:space="preserve">where C is the gradient clipping norm (C = 1.0) and sigma is the noise multiplier. The privacy guarantee is (epsilon, delta)-DP where:</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epsilon ≈ sqrt(2 * ln(1.25/delta)) * C * sqrt(T) / (sigma * |D_k|)</w:t>
      </w:r>
    </w:p>
    <w:p>
      <w:pPr>
        <w:spacing w:before="80" w:after="120"/>
        <w:jc w:val="both"/>
      </w:pPr>
      <w:r>
        <w:rPr>
          <w:rFonts w:ascii="Arial" w:cs="Arial" w:eastAsia="Arial" w:hAnsi="Arial"/>
          <w:sz w:val="22"/>
          <w:szCs w:val="22"/>
        </w:rPr>
        <w:t xml:space="preserve">We target epsilon = 1.0, delta = 1e-5, which provides strong privacy with T rounds of training. sigma is computed from these targets using the moments accountant.</w:t>
      </w:r>
    </w:p>
    <w:p>
      <w:pPr>
        <w:pStyle w:val="Heading2"/>
        <w:spacing w:before="360" w:after="160"/>
      </w:pPr>
      <w:r>
        <w:rPr>
          <w:rFonts w:ascii="Arial" w:cs="Arial" w:eastAsia="Arial" w:hAnsi="Arial"/>
          <w:b/>
          <w:bCs/>
          <w:color w:val="1E40AF"/>
          <w:sz w:val="28"/>
          <w:szCs w:val="28"/>
        </w:rPr>
        <w:t xml:space="preserve">6.4  Heterogeneous Graph Handling in Federated Setting</w:t>
      </w:r>
    </w:p>
    <w:p>
      <w:pPr>
        <w:spacing w:before="80" w:after="120"/>
        <w:jc w:val="both"/>
      </w:pPr>
      <w:r>
        <w:rPr>
          <w:rFonts w:ascii="Arial" w:cs="Arial" w:eastAsia="Arial" w:hAnsi="Arial"/>
          <w:sz w:val="22"/>
          <w:szCs w:val="22"/>
        </w:rPr>
        <w:t xml:space="preserve">A challenge specific to our graph-based model: the entity embedding table size differs across clients (each client has a different set of IP addresses). Standard FedAvg aggregates the full parameter tensor, which fails when shapes differ.</w:t>
      </w:r>
    </w:p>
    <w:p>
      <w:pPr>
        <w:spacing w:before="80" w:after="120"/>
        <w:jc w:val="both"/>
      </w:pPr>
      <w:r>
        <w:rPr>
          <w:rFonts w:ascii="Arial" w:cs="Arial" w:eastAsia="Arial" w:hAnsi="Arial"/>
          <w:b/>
          <w:bCs/>
          <w:sz w:val="22"/>
          <w:szCs w:val="22"/>
        </w:rPr>
        <w:t xml:space="preserve">Solution — Federated Entity Embedding:</w:t>
      </w:r>
      <w:r>
        <w:rPr>
          <w:rFonts w:ascii="Arial" w:cs="Arial" w:eastAsia="Arial" w:hAnsi="Arial"/>
          <w:sz w:val="22"/>
          <w:szCs w:val="22"/>
        </w:rPr>
        <w:t xml:space="preserve"> We separate model parameters into two groups:</w:t>
      </w:r>
    </w:p>
    <w:p>
      <w:pPr>
        <w:pStyle w:val="ListParagraph"/>
        <w:numPr>
          <w:ilvl w:val="0"/>
          <w:numId w:val="3"/>
        </w:numPr>
        <w:spacing w:before="60" w:after="60"/>
      </w:pPr>
      <w:r>
        <w:rPr>
          <w:rFonts w:ascii="Arial" w:cs="Arial" w:eastAsia="Arial" w:hAnsi="Arial"/>
          <w:b w:val="false"/>
          <w:bCs w:val="false"/>
          <w:sz w:val="22"/>
          <w:szCs w:val="22"/>
        </w:rPr>
        <w:t xml:space="preserve">Shared parameters: all GATConv weights, BN parameters, FC classifier weights. These are aggregated with standard FedAvg.</w:t>
      </w:r>
    </w:p>
    <w:p>
      <w:pPr>
        <w:pStyle w:val="ListParagraph"/>
        <w:numPr>
          <w:ilvl w:val="0"/>
          <w:numId w:val="3"/>
        </w:numPr>
        <w:spacing w:before="60" w:after="60"/>
      </w:pPr>
      <w:r>
        <w:rPr>
          <w:rFonts w:ascii="Arial" w:cs="Arial" w:eastAsia="Arial" w:hAnsi="Arial"/>
          <w:b w:val="false"/>
          <w:bCs w:val="false"/>
          <w:sz w:val="22"/>
          <w:szCs w:val="22"/>
        </w:rPr>
        <w:t xml:space="preserve">Client-private parameters: each client's entity embedding table. These are NEVER shared (they encode private IP address information). Each client maintains its own embedding table locally.</w:t>
      </w:r>
    </w:p>
    <w:p>
      <w:pPr>
        <w:spacing w:before="80" w:after="80"/>
      </w:pPr>
      <w:r>
        <w:t xml:space="preserve"/>
      </w:r>
    </w:p>
    <w:p>
      <w:pPr>
        <w:spacing w:before="80" w:after="120"/>
        <w:jc w:val="both"/>
      </w:pPr>
      <w:r>
        <w:rPr>
          <w:rFonts w:ascii="Arial" w:cs="Arial" w:eastAsia="Arial" w:hAnsi="Arial"/>
          <w:sz w:val="22"/>
          <w:szCs w:val="22"/>
        </w:rPr>
        <w:t xml:space="preserve">Formally, the model parameter space is partitioned as theta = (theta_shared, theta_private_k):</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FedAvg on theta_shared:   theta_shared^{t+1} = SUM_k (|D_k|/|D|) * theta_shared_k^{t+1}</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No sharing on theta_private_k:   theta_private_k stays local to client k</w:t>
      </w:r>
    </w:p>
    <w:p>
      <w:pPr>
        <w:pStyle w:val="Heading2"/>
        <w:spacing w:before="360" w:after="160"/>
      </w:pPr>
      <w:r>
        <w:rPr>
          <w:rFonts w:ascii="Arial" w:cs="Arial" w:eastAsia="Arial" w:hAnsi="Arial"/>
          <w:b/>
          <w:bCs/>
          <w:color w:val="1E40AF"/>
          <w:sz w:val="28"/>
          <w:szCs w:val="28"/>
        </w:rPr>
        <w:t xml:space="preserve">6.5  Personalised Federated Learning</w:t>
      </w:r>
    </w:p>
    <w:p>
      <w:pPr>
        <w:spacing w:before="80" w:after="120"/>
        <w:jc w:val="both"/>
      </w:pPr>
      <w:r>
        <w:rPr>
          <w:rFonts w:ascii="Arial" w:cs="Arial" w:eastAsia="Arial" w:hAnsi="Arial"/>
          <w:sz w:val="22"/>
          <w:szCs w:val="22"/>
        </w:rPr>
        <w:t xml:space="preserve">Pure FedAvg produces a one-size-fits-all model that may underperform on any individual client's specific traffic distribution. We add a personalisation layer using </w:t>
      </w:r>
      <w:r>
        <w:rPr>
          <w:rFonts w:ascii="Arial" w:cs="Arial" w:eastAsia="Arial" w:hAnsi="Arial"/>
          <w:b/>
          <w:bCs/>
          <w:sz w:val="22"/>
          <w:szCs w:val="22"/>
        </w:rPr>
        <w:t xml:space="preserve">FedProx</w:t>
      </w:r>
      <w:r>
        <w:rPr>
          <w:rFonts w:ascii="Arial" w:cs="Arial" w:eastAsia="Arial" w:hAnsi="Arial"/>
          <w:sz w:val="22"/>
          <w:szCs w:val="22"/>
        </w:rPr>
        <w:t xml:space="preserve"> (Li et al., 2020), which adds a proximal term to each client's local objective that prevents the local model from drifting too far from the global model:</w:t>
      </w:r>
    </w:p>
    <w:p>
      <w:pPr>
        <w:pBdr>
          <w:left w:val="single" w:color="2563EB" w:sz="12" w:space="8"/>
        </w:pBdr>
        <w:spacing w:before="160" w:after="160"/>
        <w:ind w:left="720"/>
        <w:jc w:val="center"/>
      </w:pPr>
      <w:r>
        <w:rPr>
          <w:rFonts w:ascii="Courier New" w:cs="Courier New" w:eastAsia="Courier New" w:hAnsi="Courier New"/>
          <w:color w:val="1B3A6B"/>
          <w:sz w:val="22"/>
          <w:szCs w:val="22"/>
        </w:rPr>
        <w:t xml:space="preserve">L_FedProx(theta_k) = L_local(theta_k; D_k) + (mu/2) * ||theta_k - theta_global||^2</w:t>
      </w:r>
    </w:p>
    <w:p>
      <w:pPr>
        <w:spacing w:before="80" w:after="120"/>
        <w:jc w:val="both"/>
      </w:pPr>
      <w:r>
        <w:rPr>
          <w:rFonts w:ascii="Arial" w:cs="Arial" w:eastAsia="Arial" w:hAnsi="Arial"/>
          <w:sz w:val="22"/>
          <w:szCs w:val="22"/>
        </w:rPr>
        <w:t xml:space="preserve">where mu = 0.01 is the proximal regularisation strength. This allows clients to specialise to their local traffic while still benefiting from shared knowledge across all clients.</w:t>
      </w:r>
    </w:p>
    <w:p>
      <w:pPr>
        <w:pStyle w:val="Heading2"/>
        <w:spacing w:before="360" w:after="160"/>
      </w:pPr>
      <w:r>
        <w:rPr>
          <w:rFonts w:ascii="Arial" w:cs="Arial" w:eastAsia="Arial" w:hAnsi="Arial"/>
          <w:b/>
          <w:bCs/>
          <w:color w:val="1E40AF"/>
          <w:sz w:val="28"/>
          <w:szCs w:val="28"/>
        </w:rPr>
        <w:t xml:space="preserve">6.6  Federated Evaluation Protocol</w:t>
      </w:r>
    </w:p>
    <w:p>
      <w:pPr>
        <w:spacing w:before="80" w:after="120"/>
        <w:jc w:val="both"/>
      </w:pPr>
      <w:r>
        <w:rPr>
          <w:rFonts w:ascii="Arial" w:cs="Arial" w:eastAsia="Arial" w:hAnsi="Arial"/>
          <w:sz w:val="22"/>
          <w:szCs w:val="22"/>
        </w:rPr>
        <w:t xml:space="preserve">Evaluation in the federated setting requires care. We report three levels of performance:</w:t>
      </w:r>
    </w:p>
    <w:p>
      <w:pPr>
        <w:pStyle w:val="ListParagraph"/>
        <w:numPr>
          <w:ilvl w:val="0"/>
          <w:numId w:val="2"/>
        </w:numPr>
        <w:spacing w:before="60" w:after="60"/>
      </w:pPr>
      <w:r>
        <w:rPr>
          <w:rFonts w:ascii="Arial" w:cs="Arial" w:eastAsia="Arial" w:hAnsi="Arial"/>
          <w:sz w:val="22"/>
          <w:szCs w:val="22"/>
        </w:rPr>
        <w:t xml:space="preserve">Global model on each client's local test set (measures generalisation).</w:t>
      </w:r>
    </w:p>
    <w:p>
      <w:pPr>
        <w:pStyle w:val="ListParagraph"/>
        <w:numPr>
          <w:ilvl w:val="0"/>
          <w:numId w:val="2"/>
        </w:numPr>
        <w:spacing w:before="60" w:after="60"/>
      </w:pPr>
      <w:r>
        <w:rPr>
          <w:rFonts w:ascii="Arial" w:cs="Arial" w:eastAsia="Arial" w:hAnsi="Arial"/>
          <w:sz w:val="22"/>
          <w:szCs w:val="22"/>
        </w:rPr>
        <w:t xml:space="preserve">Personalised model (after FedProx) on each client's local test set (measures personalisation benefit).</w:t>
      </w:r>
    </w:p>
    <w:p>
      <w:pPr>
        <w:pStyle w:val="ListParagraph"/>
        <w:numPr>
          <w:ilvl w:val="0"/>
          <w:numId w:val="2"/>
        </w:numPr>
        <w:spacing w:before="60" w:after="60"/>
      </w:pPr>
      <w:r>
        <w:rPr>
          <w:rFonts w:ascii="Arial" w:cs="Arial" w:eastAsia="Arial" w:hAnsi="Arial"/>
          <w:sz w:val="22"/>
          <w:szCs w:val="22"/>
        </w:rPr>
        <w:t xml:space="preserve">Global model on a held-out public benchmark not used by any client (measures transfer to unseen distributions).</w:t>
      </w:r>
    </w:p>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7. Integration Architecture — How All Six Extensions Connect</w:t>
      </w:r>
    </w:p>
    <w:p>
      <w:pPr>
        <w:spacing w:before="80" w:after="120"/>
        <w:jc w:val="both"/>
      </w:pPr>
      <w:r>
        <w:rPr>
          <w:rFonts w:ascii="Arial" w:cs="Arial" w:eastAsia="Arial" w:hAnsi="Arial"/>
          <w:sz w:val="22"/>
          <w:szCs w:val="22"/>
        </w:rPr>
        <w:t xml:space="preserve">The six extensions are not independent additions — they form a coherent system where each extension's output feeds into the next. Understanding the data flow between them is essential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EFF6FF" w:val="clear"/>
            <w:tcMar>
              <w:top w:type="dxa" w:w="180"/>
              <w:left w:type="dxa" w:w="240"/>
              <w:bottom w:type="dxa" w:w="180"/>
              <w:right w:type="dxa" w:w="240"/>
            </w:tcMar>
          </w:tcPr>
          <w:p>
            <w:pPr>
              <w:spacing w:after="80"/>
              <w:jc w:val="center"/>
            </w:pPr>
            <w:r>
              <w:rPr>
                <w:rFonts w:ascii="Arial" w:cs="Arial" w:eastAsia="Arial" w:hAnsi="Arial"/>
                <w:b/>
                <w:bCs/>
                <w:color w:val="1B3A6B"/>
                <w:sz w:val="22"/>
                <w:szCs w:val="22"/>
              </w:rPr>
              <w:t xml:space="preserve">FULL SYSTEM DATA FLOW</w:t>
            </w:r>
          </w:p>
          <w:p>
            <w:r>
              <w:rPr>
                <w:rFonts w:ascii="Courier New" w:cs="Courier New" w:eastAsia="Courier New" w:hAnsi="Courier New"/>
                <w:color w:val="1B3A6B"/>
                <w:sz w:val="19"/>
                <w:szCs w:val="19"/>
              </w:rPr>
              <w:t xml:space="preserve">1. Live flow arrives -&gt; HGNN (E3: Temporal) -&gt; Prediction + Campaign Score</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2.                    MC-Dropout x30 -&gt; U_epistemic, H[y|x]   (E1: Uncertainty)</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3.                    ADWIN + MMD monitoring -&gt; Drift check (E2: Drift)</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4.                    if U_epistemic &gt; tau OR campaign_score &gt; tau:</w:t>
            </w:r>
          </w:p>
          <w:p>
            <w:r>
              <w:rPr>
                <w:rFonts w:ascii="Courier New" w:cs="Courier New" w:eastAsia="Courier New" w:hAnsi="Courier New"/>
                <w:color w:val="1B3A6B"/>
                <w:sz w:val="19"/>
                <w:szCs w:val="19"/>
              </w:rPr>
              <w:t xml:space="preserve">                         Integrated Gradients -&gt; top features + payload bytes</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5.                         FAISS retrieval + CrossEncoder rerank (E4: RAG)</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6.                         LLM generates incident report with citations</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7.                    Alert -&gt; Analyst Dashboard (E5: Feedback)</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8.                    TP/FP verdict -&gt; Entity embedding update (E5)</w:t>
            </w:r>
          </w:p>
          <w:p>
            <w:r>
              <w:rPr>
                <w:rFonts w:ascii="Courier New" w:cs="Courier New" w:eastAsia="Courier New" w:hAnsi="Courier New"/>
                <w:color w:val="2563EB"/>
                <w:sz w:val="19"/>
                <w:szCs w:val="19"/>
              </w:rPr>
              <w:t xml:space="preserve">                                  |</w:t>
            </w:r>
          </w:p>
          <w:p>
            <w:r>
              <w:rPr>
                <w:rFonts w:ascii="Courier New" w:cs="Courier New" w:eastAsia="Courier New" w:hAnsi="Courier New"/>
                <w:color w:val="1B3A6B"/>
                <w:sz w:val="19"/>
                <w:szCs w:val="19"/>
              </w:rPr>
              <w:t xml:space="preserve">9.                    Periodic: Federated round -&gt; Global model update (E6)</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7.1  Recommended Implementation Order</w:t>
      </w:r>
    </w:p>
    <w:p>
      <w:pPr>
        <w:spacing w:before="80" w:after="120"/>
        <w:jc w:val="both"/>
      </w:pPr>
      <w:r>
        <w:rPr>
          <w:rFonts w:ascii="Arial" w:cs="Arial" w:eastAsia="Arial" w:hAnsi="Arial"/>
          <w:sz w:val="22"/>
          <w:szCs w:val="22"/>
        </w:rPr>
        <w:t xml:space="preserve">The extensions should be built in the following sequence since each one's output feeds into the next. This order is driven by technical dependency, not by time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Extensions</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Reason for This Order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Stage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Base system (Volume I) complete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Everything else depends on a working, validated HGNN baseline with correct NeighborLoader, GATConv, payload extraction, and all three datasets ingested.</w:t>
            </w:r>
          </w:p>
        </w:tc>
      </w:tr>
      <w:tr>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Stage 2</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E1 (Uncertainty) + E2 (Drift)</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E1 must come before E4 and E5 because uncertainty scores gate LLM invocation and trigger the drift response. E2 depends on E1's calibration output for its confidence monitor.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Stage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E3 (Campaign Correlation)</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Requires the base HGNN to be stable and validated before adding the GRU temporal layer on top. The entity embedding table must be fully trained before temporal states can be accumulated meaningfully.</w:t>
            </w:r>
          </w:p>
        </w:tc>
      </w:tr>
      <w:tr>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Stage 4</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E4 (RAG) + E5 (Analyst Loop)</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RAG retrieval queries are built from Integrated Gradients output which requires the trained model. Analyst feedback updates entity embeddings, requiring E3 temporal entity states to be in place first.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Stage 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E6 (Federated Learning)</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Federation is applied last because it requires all other components to be individually validated before distributing them across simulated clients.</w:t>
            </w:r>
          </w:p>
        </w:tc>
      </w:tr>
      <w:tr>
        <w:tc>
          <w:tcPr>
            <w:tcW w:type="dxa" w:w="1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Stage 6</w:t>
            </w:r>
          </w:p>
        </w:tc>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Ablations + Evaluation + Paper</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Rigorous ablation studies proving each extension's individual contribution. LLM-as-judge evaluation. Calibration analysis. Baseline comparisons.</w:t>
            </w:r>
          </w:p>
        </w:tc>
      </w:tr>
    </w:tbl>
    <w:p>
      <w:pPr>
        <w:spacing w:before="80" w:after="80"/>
      </w:pPr>
      <w:r>
        <w:t xml:space="preserve"/>
      </w:r>
    </w:p>
    <w:p>
      <w:pPr>
        <w:pStyle w:val="Heading2"/>
        <w:spacing w:before="360" w:after="160"/>
      </w:pPr>
      <w:r>
        <w:rPr>
          <w:rFonts w:ascii="Arial" w:cs="Arial" w:eastAsia="Arial" w:hAnsi="Arial"/>
          <w:b/>
          <w:bCs/>
          <w:color w:val="1E40AF"/>
          <w:sz w:val="28"/>
          <w:szCs w:val="28"/>
        </w:rPr>
        <w:t xml:space="preserve">7.2  New Files Required (Beyond Volume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w:t>
            </w:r>
          </w:p>
        </w:tc>
        <w:tc>
          <w:tcPr>
            <w:tcW w:type="dxa" w:w="1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Extension</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models/uncertainty.py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E1</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MC-Dropout inference wrapper, EDL head, ECE calibration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models/temporal_gnn.py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E3</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GRU entity memory, temporal edge construction, campaign scoring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detection/drift_monitor.py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ADWIN per feature, MMD computation, drift response protocol</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detection/campaign_detector.py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E3</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Kill chain alignment, campaign alert manager, incident ID generation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rag/knowledge_base.py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E4</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FAISS index builder, document chunker, MITRE/CVE/SOP ingestion</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rag/retriever.py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E4</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FAISS ANN search, CrossEncoder reranking, top-k selection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rag/prompt_builder.py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E4</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Augmented prompt assembly, faithfulness scoring</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feedback/analyst_api.py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E5</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REST API for analyst verdicts, threshold updates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feedback/embedding_updater.py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E5</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Contrastive entity embedding update, hard negative buffer</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federated/server.py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E6</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FedAvg aggregator, round orchestration, DP noise application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federated/client.py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E6</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Local training, FedProx loss, gradient upload</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federated/privacy.py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E6</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Moments accountant, epsilon-delta computation, clipping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evaluation/calibration.py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E1</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ECE computation, reliability diagrams, temperature scaling</w:t>
            </w:r>
          </w:p>
        </w:tc>
      </w:tr>
      <w:tr>
        <w:tc>
          <w:tcPr>
            <w:tcW w:type="dxa" w:w="2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evaluation/temporal_eval.py</w:t>
            </w:r>
          </w:p>
        </w:tc>
        <w:tc>
          <w:tcPr>
            <w:tcW w:type="dxa" w:w="10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E3</w:t>
            </w:r>
          </w:p>
        </w:tc>
        <w:tc>
          <w:tcPr>
            <w:tcW w:type="dxa" w:w="59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Campaign detection precision/recall, kill chain alignment scores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evaluation/federated_eval.py</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E6</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Per-client F1, global model benchmark, personalisation gain</w:t>
            </w:r>
          </w:p>
        </w:tc>
      </w:tr>
    </w:tbl>
    <w:p>
      <w:pPr>
        <w:spacing w:before="80" w:after="80"/>
      </w:pPr>
      <w:r>
        <w:t xml:space="preserve"/>
      </w:r>
    </w:p>
    <w:p>
      <w:r>
        <w:br w:type="page"/>
      </w:r>
    </w:p>
    <w:p>
      <w:pPr>
        <w:pStyle w:val="Heading1"/>
        <w:pBdr>
          <w:bottom w:val="single" w:color="2563EB" w:sz="8" w:space="4"/>
        </w:pBdr>
        <w:spacing w:before="480" w:after="200"/>
      </w:pPr>
      <w:r>
        <w:rPr>
          <w:rFonts w:ascii="Arial" w:cs="Arial" w:eastAsia="Arial" w:hAnsi="Arial"/>
          <w:b/>
          <w:bCs/>
          <w:color w:val="1B3A6B"/>
          <w:sz w:val="36"/>
          <w:szCs w:val="36"/>
        </w:rPr>
        <w:t xml:space="preserve">8. Mathematical Symbols Quick Reference —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Symbol</w:t>
            </w:r>
          </w:p>
        </w:tc>
        <w:tc>
          <w:tcPr>
            <w:tcW w:type="dxa" w:w="4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2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Extension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 (MC-Dropout passes)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Number of stochastic forward passes for uncertainty estimation (T=30)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E1</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U_epistemic</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Mean variance across MC-Dropout passes — model's ignorance</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H[y|x]</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Predictive entropy — total uncertainty (aleatoric + epistemic)</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E1</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alpha_c</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Dirichlet concentration parameter for class c from EDL head</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Dirichlet strength = SUM alpha_c. Higher = more evidence, lower uncertainty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E1</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ECE</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Expected Calibration Error. Target &lt; 0.05</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epsilon_cut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ADWIN drift detection threshold — function of window size and confidence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MMD^2</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Squared Maximum Mean Discrepancy between reference and current embeddings</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L_EWC</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Elastic Weight Consolidation loss for selective retraining without forgetting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E2</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F_i</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Fisher information diagonal — importance of parameter i to old tasks</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G_t = (V_t, E_t)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Graph snapshot at time window 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E3</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h_e^t</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GRU hidden state of entity e at time t — its behavioural memory</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z_t, r_t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GRU update and reset gates at time 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E3</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alignment_score</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Cosine similarity sum between entity state sequence and kill chain vectors</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L_temporal</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Combined spatial classification + campaign detection loss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E3</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d_i</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384-dim sentence embedding of document chunk i in FAISS index</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Faithfulness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Fraction of LLM claims supported by retrieved context. Target &gt;= 0.90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E4</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tau_c</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Per-class confidence threshold adapted by Platt scaling from analyst feedback</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L_contrastive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Contrastive loss for online entity embedding update from analyst verdicts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E5</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priority_i</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Hard negative mining priority = 1 - max softmax confidence</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theta_shared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Model parameters shared across federated clients (GATConv, FC, BN)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E6</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theta_private_k</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Client-private entity embedding table. Never transmitted to server</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epsilon, delta</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Differential privacy parameters. Target: epsilon=1.0, delta=1e-5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E6</w:t>
            </w:r>
          </w:p>
        </w:tc>
      </w:tr>
      <w:tr>
        <w:tc>
          <w:tcPr>
            <w:tcW w:type="dxa" w:w="22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L_FedProx</w:t>
            </w:r>
          </w:p>
        </w:tc>
        <w:tc>
          <w:tcPr>
            <w:tcW w:type="dxa" w:w="440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FedProx objective: local loss + proximal penalty to global model</w:t>
            </w:r>
          </w:p>
        </w:tc>
        <w:tc>
          <w:tcPr>
            <w:tcW w:type="dxa" w:w="2760"/>
            <w:tcBorders>
              <w:top w:val="single" w:color="CBD5E1" w:sz="1"/>
              <w:left w:val="single" w:color="CBD5E1" w:sz="1"/>
              <w:bottom w:val="single" w:color="CBD5E1" w:sz="1"/>
              <w:right w:val="single" w:color="CBD5E1" w:sz="1"/>
            </w:tcBorders>
            <w:shd w:fill="F0F4F8" w:val="clear"/>
            <w:tcMar>
              <w:top w:type="dxa" w:w="80"/>
              <w:left w:type="dxa" w:w="120"/>
              <w:bottom w:type="dxa" w:w="80"/>
              <w:right w:type="dxa" w:w="120"/>
            </w:tcMar>
          </w:tcPr>
          <w:p>
            <w:r>
              <w:rPr>
                <w:rFonts w:ascii="Arial" w:cs="Arial" w:eastAsia="Arial" w:hAnsi="Arial"/>
                <w:sz w:val="20"/>
                <w:szCs w:val="20"/>
              </w:rPr>
              <w:t xml:space="preserve">E6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mu (FedProx)</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Proximal regularisation strength (mu = 0.01)</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E6</w:t>
            </w:r>
          </w:p>
        </w:tc>
      </w:tr>
    </w:tbl>
    <w:p>
      <w:pPr>
        <w:spacing w:before="80" w:after="80"/>
      </w:pPr>
      <w:r>
        <w:t xml:space="preserve"/>
      </w:r>
    </w:p>
    <w:p>
      <w:pPr>
        <w:pStyle w:val="Heading1"/>
        <w:pBdr>
          <w:bottom w:val="single" w:color="2563EB" w:sz="8" w:space="4"/>
        </w:pBdr>
        <w:spacing w:before="480" w:after="200"/>
      </w:pPr>
      <w:r>
        <w:rPr>
          <w:rFonts w:ascii="Arial" w:cs="Arial" w:eastAsia="Arial" w:hAnsi="Arial"/>
          <w:b/>
          <w:bCs/>
          <w:color w:val="1B3A6B"/>
          <w:sz w:val="36"/>
          <w:szCs w:val="36"/>
        </w:rPr>
        <w:t xml:space="preserve">9. References — Extensions</w:t>
      </w:r>
    </w:p>
    <w:p>
      <w:pPr>
        <w:spacing w:before="80" w:after="120"/>
        <w:jc w:val="both"/>
      </w:pPr>
      <w:r>
        <w:rPr>
          <w:rFonts w:ascii="Arial" w:cs="Arial" w:eastAsia="Arial" w:hAnsi="Arial"/>
          <w:sz w:val="22"/>
          <w:szCs w:val="22"/>
        </w:rPr>
        <w:t xml:space="preserve">Gal, Y., Ghahramani, Z. (2016). Dropout as a Bayesian approximation: Representing model uncertainty in deep learning. </w:t>
      </w:r>
      <w:r>
        <w:rPr>
          <w:rFonts w:ascii="Arial" w:cs="Arial" w:eastAsia="Arial" w:hAnsi="Arial"/>
          <w:i/>
          <w:iCs/>
          <w:sz w:val="22"/>
          <w:szCs w:val="22"/>
        </w:rPr>
        <w:t xml:space="preserve">ICML 2016.</w:t>
      </w:r>
    </w:p>
    <w:p>
      <w:pPr>
        <w:spacing w:before="80" w:after="120"/>
        <w:jc w:val="both"/>
      </w:pPr>
      <w:r>
        <w:rPr>
          <w:rFonts w:ascii="Arial" w:cs="Arial" w:eastAsia="Arial" w:hAnsi="Arial"/>
          <w:sz w:val="22"/>
          <w:szCs w:val="22"/>
        </w:rPr>
        <w:t xml:space="preserve">Sensoy, M., Kaplan, L., Kandemir, M. (2018). Evidential deep learning to quantify classification uncertainty. </w:t>
      </w:r>
      <w:r>
        <w:rPr>
          <w:rFonts w:ascii="Arial" w:cs="Arial" w:eastAsia="Arial" w:hAnsi="Arial"/>
          <w:i/>
          <w:iCs/>
          <w:sz w:val="22"/>
          <w:szCs w:val="22"/>
        </w:rPr>
        <w:t xml:space="preserve">NeurIPS 2018.</w:t>
      </w:r>
    </w:p>
    <w:p>
      <w:pPr>
        <w:spacing w:before="80" w:after="120"/>
        <w:jc w:val="both"/>
      </w:pPr>
      <w:r>
        <w:rPr>
          <w:rFonts w:ascii="Arial" w:cs="Arial" w:eastAsia="Arial" w:hAnsi="Arial"/>
          <w:sz w:val="22"/>
          <w:szCs w:val="22"/>
        </w:rPr>
        <w:t xml:space="preserve">Bifet, A., Gavalda, R. (2007). Learning from time-changing data with adaptive windowing. </w:t>
      </w:r>
      <w:r>
        <w:rPr>
          <w:rFonts w:ascii="Arial" w:cs="Arial" w:eastAsia="Arial" w:hAnsi="Arial"/>
          <w:i/>
          <w:iCs/>
          <w:sz w:val="22"/>
          <w:szCs w:val="22"/>
        </w:rPr>
        <w:t xml:space="preserve">SIAM SDM 2007.</w:t>
      </w:r>
    </w:p>
    <w:p>
      <w:pPr>
        <w:spacing w:before="80" w:after="120"/>
        <w:jc w:val="both"/>
      </w:pPr>
      <w:r>
        <w:rPr>
          <w:rFonts w:ascii="Arial" w:cs="Arial" w:eastAsia="Arial" w:hAnsi="Arial"/>
          <w:sz w:val="22"/>
          <w:szCs w:val="22"/>
        </w:rPr>
        <w:t xml:space="preserve">Gretton, A., et al. (2012). A kernel two-sample test. </w:t>
      </w:r>
      <w:r>
        <w:rPr>
          <w:rFonts w:ascii="Arial" w:cs="Arial" w:eastAsia="Arial" w:hAnsi="Arial"/>
          <w:i/>
          <w:iCs/>
          <w:sz w:val="22"/>
          <w:szCs w:val="22"/>
        </w:rPr>
        <w:t xml:space="preserve">JMLR, 13, 723-773.</w:t>
      </w:r>
    </w:p>
    <w:p>
      <w:pPr>
        <w:spacing w:before="80" w:after="120"/>
        <w:jc w:val="both"/>
      </w:pPr>
      <w:r>
        <w:rPr>
          <w:rFonts w:ascii="Arial" w:cs="Arial" w:eastAsia="Arial" w:hAnsi="Arial"/>
          <w:sz w:val="22"/>
          <w:szCs w:val="22"/>
        </w:rPr>
        <w:t xml:space="preserve">Kirkpatrick, J., et al. (2017). Overcoming catastrophic forgetting in neural networks. </w:t>
      </w:r>
      <w:r>
        <w:rPr>
          <w:rFonts w:ascii="Arial" w:cs="Arial" w:eastAsia="Arial" w:hAnsi="Arial"/>
          <w:i/>
          <w:iCs/>
          <w:sz w:val="22"/>
          <w:szCs w:val="22"/>
        </w:rPr>
        <w:t xml:space="preserve">PNAS, 114(13), 3521-3526.</w:t>
      </w:r>
    </w:p>
    <w:p>
      <w:pPr>
        <w:spacing w:before="80" w:after="120"/>
        <w:jc w:val="both"/>
      </w:pPr>
      <w:r>
        <w:rPr>
          <w:rFonts w:ascii="Arial" w:cs="Arial" w:eastAsia="Arial" w:hAnsi="Arial"/>
          <w:sz w:val="22"/>
          <w:szCs w:val="22"/>
        </w:rPr>
        <w:t xml:space="preserve">Lewis, P., et al. (2020). Retrieval-augmented generation for knowledge-intensive NLP tasks. </w:t>
      </w:r>
      <w:r>
        <w:rPr>
          <w:rFonts w:ascii="Arial" w:cs="Arial" w:eastAsia="Arial" w:hAnsi="Arial"/>
          <w:i/>
          <w:iCs/>
          <w:sz w:val="22"/>
          <w:szCs w:val="22"/>
        </w:rPr>
        <w:t xml:space="preserve">NeurIPS 2020.</w:t>
      </w:r>
    </w:p>
    <w:p>
      <w:pPr>
        <w:spacing w:before="80" w:after="120"/>
        <w:jc w:val="both"/>
      </w:pPr>
      <w:r>
        <w:rPr>
          <w:rFonts w:ascii="Arial" w:cs="Arial" w:eastAsia="Arial" w:hAnsi="Arial"/>
          <w:sz w:val="22"/>
          <w:szCs w:val="22"/>
        </w:rPr>
        <w:t xml:space="preserve">McMahan, H.B., et al. (2017). Communication-efficient learning of deep networks from decentralized data. </w:t>
      </w:r>
      <w:r>
        <w:rPr>
          <w:rFonts w:ascii="Arial" w:cs="Arial" w:eastAsia="Arial" w:hAnsi="Arial"/>
          <w:i/>
          <w:iCs/>
          <w:sz w:val="22"/>
          <w:szCs w:val="22"/>
        </w:rPr>
        <w:t xml:space="preserve">AISTATS 2017.</w:t>
      </w:r>
    </w:p>
    <w:p>
      <w:pPr>
        <w:spacing w:before="80" w:after="120"/>
        <w:jc w:val="both"/>
      </w:pPr>
      <w:r>
        <w:rPr>
          <w:rFonts w:ascii="Arial" w:cs="Arial" w:eastAsia="Arial" w:hAnsi="Arial"/>
          <w:sz w:val="22"/>
          <w:szCs w:val="22"/>
        </w:rPr>
        <w:t xml:space="preserve">Li, T., et al. (2020). Federated optimization in heterogeneous networks (FedProx). </w:t>
      </w:r>
      <w:r>
        <w:rPr>
          <w:rFonts w:ascii="Arial" w:cs="Arial" w:eastAsia="Arial" w:hAnsi="Arial"/>
          <w:i/>
          <w:iCs/>
          <w:sz w:val="22"/>
          <w:szCs w:val="22"/>
        </w:rPr>
        <w:t xml:space="preserve">MLSys 2020.</w:t>
      </w:r>
    </w:p>
    <w:p>
      <w:pPr>
        <w:spacing w:before="80" w:after="120"/>
        <w:jc w:val="both"/>
      </w:pPr>
      <w:r>
        <w:rPr>
          <w:rFonts w:ascii="Arial" w:cs="Arial" w:eastAsia="Arial" w:hAnsi="Arial"/>
          <w:sz w:val="22"/>
          <w:szCs w:val="22"/>
        </w:rPr>
        <w:t xml:space="preserve">Abadi, M., et al. (2016). Deep learning with differential privacy. </w:t>
      </w:r>
      <w:r>
        <w:rPr>
          <w:rFonts w:ascii="Arial" w:cs="Arial" w:eastAsia="Arial" w:hAnsi="Arial"/>
          <w:i/>
          <w:iCs/>
          <w:sz w:val="22"/>
          <w:szCs w:val="22"/>
        </w:rPr>
        <w:t xml:space="preserve">ACM CCS 2016.</w:t>
      </w:r>
    </w:p>
    <w:p>
      <w:pPr>
        <w:spacing w:before="80" w:after="120"/>
        <w:jc w:val="both"/>
      </w:pPr>
      <w:r>
        <w:rPr>
          <w:rFonts w:ascii="Arial" w:cs="Arial" w:eastAsia="Arial" w:hAnsi="Arial"/>
          <w:sz w:val="22"/>
          <w:szCs w:val="22"/>
        </w:rPr>
        <w:t xml:space="preserve">Es, S., et al. (2023). RAGAS: Automated evaluation of retrieval augmented generation. </w:t>
      </w:r>
      <w:r>
        <w:rPr>
          <w:rFonts w:ascii="Arial" w:cs="Arial" w:eastAsia="Arial" w:hAnsi="Arial"/>
          <w:i/>
          <w:iCs/>
          <w:sz w:val="22"/>
          <w:szCs w:val="22"/>
        </w:rPr>
        <w:t xml:space="preserve">EACL 2024.</w:t>
      </w:r>
    </w:p>
    <w:p>
      <w:pPr>
        <w:spacing w:before="80" w:after="120"/>
        <w:jc w:val="both"/>
      </w:pPr>
      <w:r>
        <w:rPr>
          <w:rFonts w:ascii="Arial" w:cs="Arial" w:eastAsia="Arial" w:hAnsi="Arial"/>
          <w:sz w:val="22"/>
          <w:szCs w:val="22"/>
        </w:rPr>
        <w:t xml:space="preserve">Cho, K., et al. (2014). Learning phrase representations using RNN encoder-decoder (GRU). </w:t>
      </w:r>
      <w:r>
        <w:rPr>
          <w:rFonts w:ascii="Arial" w:cs="Arial" w:eastAsia="Arial" w:hAnsi="Arial"/>
          <w:i/>
          <w:iCs/>
          <w:sz w:val="22"/>
          <w:szCs w:val="22"/>
        </w:rPr>
        <w:t xml:space="preserve">EMNLP 2014.</w:t>
      </w:r>
    </w:p>
    <w:p>
      <w:pPr>
        <w:spacing w:before="80" w:after="120"/>
        <w:jc w:val="both"/>
      </w:pPr>
      <w:r>
        <w:rPr>
          <w:rFonts w:ascii="Arial" w:cs="Arial" w:eastAsia="Arial" w:hAnsi="Arial"/>
          <w:sz w:val="22"/>
          <w:szCs w:val="22"/>
        </w:rPr>
        <w:t xml:space="preserve">Niculescu-Mizil, A., Caruana, R. (2005). Predicting good probabilities with supervised learning (Platt scaling). </w:t>
      </w:r>
      <w:r>
        <w:rPr>
          <w:rFonts w:ascii="Arial" w:cs="Arial" w:eastAsia="Arial" w:hAnsi="Arial"/>
          <w:i/>
          <w:iCs/>
          <w:sz w:val="22"/>
          <w:szCs w:val="22"/>
        </w:rPr>
        <w:t xml:space="preserve">ICML 2005.</w:t>
      </w:r>
    </w:p>
    <w:p>
      <w:pPr>
        <w:spacing w:before="80" w:after="80"/>
      </w:pPr>
      <w:r>
        <w:t xml:space="preserve"/>
      </w:r>
    </w:p>
    <w:p>
      <w:pPr>
        <w:pBdr>
          <w:bottom w:val="single" w:color="CBD5E1" w:sz="4" w:space="4"/>
        </w:pBdr>
        <w:spacing w:before="200" w:after="200"/>
      </w:pPr>
      <w:r>
        <w:t xml:space="preserve"/>
      </w:r>
    </w:p>
    <w:p>
      <w:pPr>
        <w:spacing w:before="200"/>
        <w:jc w:val="center"/>
      </w:pPr>
      <w:r>
        <w:rPr>
          <w:rFonts w:ascii="Arial" w:cs="Arial" w:eastAsia="Arial" w:hAnsi="Arial"/>
          <w:i/>
          <w:iCs/>
          <w:color w:val="475569"/>
          <w:sz w:val="20"/>
          <w:szCs w:val="20"/>
        </w:rPr>
        <w:t xml:space="preserve">End of S-XG-NID Extensions Document (Volume II)  |  Build it novel, build it rigorous.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40A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766E"/>
      <w:sz w:val="24"/>
      <w:szCs w:val="24"/>
    </w:rPr>
  </w:style>
  <w:style w:type="paragraph" w:styleId="Heading4">
    <w:name w:val="Heading 4"/>
    <w:basedOn w:val="Normal"/>
    <w:next w:val="Normal"/>
    <w:qFormat/>
    <w:pPr>
      <w:spacing w:before="200" w:after="8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2026-02-24T06:26:23.710Z</dcterms:created>
  <dcterms:modified xsi:type="dcterms:W3CDTF">2026-02-24T06:26:23.711Z</dcterms:modified>
</cp:coreProperties>
</file>

<file path=docProps/custom.xml><?xml version="1.0" encoding="utf-8"?>
<Properties xmlns="http://schemas.openxmlformats.org/officeDocument/2006/custom-properties" xmlns:vt="http://schemas.openxmlformats.org/officeDocument/2006/docPropsVTypes"/>
</file>