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5C8A"/>
          <w:spacing w:val="40"/>
          <w:sz w:val="20"/>
          <w:szCs w:val="20"/>
        </w:rPr>
        <w:t xml:space="preserve">MERIDIAN TRUST BANK</w:t>
      </w:r>
    </w:p>
    <w:p>
      <w:pPr>
        <w:pBdr>
          <w:bottom w:val="single" w:color="1F3864" w:sz="12" w:space="6"/>
        </w:pBdr>
        <w:spacing w:after="60"/>
      </w:pPr>
      <w:r>
        <w:rPr>
          <w:rFonts w:ascii="Calibri" w:cs="Calibri" w:eastAsia="Calibri" w:hAnsi="Calibri"/>
          <w:b/>
          <w:bCs/>
          <w:color w:val="1F3864"/>
          <w:sz w:val="34"/>
          <w:szCs w:val="34"/>
        </w:rPr>
        <w:t xml:space="preserve">Board of Directors — Strategy Memorandum</w:t>
      </w:r>
    </w:p>
    <w:p>
      <w:pPr>
        <w:spacing w:after="80"/>
      </w:pP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1613"/>
        <w:gridCol w:w="8467"/>
      </w:tblGrid>
      <w:tr>
        <w:tc>
          <w:tcPr>
            <w:tcW w:type="dxa" w:w="1613"/>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To</w:t>
            </w:r>
          </w:p>
        </w:tc>
        <w:tc>
          <w:tcPr>
            <w:tcW w:type="dxa" w:w="8467"/>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Board of Directors, Meridian Trust Bank</w:t>
            </w:r>
          </w:p>
        </w:tc>
      </w:tr>
      <w:tr>
        <w:tc>
          <w:tcPr>
            <w:tcW w:type="dxa" w:w="1613"/>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From</w:t>
            </w:r>
          </w:p>
        </w:tc>
        <w:tc>
          <w:tcPr>
            <w:tcW w:type="dxa" w:w="8467"/>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Corporate Development &amp; Strategy, with Group Risk and Group Finance</w:t>
            </w:r>
          </w:p>
        </w:tc>
      </w:tr>
      <w:tr>
        <w:tc>
          <w:tcPr>
            <w:tcW w:type="dxa" w:w="1613"/>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Date</w:t>
            </w:r>
          </w:p>
        </w:tc>
        <w:tc>
          <w:tcPr>
            <w:tcW w:type="dxa" w:w="8467"/>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13 August 2026</w:t>
            </w:r>
          </w:p>
        </w:tc>
      </w:tr>
      <w:tr>
        <w:tc>
          <w:tcPr>
            <w:tcW w:type="dxa" w:w="1613"/>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Subject</w:t>
            </w:r>
          </w:p>
        </w:tc>
        <w:tc>
          <w:tcPr>
            <w:tcW w:type="dxa" w:w="8467"/>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Card-lending scale strategy — acquisition of Northfield Card Bank (Project Northfield) or Harborview Community Bank (Project Harborview)</w:t>
            </w:r>
          </w:p>
        </w:tc>
      </w:tr>
      <w:tr>
        <w:tc>
          <w:tcPr>
            <w:tcW w:type="dxa" w:w="1613"/>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Classification</w:t>
            </w:r>
          </w:p>
        </w:tc>
        <w:tc>
          <w:tcPr>
            <w:tcW w:type="dxa" w:w="8467"/>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Board confidential — for discussion and resolution</w:t>
            </w:r>
          </w:p>
        </w:tc>
      </w:tr>
    </w:tbl>
    <w:p>
      <w:pPr>
        <w:spacing w:after="160"/>
      </w:pPr>
    </w:p>
    <w:tbl>
      <w:tblPr>
        <w:tblW w:type="dxa" w:w="10080"/>
        <w:tblBorders>
          <w:top w:val="single" w:color="9C2B1B" w:sz="4"/>
          <w:left w:val="single" w:color="9C2B1B" w:sz="18"/>
          <w:bottom w:val="single" w:color="9C2B1B" w:sz="4"/>
          <w:right w:val="single" w:color="9C2B1B" w:sz="4"/>
          <w:insideH w:val="single" w:color="auto" w:sz="4"/>
          <w:insideV w:val="single" w:color="auto" w:sz="4"/>
        </w:tblBorders>
      </w:tblPr>
      <w:tblGrid>
        <w:gridCol w:w="10080"/>
      </w:tblGrid>
      <w:tr>
        <w:tc>
          <w:tcPr>
            <w:tcW w:type="dxa" w:w="10080"/>
            <w:shd w:fill="FDF2EC" w:color="auto" w:val="clear"/>
            <w:tcMar>
              <w:top w:type="dxa" w:w="140"/>
              <w:left w:type="dxa" w:w="180"/>
              <w:bottom w:type="dxa" w:w="140"/>
              <w:right w:type="dxa" w:w="180"/>
            </w:tcMar>
          </w:tcPr>
          <w:p>
            <w:pPr>
              <w:spacing w:after="0" w:line="240"/>
            </w:pPr>
            <w:r>
              <w:rPr>
                <w:rFonts w:ascii="Calibri" w:cs="Calibri" w:eastAsia="Calibri" w:hAnsi="Calibri"/>
                <w:b/>
                <w:bCs/>
                <w:color w:val="9C2B1B"/>
                <w:sz w:val="17"/>
                <w:szCs w:val="17"/>
              </w:rPr>
              <w:t xml:space="preserve">FICTIONAL / SIMULATED CASE MATERIAL.  </w:t>
            </w:r>
            <w:r>
              <w:rPr>
                <w:rFonts w:ascii="Calibri" w:cs="Calibri" w:eastAsia="Calibri" w:hAnsi="Calibri"/>
                <w:color w:val="9C2B1B"/>
                <w:sz w:val="17"/>
                <w:szCs w:val="17"/>
              </w:rPr>
              <w:t xml:space="preserve">All entities, financial figures, and events in this document are entirely fictional, created for illustrative/educational simulation purposes. They do not represent any real institution, and nothing here is financial, investment, or M&amp;A advice.</w:t>
            </w:r>
          </w:p>
        </w:tc>
      </w:tr>
    </w:tbl>
    <w:p>
      <w:pPr>
        <w:spacing w:after="200"/>
      </w:pPr>
    </w:p>
    <w:p>
      <w:pPr>
        <w:pStyle w:val="Heading1"/>
        <w:keepNext/>
        <w:pBdr>
          <w:bottom w:val="single" w:color="1F3864" w:sz="8" w:space="4"/>
        </w:pBdr>
        <w:spacing w:after="140" w:before="320"/>
      </w:pPr>
      <w:r>
        <w:rPr>
          <w:rFonts w:ascii="Calibri" w:cs="Calibri" w:eastAsia="Calibri" w:hAnsi="Calibri"/>
          <w:b/>
          <w:bCs/>
          <w:color w:val="1F3864"/>
          <w:sz w:val="26"/>
          <w:szCs w:val="26"/>
        </w:rPr>
        <w:t xml:space="preserve">1.  Executive Summary and Recommendation</w:t>
      </w:r>
    </w:p>
    <w:tbl>
      <w:tblPr>
        <w:tblW w:type="dxa" w:w="10080"/>
        <w:tblBorders>
          <w:top w:val="single" w:color="1E6B44" w:sz="4"/>
          <w:left w:val="single" w:color="1E6B44" w:sz="18"/>
          <w:bottom w:val="single" w:color="1E6B44" w:sz="4"/>
          <w:right w:val="single" w:color="1E6B44" w:sz="4"/>
          <w:insideH w:val="single" w:color="auto" w:sz="4"/>
          <w:insideV w:val="single" w:color="auto" w:sz="4"/>
        </w:tblBorders>
      </w:tblPr>
      <w:tblGrid>
        <w:gridCol w:w="10080"/>
      </w:tblGrid>
      <w:tr>
        <w:tc>
          <w:tcPr>
            <w:tcW w:type="dxa" w:w="10080"/>
            <w:shd w:fill="EFF6F1" w:color="auto" w:val="clear"/>
            <w:tcMar>
              <w:top w:type="dxa" w:w="140"/>
              <w:left w:type="dxa" w:w="180"/>
              <w:bottom w:type="dxa" w:w="140"/>
              <w:right w:type="dxa" w:w="180"/>
            </w:tcMar>
          </w:tcPr>
          <w:p>
            <w:pPr>
              <w:spacing w:after="100" w:line="260"/>
            </w:pPr>
            <w:r>
              <w:rPr>
                <w:rFonts w:ascii="Calibri" w:cs="Calibri" w:eastAsia="Calibri" w:hAnsi="Calibri"/>
                <w:b/>
                <w:bCs/>
                <w:color w:val="1E6B44"/>
                <w:sz w:val="20"/>
                <w:szCs w:val="20"/>
              </w:rPr>
              <w:t xml:space="preserve">RECOMMENDATION.  </w:t>
            </w:r>
            <w:r>
              <w:rPr>
                <w:rFonts w:ascii="Calibri" w:cs="Calibri" w:eastAsia="Calibri" w:hAnsi="Calibri"/>
                <w:b/>
                <w:bCs/>
                <w:color w:val="1A1A1A"/>
                <w:sz w:val="20"/>
                <w:szCs w:val="20"/>
              </w:rPr>
              <w:t xml:space="preserve">Proceed with Project Harborview — acquire Harborview Community Bank for $1,050mm in cash. Do not proceed with Project Northfield on the terms and structure presented.</w:t>
            </w:r>
          </w:p>
          <w:p>
            <w:pPr>
              <w:spacing w:after="0" w:line="260"/>
            </w:pPr>
            <w:r>
              <w:rPr>
                <w:rFonts w:ascii="Calibri" w:cs="Calibri" w:eastAsia="Calibri" w:hAnsi="Calibri"/>
                <w:b w:val="false"/>
                <w:bCs w:val="false"/>
                <w:i w:val="false"/>
                <w:iCs w:val="false"/>
                <w:caps w:val="false"/>
                <w:color w:val="1A1A1A"/>
                <w:sz w:val="19"/>
                <w:szCs w:val="19"/>
              </w:rPr>
              <w:t xml:space="preserve">Northfield is the more accretive transaction and the one that answers the board's strategic mandate in a single step. It is also, on our numbers, not executable as structured: it takes pro forma CET1 to 7.42% — 358 basis points below our internal target and 42 basis points above the regulatory floor — and requires a $1,054.5mm common equity issuance equal to 20.0% of our market capitalisation. Once that capital is priced in and a moderate recession applied, Northfield's return advantage over Harborview narrows from 858 basis points to 67. We are being asked to pay a full price, in scarce capital, for a book whose credit quality has deteriorated in each of the last three years.</w:t>
            </w:r>
          </w:p>
        </w:tc>
      </w:tr>
    </w:tbl>
    <w:p>
      <w:pPr>
        <w:spacing w:after="160"/>
      </w:pPr>
    </w:p>
    <w:p>
      <w:pPr>
        <w:pStyle w:val="Heading2"/>
        <w:keepNext/>
        <w:spacing w:after="100" w:before="240"/>
      </w:pPr>
      <w:r>
        <w:rPr>
          <w:rFonts w:ascii="Calibri" w:cs="Calibri" w:eastAsia="Calibri" w:hAnsi="Calibri"/>
          <w:b/>
          <w:bCs/>
          <w:color w:val="2E5C8A"/>
          <w:sz w:val="22"/>
          <w:szCs w:val="22"/>
        </w:rPr>
        <w:t xml:space="preserve">1.1  The four findings that drive the recommendation</w:t>
      </w:r>
    </w:p>
    <w:p>
      <w:pPr>
        <w:keepNext w:val="false"/>
        <w:keepLines w:val="false"/>
        <w:spacing w:after="120" w:before="0" w:line="264"/>
      </w:pPr>
      <w:r>
        <w:rPr>
          <w:rFonts w:ascii="Calibri" w:cs="Calibri" w:eastAsia="Calibri" w:hAnsi="Calibri"/>
          <w:b/>
          <w:bCs/>
          <w:i w:val="false"/>
          <w:iCs w:val="false"/>
          <w:caps w:val="false"/>
          <w:color w:val="1A1A1A"/>
          <w:sz w:val="20"/>
          <w:szCs w:val="20"/>
        </w:rPr>
        <w:t xml:space="preserve">First — Northfield's capital cost is prohibitive, and it is structural rather than a matter of price. </w:t>
      </w:r>
      <w:r>
        <w:rPr>
          <w:rFonts w:ascii="Calibri" w:cs="Calibri" w:eastAsia="Calibri" w:hAnsi="Calibri"/>
          <w:b w:val="false"/>
          <w:bCs w:val="false"/>
          <w:i w:val="false"/>
          <w:iCs w:val="false"/>
          <w:caps w:val="false"/>
          <w:color w:val="1A1A1A"/>
          <w:sz w:val="20"/>
          <w:szCs w:val="20"/>
        </w:rPr>
        <w:t xml:space="preserve">Goodwill of $865mm is a straight deduction from CET1, and Northfield brings $6,850mm of risk-weighted assets. Together they take the combined CET1 ratio from 13.50% to 7.42%. Restoring the 11.0% internal target requires $1,054.5mm of new common equity — 23.97mm shares, 16.6% dilution of existing holders. Critically, this is not simply a question of paying less: even at a nil-goodwill price, absorbing Northfield's RWA alone would still require $189.5mm of new capital, and at Northfield's unpremiumed standalone value of $1,320mm the all-cash structure would still demand a raise of roughly $725mm. There is no price the seller would plausibly accept at which this deal is self-funding in cash.</w:t>
      </w:r>
    </w:p>
    <w:p>
      <w:pPr>
        <w:keepNext w:val="false"/>
        <w:keepLines w:val="false"/>
        <w:spacing w:after="120" w:before="0" w:line="264"/>
      </w:pPr>
      <w:r>
        <w:rPr>
          <w:rFonts w:ascii="Calibri" w:cs="Calibri" w:eastAsia="Calibri" w:hAnsi="Calibri"/>
          <w:b/>
          <w:bCs/>
          <w:i w:val="false"/>
          <w:iCs w:val="false"/>
          <w:caps w:val="false"/>
          <w:color w:val="1A1A1A"/>
          <w:sz w:val="20"/>
          <w:szCs w:val="20"/>
        </w:rPr>
        <w:t xml:space="preserve">Second — the accretion is real, but it is manufactured by leverage and it does not survive stress. </w:t>
      </w:r>
      <w:r>
        <w:rPr>
          <w:rFonts w:ascii="Calibri" w:cs="Calibri" w:eastAsia="Calibri" w:hAnsi="Calibri"/>
          <w:b w:val="false"/>
          <w:bCs w:val="false"/>
          <w:i w:val="false"/>
          <w:iCs w:val="false"/>
          <w:caps w:val="false"/>
          <w:color w:val="1A1A1A"/>
          <w:sz w:val="20"/>
          <w:szCs w:val="20"/>
        </w:rPr>
        <w:t xml:space="preserve">Northfield delivers Year-3 EPS accretion of 89.0% against 28.6% for Harborview. That gap is arithmetic: we would be buying a 38.7% return-on-equity book at 4.73x earnings, a 21.1% earnings yield, funded 70% with debt costing 3.9% after tax. Apply the board-mandated recession stress, however, and Northfield's Year-1 accretion collapses from 39.8% to 1.5%, while Harborview's moves only from 3.9% to 2.1%. On a stress-adjusted Year-3 return on committed capital the two deals are 14.35% and 13.68% — essentially indistinguishable. Northfield's excess return is a credit-risk premium, not a durable earnings advantage.</w:t>
      </w:r>
    </w:p>
    <w:p>
      <w:pPr>
        <w:keepNext w:val="false"/>
        <w:keepLines w:val="false"/>
        <w:spacing w:after="120" w:before="0" w:line="264"/>
      </w:pPr>
      <w:r>
        <w:rPr>
          <w:rFonts w:ascii="Calibri" w:cs="Calibri" w:eastAsia="Calibri" w:hAnsi="Calibri"/>
          <w:b/>
          <w:bCs/>
          <w:i w:val="false"/>
          <w:iCs w:val="false"/>
          <w:caps w:val="false"/>
          <w:color w:val="1A1A1A"/>
          <w:sz w:val="20"/>
          <w:szCs w:val="20"/>
        </w:rPr>
        <w:t xml:space="preserve">Third — we would be buying a deteriorating trend, not a stable snapshot. </w:t>
      </w:r>
      <w:r>
        <w:rPr>
          <w:rFonts w:ascii="Calibri" w:cs="Calibri" w:eastAsia="Calibri" w:hAnsi="Calibri"/>
          <w:b w:val="false"/>
          <w:bCs w:val="false"/>
          <w:i w:val="false"/>
          <w:iCs w:val="false"/>
          <w:caps w:val="false"/>
          <w:color w:val="1A1A1A"/>
          <w:sz w:val="20"/>
          <w:szCs w:val="20"/>
        </w:rPr>
        <w:t xml:space="preserve">Over FY2023–FY2025 Northfield grew gross receivables at a 24% compound rate. Across the same window its 90+ day delinquency rose from 1.50% to 2.40%, its net charge-off rate from 3.00% to 4.60%, and its CET1 ratio fell from 13.5% to 11.5%. Provision expense grew at roughly 34% a year — materially faster than the book that generates it, so that provisions rose from 4.36% to 5.10% of receivables even against a rapidly inflating denominator. Harborview's equivalent metrics did not move at all. Northfield is the only one of the three institutions whose credit quality and capital position both weakened while it grew fastest, and that pattern is invisible in the FY2025 snapshot alone.</w:t>
      </w:r>
    </w:p>
    <w:p>
      <w:pPr>
        <w:keepNext w:val="false"/>
        <w:keepLines w:val="false"/>
        <w:spacing w:after="120" w:before="0" w:line="264"/>
      </w:pPr>
      <w:r>
        <w:rPr>
          <w:rFonts w:ascii="Calibri" w:cs="Calibri" w:eastAsia="Calibri" w:hAnsi="Calibri"/>
          <w:b/>
          <w:bCs/>
          <w:i w:val="false"/>
          <w:iCs w:val="false"/>
          <w:caps w:val="false"/>
          <w:color w:val="1A1A1A"/>
          <w:sz w:val="20"/>
          <w:szCs w:val="20"/>
        </w:rPr>
        <w:t xml:space="preserve">Fourth — the weighted scorecard reaches the same conclusion, and is not sensitive to any single judgement. </w:t>
      </w:r>
      <w:r>
        <w:rPr>
          <w:rFonts w:ascii="Calibri" w:cs="Calibri" w:eastAsia="Calibri" w:hAnsi="Calibri"/>
          <w:b w:val="false"/>
          <w:bCs w:val="false"/>
          <w:i w:val="false"/>
          <w:iCs w:val="false"/>
          <w:caps w:val="false"/>
          <w:color w:val="1A1A1A"/>
          <w:sz w:val="20"/>
          <w:szCs w:val="20"/>
        </w:rPr>
        <w:t xml:space="preserve">Applying the board's framework, Harborview scores 3.85 against Northfield's 3.00. Northfield wins decisively on strategic fit and accretion and loses decisively on capital, credit quality and conduct risk. We tested the result: for Northfield to draw level, it would need a score of 6.7 on either the capital or the credit dimension — above the maximum available score of 5. The conclusion does not rest on one contestable judgement.</w:t>
      </w:r>
    </w:p>
    <w:p>
      <w:pPr>
        <w:pStyle w:val="Heading2"/>
        <w:keepNext/>
        <w:spacing w:after="100" w:before="240"/>
      </w:pPr>
      <w:r>
        <w:rPr>
          <w:rFonts w:ascii="Calibri" w:cs="Calibri" w:eastAsia="Calibri" w:hAnsi="Calibri"/>
          <w:b/>
          <w:bCs/>
          <w:color w:val="2E5C8A"/>
          <w:sz w:val="22"/>
          <w:szCs w:val="22"/>
        </w:rPr>
        <w:t xml:space="preserve">1.2  What we are giving up, and how we propose to close the gap</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We should be candid with ourselves about the cost of this recommendation. Harborview does not deliver the board's mandate. It lifts combined gross card receivables from $1,190mm to $1,545mm — a 1.30x uplift, against the 7.34x Northfield would deliver — and adds 145,000 accounts against 2,850,000. Card lending would remain roughly 3% of group assets. If the strategic thesis is that structural returns in Canadian retail banking now sit in the revolving card book, Harborview does not capture them.</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What Harborview does deliver is the two inputs we lack and cannot buy separately: a clean, tested consumer underwriting model with a 1.2% charge-off record through cycle, and $8,200mm of low-cost branch-sourced deposits, of which $6,300mm is chequing and savings. Our own constraint has never been demand — we hold 480,000 card accounts, $5,600mm of committed lines and a 20.99% posted APR. Our constraint is that our customers transact rather than revolve, and that we have lacked the underwriting apparatus to lend confidently further down the credit spectrum. Section 8 sets out a build programme that applies Harborview's model to our own prime deposit base, funded by the capital Project Northfield would have consumed.</w:t>
      </w:r>
    </w:p>
    <w:p>
      <w:pPr>
        <w:keepNext w:val="false"/>
        <w:keepLines w:val="false"/>
        <w:spacing w:after="120" w:before="0" w:line="264"/>
      </w:pPr>
      <w:r>
        <w:rPr>
          <w:rFonts w:ascii="Calibri" w:cs="Calibri" w:eastAsia="Calibri" w:hAnsi="Calibri"/>
          <w:b/>
          <w:bCs/>
          <w:i w:val="false"/>
          <w:iCs w:val="false"/>
          <w:caps w:val="false"/>
          <w:color w:val="1A1A1A"/>
          <w:sz w:val="20"/>
          <w:szCs w:val="20"/>
        </w:rPr>
        <w:t xml:space="preserve">We also recommend the board keep Northfield live rather than close the file. </w:t>
      </w:r>
      <w:r>
        <w:rPr>
          <w:rFonts w:ascii="Calibri" w:cs="Calibri" w:eastAsia="Calibri" w:hAnsi="Calibri"/>
          <w:b w:val="false"/>
          <w:bCs w:val="false"/>
          <w:i w:val="false"/>
          <w:iCs w:val="false"/>
          <w:caps w:val="false"/>
          <w:color w:val="1A1A1A"/>
          <w:sz w:val="20"/>
          <w:szCs w:val="20"/>
        </w:rPr>
        <w:t xml:space="preserve">Section 8.2 sets out the specific structural and evidentiary conditions — principally a consideration mix of at least 64% stock, and two consecutive halves of stabilised delinquency — under which management would return to the board with a revised proposal.</w:t>
      </w:r>
    </w:p>
    <w:p>
      <w:pPr>
        <w:keepNext/>
        <w:spacing w:after="80" w:before="200"/>
      </w:pPr>
      <w:r>
        <w:rPr>
          <w:rFonts w:ascii="Calibri" w:cs="Calibri" w:eastAsia="Calibri" w:hAnsi="Calibri"/>
          <w:b/>
          <w:bCs/>
          <w:color w:val="1F3864"/>
          <w:sz w:val="17"/>
          <w:szCs w:val="17"/>
        </w:rPr>
        <w:t xml:space="preserve">Table 1 — Decision at a glance</w:t>
      </w: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3427"/>
        <w:gridCol w:w="3326"/>
        <w:gridCol w:w="3327"/>
      </w:tblGrid>
      <w:tr>
        <w:trPr>
          <w:tblHeader/>
        </w:trPr>
        <w:tc>
          <w:tcPr>
            <w:tcW w:type="dxa" w:w="3427"/>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FFFFFF"/>
                <w:sz w:val="17"/>
                <w:szCs w:val="17"/>
              </w:rPr>
              <w:t xml:space="preserve"/>
            </w:r>
          </w:p>
        </w:tc>
        <w:tc>
          <w:tcPr>
            <w:tcW w:type="dxa" w:w="3326"/>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Project Northfield (Deal B)</w:t>
            </w:r>
          </w:p>
        </w:tc>
        <w:tc>
          <w:tcPr>
            <w:tcW w:type="dxa" w:w="3327"/>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Project Harborview (Deal C)</w:t>
            </w:r>
          </w:p>
        </w:tc>
      </w:tr>
      <w:tr>
        <w:tc>
          <w:tcPr>
            <w:tcW w:type="dxa" w:w="342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Purchase price</w:t>
            </w:r>
          </w:p>
        </w:tc>
        <w:tc>
          <w:tcPr>
            <w:tcW w:type="dxa" w:w="332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$1,650mm cash</w:t>
            </w:r>
          </w:p>
        </w:tc>
        <w:tc>
          <w:tcPr>
            <w:tcW w:type="dxa" w:w="3327"/>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$1,050mm cash</w:t>
            </w:r>
          </w:p>
        </w:tc>
      </w:tr>
      <w:tr>
        <w:tc>
          <w:tcPr>
            <w:tcW w:type="dxa" w:w="342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Goodwill created</w:t>
            </w:r>
          </w:p>
        </w:tc>
        <w:tc>
          <w:tcPr>
            <w:tcW w:type="dxa" w:w="332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$865mm</w:t>
            </w:r>
          </w:p>
        </w:tc>
        <w:tc>
          <w:tcPr>
            <w:tcW w:type="dxa" w:w="3327"/>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$262mm</w:t>
            </w:r>
          </w:p>
        </w:tc>
      </w:tr>
      <w:tr>
        <w:tc>
          <w:tcPr>
            <w:tcW w:type="dxa" w:w="342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 forma CET1, before raise</w:t>
            </w:r>
          </w:p>
        </w:tc>
        <w:tc>
          <w:tcPr>
            <w:tcW w:type="dxa" w:w="332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7.42%</w:t>
            </w:r>
          </w:p>
        </w:tc>
        <w:tc>
          <w:tcPr>
            <w:tcW w:type="dxa" w:w="3327"/>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10.31%</w:t>
            </w:r>
          </w:p>
        </w:tc>
      </w:tr>
      <w:tr>
        <w:tc>
          <w:tcPr>
            <w:tcW w:type="dxa" w:w="342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Equity raise to restore 11.0%</w:t>
            </w:r>
          </w:p>
        </w:tc>
        <w:tc>
          <w:tcPr>
            <w:tcW w:type="dxa" w:w="332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$1,054.5mm  (20.0% of market cap)</w:t>
            </w:r>
          </w:p>
        </w:tc>
        <w:tc>
          <w:tcPr>
            <w:tcW w:type="dxa" w:w="3327"/>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$187.5mm  (3.6% of market cap)</w:t>
            </w:r>
          </w:p>
        </w:tc>
      </w:tr>
      <w:tr>
        <w:tc>
          <w:tcPr>
            <w:tcW w:type="dxa" w:w="342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Year-3 EPS accretion</w:t>
            </w:r>
          </w:p>
        </w:tc>
        <w:tc>
          <w:tcPr>
            <w:tcW w:type="dxa" w:w="332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+89.0%</w:t>
            </w:r>
          </w:p>
        </w:tc>
        <w:tc>
          <w:tcPr>
            <w:tcW w:type="dxa" w:w="3327"/>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+28.6%</w:t>
            </w:r>
          </w:p>
        </w:tc>
      </w:tr>
      <w:tr>
        <w:tc>
          <w:tcPr>
            <w:tcW w:type="dxa" w:w="342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Year-3 ROIC on committed capital</w:t>
            </w:r>
          </w:p>
        </w:tc>
        <w:tc>
          <w:tcPr>
            <w:tcW w:type="dxa" w:w="332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23.0%</w:t>
            </w:r>
          </w:p>
        </w:tc>
        <w:tc>
          <w:tcPr>
            <w:tcW w:type="dxa" w:w="3327"/>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14.4%</w:t>
            </w:r>
          </w:p>
        </w:tc>
      </w:tr>
      <w:tr>
        <w:tc>
          <w:tcPr>
            <w:tcW w:type="dxa" w:w="3427"/>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Stress-adjusted Year-3 ROIC</w:t>
            </w:r>
          </w:p>
        </w:tc>
        <w:tc>
          <w:tcPr>
            <w:tcW w:type="dxa" w:w="3326"/>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14.35%</w:t>
            </w:r>
          </w:p>
        </w:tc>
        <w:tc>
          <w:tcPr>
            <w:tcW w:type="dxa" w:w="3327"/>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13.68%</w:t>
            </w:r>
          </w:p>
        </w:tc>
      </w:tr>
      <w:tr>
        <w:tc>
          <w:tcPr>
            <w:tcW w:type="dxa" w:w="342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Stressed CET1, without raise</w:t>
            </w:r>
          </w:p>
        </w:tc>
        <w:tc>
          <w:tcPr>
            <w:tcW w:type="dxa" w:w="332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6.61%  —  regulatory breach</w:t>
            </w:r>
          </w:p>
        </w:tc>
        <w:tc>
          <w:tcPr>
            <w:tcW w:type="dxa" w:w="3327"/>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10.24%</w:t>
            </w:r>
          </w:p>
        </w:tc>
      </w:tr>
      <w:tr>
        <w:tc>
          <w:tcPr>
            <w:tcW w:type="dxa" w:w="342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Card book uplift</w:t>
            </w:r>
          </w:p>
        </w:tc>
        <w:tc>
          <w:tcPr>
            <w:tcW w:type="dxa" w:w="332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7.34x</w:t>
            </w:r>
          </w:p>
        </w:tc>
        <w:tc>
          <w:tcPr>
            <w:tcW w:type="dxa" w:w="3327"/>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1.30x</w:t>
            </w:r>
          </w:p>
        </w:tc>
      </w:tr>
      <w:tr>
        <w:tc>
          <w:tcPr>
            <w:tcW w:type="dxa" w:w="342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Acquired book net charge-off rate</w:t>
            </w:r>
          </w:p>
        </w:tc>
        <w:tc>
          <w:tcPr>
            <w:tcW w:type="dxa" w:w="332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4.60%, rising</w:t>
            </w:r>
          </w:p>
        </w:tc>
        <w:tc>
          <w:tcPr>
            <w:tcW w:type="dxa" w:w="3327"/>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1.20%, flat</w:t>
            </w:r>
          </w:p>
        </w:tc>
      </w:tr>
      <w:tr>
        <w:tc>
          <w:tcPr>
            <w:tcW w:type="dxa" w:w="342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Open conduct matter</w:t>
            </w:r>
          </w:p>
        </w:tc>
        <w:tc>
          <w:tcPr>
            <w:tcW w:type="dxa" w:w="332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Yes — 2024 CLI remediation</w:t>
            </w:r>
          </w:p>
        </w:tc>
        <w:tc>
          <w:tcPr>
            <w:tcW w:type="dxa" w:w="3327"/>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None</w:t>
            </w:r>
          </w:p>
        </w:tc>
      </w:tr>
      <w:tr>
        <w:tc>
          <w:tcPr>
            <w:tcW w:type="dxa" w:w="3427"/>
            <w:shd w:fill="E8F0EA"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Weighted scorecard</w:t>
            </w:r>
          </w:p>
        </w:tc>
        <w:tc>
          <w:tcPr>
            <w:tcW w:type="dxa" w:w="3326"/>
            <w:shd w:fill="E8F0E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3.00</w:t>
            </w:r>
          </w:p>
        </w:tc>
        <w:tc>
          <w:tcPr>
            <w:tcW w:type="dxa" w:w="3327"/>
            <w:shd w:fill="E8F0E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3.85</w:t>
            </w:r>
          </w:p>
        </w:tc>
      </w:tr>
      <w:tr>
        <w:tc>
          <w:tcPr>
            <w:tcW w:type="dxa" w:w="3427"/>
            <w:shd w:fill="E8F0EA"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E6B44"/>
                <w:sz w:val="17"/>
                <w:szCs w:val="17"/>
              </w:rPr>
              <w:t xml:space="preserve">Recommendation</w:t>
            </w:r>
          </w:p>
        </w:tc>
        <w:tc>
          <w:tcPr>
            <w:tcW w:type="dxa" w:w="3326"/>
            <w:shd w:fill="E8F0E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E6B44"/>
                <w:sz w:val="17"/>
                <w:szCs w:val="17"/>
              </w:rPr>
              <w:t xml:space="preserve">Decline as structured</w:t>
            </w:r>
          </w:p>
        </w:tc>
        <w:tc>
          <w:tcPr>
            <w:tcW w:type="dxa" w:w="3327"/>
            <w:shd w:fill="E8F0E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E6B44"/>
                <w:sz w:val="17"/>
                <w:szCs w:val="17"/>
              </w:rPr>
              <w:t xml:space="preserve">PROCEED</w:t>
            </w:r>
          </w:p>
        </w:tc>
      </w:tr>
    </w:tbl>
    <w:p>
      <w:pPr>
        <w:spacing w:after="200" w:before="60"/>
      </w:pPr>
      <w:r>
        <w:rPr>
          <w:rFonts w:ascii="Calibri" w:cs="Calibri" w:eastAsia="Calibri" w:hAnsi="Calibri"/>
          <w:i/>
          <w:iCs/>
          <w:color w:val="595959"/>
          <w:sz w:val="15"/>
          <w:szCs w:val="15"/>
        </w:rPr>
        <w:t xml:space="preserve">Source: MA_Merger_Model.xlsx, tabs 'Side-by-Side', 'Decision Scorecard' and 'Stress Test'. All figures in CAD $ millions unless noted.</w:t>
      </w:r>
    </w:p>
    <w:p>
      <w:r>
        <w:br w:type="page"/>
      </w:r>
    </w:p>
    <w:p>
      <w:pPr>
        <w:pStyle w:val="Heading1"/>
        <w:keepNext/>
        <w:pBdr>
          <w:bottom w:val="single" w:color="1F3864" w:sz="8" w:space="4"/>
        </w:pBdr>
        <w:spacing w:after="140" w:before="320"/>
      </w:pPr>
      <w:r>
        <w:rPr>
          <w:rFonts w:ascii="Calibri" w:cs="Calibri" w:eastAsia="Calibri" w:hAnsi="Calibri"/>
          <w:b/>
          <w:bCs/>
          <w:color w:val="1F3864"/>
          <w:sz w:val="26"/>
          <w:szCs w:val="26"/>
        </w:rPr>
        <w:t xml:space="preserve">2.  Strategic Context and Rationale</w:t>
      </w:r>
    </w:p>
    <w:p>
      <w:pPr>
        <w:pStyle w:val="Heading2"/>
        <w:keepNext/>
        <w:spacing w:after="100" w:before="240"/>
      </w:pPr>
      <w:r>
        <w:rPr>
          <w:rFonts w:ascii="Calibri" w:cs="Calibri" w:eastAsia="Calibri" w:hAnsi="Calibri"/>
          <w:b/>
          <w:bCs/>
          <w:color w:val="2E5C8A"/>
          <w:sz w:val="22"/>
          <w:szCs w:val="22"/>
        </w:rPr>
        <w:t xml:space="preserve">2.1  The mandate, and why it exists</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Management was directed to grow non-interest income and card net interest margin through acquisition. The reasoning behind that mandate remains sound. The structural economics of a revolving card book are unusually attractive: a posted APR near 21% funded by a deposit base costing 2.5–3.5% produces a gross spread no other retail asset class approaches. Our residential mortgage book of $19,500mm, by contrast, earns a spread measured in tens of basis points.</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Our own card franchise does not capture those economics, and the reason is worth stating precisely because it determines which acquisition actually solves the problem. We hold 480,000 active accounts and $5,600mm of committed lines, but only 40% of balances revolve and average utilization is 21%. Gross receivables of $1,190mm sit against $4,410mm of undrawn commitment. The portfolio generates $64mm of interchange on $4,100mm of purchase volume and very little net interest income, because our customers use the product as a payment instrument rather than a credit instrument. The book is, in substance, a loyalty and payments business carried at the cost of a lending business. This is not a pricing failure or a marketing failure. It is a function of who our customers are — prime, deposit-rich, and disinclined to borrow at 21%.</w:t>
      </w:r>
    </w:p>
    <w:p>
      <w:pPr>
        <w:pStyle w:val="Heading2"/>
        <w:keepNext/>
        <w:spacing w:after="100" w:before="240"/>
      </w:pPr>
      <w:r>
        <w:rPr>
          <w:rFonts w:ascii="Calibri" w:cs="Calibri" w:eastAsia="Calibri" w:hAnsi="Calibri"/>
          <w:b/>
          <w:bCs/>
          <w:color w:val="2E5C8A"/>
          <w:sz w:val="22"/>
          <w:szCs w:val="22"/>
        </w:rPr>
        <w:t xml:space="preserve">2.2  Two routes to the same objective</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There are only two ways to acquire a revolving balance sheet. The first is to buy one outright, which is Project Northfield. The second is to buy the capability to originate one and grow it, which is what Project Harborview offers in combination with organic build. The choice between them is not really a choice between two targets. It is a choice about what we are paying for and whose capital pays for it.</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Building card scale organically is genuinely slow — underwriting models, fraud infrastructure, rewards platforms and collections capability take years to mature, which is precisely the argument that produced the acquisition mandate. But the mandate assumed acquisition would be the faster route to the same destination. The analysis in Sections 4 to 7 shows that in Northfield's case we would not be buying time — we would be buying somebody else's accumulated credit risk, at a full price, with capital we would have to raise at a 20% dilution to existing shareholders, on a book whose loss content has not yet been fully observed.</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A note on framing. The board has been presented with this decision as a choice between scale and safety. That framing is incomplete. Northfield is not merely riskier; on a capital-adjusted, stress-adjusted basis it is barely more profitable. That finding — set out in Section 4.4 and Appendix B — is what moves this from a matter of risk appetite to a matter of arithmetic.</w:t>
      </w:r>
    </w:p>
    <w:p>
      <w:pPr>
        <w:pStyle w:val="Heading1"/>
        <w:keepNext/>
        <w:pBdr>
          <w:bottom w:val="single" w:color="1F3864" w:sz="8" w:space="4"/>
        </w:pBdr>
        <w:spacing w:after="140" w:before="320"/>
      </w:pPr>
      <w:r>
        <w:rPr>
          <w:rFonts w:ascii="Calibri" w:cs="Calibri" w:eastAsia="Calibri" w:hAnsi="Calibri"/>
          <w:b/>
          <w:bCs/>
          <w:color w:val="1F3864"/>
          <w:sz w:val="26"/>
          <w:szCs w:val="26"/>
        </w:rPr>
        <w:t xml:space="preserve">3.  Target Profiles</w:t>
      </w:r>
    </w:p>
    <w:p>
      <w:pPr>
        <w:keepNext/>
        <w:spacing w:after="80" w:before="200"/>
      </w:pPr>
      <w:r>
        <w:rPr>
          <w:rFonts w:ascii="Calibri" w:cs="Calibri" w:eastAsia="Calibri" w:hAnsi="Calibri"/>
          <w:b/>
          <w:bCs/>
          <w:color w:val="1F3864"/>
          <w:sz w:val="17"/>
          <w:szCs w:val="17"/>
        </w:rPr>
        <w:t xml:space="preserve">Table 2 — Standalone profiles, FY2025 ($mm unless noted)</w:t>
      </w: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3024"/>
        <w:gridCol w:w="2318"/>
        <w:gridCol w:w="2419"/>
        <w:gridCol w:w="2319"/>
      </w:tblGrid>
      <w:tr>
        <w:trPr>
          <w:tblHeader/>
        </w:trPr>
        <w:tc>
          <w:tcPr>
            <w:tcW w:type="dxa" w:w="3024"/>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FFFFFF"/>
                <w:sz w:val="17"/>
                <w:szCs w:val="17"/>
              </w:rPr>
              <w:t xml:space="preserve"/>
            </w:r>
          </w:p>
        </w:tc>
        <w:tc>
          <w:tcPr>
            <w:tcW w:type="dxa" w:w="2318"/>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Meridian Trust (A)</w:t>
            </w:r>
          </w:p>
        </w:tc>
        <w:tc>
          <w:tcPr>
            <w:tcW w:type="dxa" w:w="2419"/>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Northfield Card (B)</w:t>
            </w:r>
          </w:p>
        </w:tc>
        <w:tc>
          <w:tcPr>
            <w:tcW w:type="dxa" w:w="2319"/>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Harborview (C)</w:t>
            </w:r>
          </w:p>
        </w:tc>
      </w:tr>
      <w:tr>
        <w:tc>
          <w:tcPr>
            <w:tcW w:type="dxa" w:w="3024"/>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Balance sheet</w:t>
            </w:r>
          </w:p>
        </w:tc>
        <w:tc>
          <w:tcPr>
            <w:tcW w:type="dxa" w:w="2318"/>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419"/>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319"/>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3024"/>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Total assets</w:t>
            </w:r>
          </w:p>
        </w:tc>
        <w:tc>
          <w:tcPr>
            <w:tcW w:type="dxa" w:w="2318"/>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41,000</w:t>
            </w:r>
          </w:p>
        </w:tc>
        <w:tc>
          <w:tcPr>
            <w:tcW w:type="dxa" w:w="24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10,400</w:t>
            </w:r>
          </w:p>
        </w:tc>
        <w:tc>
          <w:tcPr>
            <w:tcW w:type="dxa" w:w="23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9,800</w:t>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Credit card receivables, net</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1,150</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7,200</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340</w:t>
            </w:r>
          </w:p>
        </w:tc>
      </w:tr>
      <w:tr>
        <w:tc>
          <w:tcPr>
            <w:tcW w:type="dxa" w:w="3024"/>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Total deposits</w:t>
            </w:r>
          </w:p>
        </w:tc>
        <w:tc>
          <w:tcPr>
            <w:tcW w:type="dxa" w:w="2318"/>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32,500</w:t>
            </w:r>
          </w:p>
        </w:tc>
        <w:tc>
          <w:tcPr>
            <w:tcW w:type="dxa" w:w="24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6,100</w:t>
            </w:r>
          </w:p>
        </w:tc>
        <w:tc>
          <w:tcPr>
            <w:tcW w:type="dxa" w:w="23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8,200</w:t>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Common equity</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3,300</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900</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800</w:t>
            </w:r>
          </w:p>
        </w:tc>
      </w:tr>
      <w:tr>
        <w:tc>
          <w:tcPr>
            <w:tcW w:type="dxa" w:w="3024"/>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Earnings</w:t>
            </w:r>
          </w:p>
        </w:tc>
        <w:tc>
          <w:tcPr>
            <w:tcW w:type="dxa" w:w="2318"/>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419"/>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319"/>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Total revenue</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1,434</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1,496</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309</w:t>
            </w:r>
          </w:p>
        </w:tc>
      </w:tr>
      <w:tr>
        <w:tc>
          <w:tcPr>
            <w:tcW w:type="dxa" w:w="3024"/>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Provision for credit losses</w:t>
            </w:r>
          </w:p>
        </w:tc>
        <w:tc>
          <w:tcPr>
            <w:tcW w:type="dxa" w:w="2318"/>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96</w:t>
            </w:r>
          </w:p>
        </w:tc>
        <w:tc>
          <w:tcPr>
            <w:tcW w:type="dxa" w:w="24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385</w:t>
            </w:r>
          </w:p>
        </w:tc>
        <w:tc>
          <w:tcPr>
            <w:tcW w:type="dxa" w:w="23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14</w:t>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Net income</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413</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349</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74</w:t>
            </w:r>
          </w:p>
        </w:tc>
      </w:tr>
      <w:tr>
        <w:tc>
          <w:tcPr>
            <w:tcW w:type="dxa" w:w="3024"/>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Return on equity</w:t>
            </w:r>
          </w:p>
        </w:tc>
        <w:tc>
          <w:tcPr>
            <w:tcW w:type="dxa" w:w="2318"/>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12.5%</w:t>
            </w:r>
          </w:p>
        </w:tc>
        <w:tc>
          <w:tcPr>
            <w:tcW w:type="dxa" w:w="24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38.7%</w:t>
            </w:r>
          </w:p>
        </w:tc>
        <w:tc>
          <w:tcPr>
            <w:tcW w:type="dxa" w:w="23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9.3%</w:t>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Efficiency ratio</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54.4%</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42.8%</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63.1%</w:t>
            </w:r>
          </w:p>
        </w:tc>
      </w:tr>
      <w:tr>
        <w:tc>
          <w:tcPr>
            <w:tcW w:type="dxa" w:w="3024"/>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Capital</w:t>
            </w:r>
          </w:p>
        </w:tc>
        <w:tc>
          <w:tcPr>
            <w:tcW w:type="dxa" w:w="2318"/>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419"/>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319"/>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CET1 ratio</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13.50%</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11.53%</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17.08%</w:t>
            </w:r>
          </w:p>
        </w:tc>
      </w:tr>
      <w:tr>
        <w:tc>
          <w:tcPr>
            <w:tcW w:type="dxa" w:w="3024"/>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Risk-weighted assets</w:t>
            </w:r>
          </w:p>
        </w:tc>
        <w:tc>
          <w:tcPr>
            <w:tcW w:type="dxa" w:w="2318"/>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22,600</w:t>
            </w:r>
          </w:p>
        </w:tc>
        <w:tc>
          <w:tcPr>
            <w:tcW w:type="dxa" w:w="24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6,850</w:t>
            </w:r>
          </w:p>
        </w:tc>
        <w:tc>
          <w:tcPr>
            <w:tcW w:type="dxa" w:w="23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4,450</w:t>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RWA density</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55.1%</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65.9%</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45.4%</w:t>
            </w:r>
          </w:p>
        </w:tc>
      </w:tr>
      <w:tr>
        <w:tc>
          <w:tcPr>
            <w:tcW w:type="dxa" w:w="3024"/>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Card portfolio</w:t>
            </w:r>
          </w:p>
        </w:tc>
        <w:tc>
          <w:tcPr>
            <w:tcW w:type="dxa" w:w="2318"/>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419"/>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319"/>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Active accounts (000s)</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480</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2,850</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145</w:t>
            </w:r>
          </w:p>
        </w:tc>
      </w:tr>
      <w:tr>
        <w:tc>
          <w:tcPr>
            <w:tcW w:type="dxa" w:w="3024"/>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Gross receivables</w:t>
            </w:r>
          </w:p>
        </w:tc>
        <w:tc>
          <w:tcPr>
            <w:tcW w:type="dxa" w:w="2318"/>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1,190</w:t>
            </w:r>
          </w:p>
        </w:tc>
        <w:tc>
          <w:tcPr>
            <w:tcW w:type="dxa" w:w="24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7,550</w:t>
            </w:r>
          </w:p>
        </w:tc>
        <w:tc>
          <w:tcPr>
            <w:tcW w:type="dxa" w:w="23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355</w:t>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Undrawn committed lines</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4,410</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12,350</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1,425</w:t>
            </w:r>
          </w:p>
        </w:tc>
      </w:tr>
      <w:tr>
        <w:tc>
          <w:tcPr>
            <w:tcW w:type="dxa" w:w="3024"/>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Annual purchase volume</w:t>
            </w:r>
          </w:p>
        </w:tc>
        <w:tc>
          <w:tcPr>
            <w:tcW w:type="dxa" w:w="2318"/>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4,100</w:t>
            </w:r>
          </w:p>
        </w:tc>
        <w:tc>
          <w:tcPr>
            <w:tcW w:type="dxa" w:w="24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15,300</w:t>
            </w:r>
          </w:p>
        </w:tc>
        <w:tc>
          <w:tcPr>
            <w:tcW w:type="dxa" w:w="23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1,350</w:t>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Posted APR</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20.99%</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22.99%</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19.99%</w:t>
            </w:r>
          </w:p>
        </w:tc>
      </w:tr>
      <w:tr>
        <w:tc>
          <w:tcPr>
            <w:tcW w:type="dxa" w:w="3024"/>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Revolve rate / utilization</w:t>
            </w:r>
          </w:p>
        </w:tc>
        <w:tc>
          <w:tcPr>
            <w:tcW w:type="dxa" w:w="2318"/>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40% / 21%</w:t>
            </w:r>
          </w:p>
        </w:tc>
        <w:tc>
          <w:tcPr>
            <w:tcW w:type="dxa" w:w="24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71% / 38%</w:t>
            </w:r>
          </w:p>
        </w:tc>
        <w:tc>
          <w:tcPr>
            <w:tcW w:type="dxa" w:w="23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35% / 19%</w:t>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30+ DPD / 90+ DPD</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1.6% / 0.8%</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3.8% / 2.4%</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1.1% / 0.5%</w:t>
            </w:r>
          </w:p>
        </w:tc>
      </w:tr>
      <w:tr>
        <w:tc>
          <w:tcPr>
            <w:tcW w:type="dxa" w:w="3024"/>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Net charge-off rate</w:t>
            </w:r>
          </w:p>
        </w:tc>
        <w:tc>
          <w:tcPr>
            <w:tcW w:type="dxa" w:w="2318"/>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1.90%</w:t>
            </w:r>
          </w:p>
        </w:tc>
        <w:tc>
          <w:tcPr>
            <w:tcW w:type="dxa" w:w="24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4.60%</w:t>
            </w:r>
          </w:p>
        </w:tc>
        <w:tc>
          <w:tcPr>
            <w:tcW w:type="dxa" w:w="23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1.20%</w:t>
            </w:r>
          </w:p>
        </w:tc>
      </w:tr>
      <w:tr>
        <w:tc>
          <w:tcPr>
            <w:tcW w:type="dxa" w:w="3024"/>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IFRS 9 Stage 1 / 2 / 3</w:t>
            </w:r>
          </w:p>
        </w:tc>
        <w:tc>
          <w:tcPr>
            <w:tcW w:type="dxa" w:w="2318"/>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92.0 / 6.3 / 1.7%</w:t>
            </w:r>
          </w:p>
        </w:tc>
        <w:tc>
          <w:tcPr>
            <w:tcW w:type="dxa" w:w="24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81.0 / 12.5 / 6.5%</w:t>
            </w:r>
          </w:p>
        </w:tc>
        <w:tc>
          <w:tcPr>
            <w:tcW w:type="dxa" w:w="2319"/>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95.0 / 4.0 / 1.0%</w:t>
            </w:r>
          </w:p>
        </w:tc>
      </w:tr>
      <w:tr>
        <w:tc>
          <w:tcPr>
            <w:tcW w:type="dxa" w:w="3024"/>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12-month PD / LGD</w:t>
            </w:r>
          </w:p>
        </w:tc>
        <w:tc>
          <w:tcPr>
            <w:tcW w:type="dxa" w:w="2318"/>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2.1% / 82%</w:t>
            </w:r>
          </w:p>
        </w:tc>
        <w:tc>
          <w:tcPr>
            <w:tcW w:type="dxa" w:w="24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5.4% / 86%</w:t>
            </w:r>
          </w:p>
        </w:tc>
        <w:tc>
          <w:tcPr>
            <w:tcW w:type="dxa" w:w="2319"/>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1.4% / 78%</w:t>
            </w:r>
          </w:p>
        </w:tc>
      </w:tr>
    </w:tbl>
    <w:p>
      <w:pPr>
        <w:spacing w:after="200" w:before="60"/>
      </w:pPr>
      <w:r>
        <w:rPr>
          <w:rFonts w:ascii="Calibri" w:cs="Calibri" w:eastAsia="Calibri" w:hAnsi="Calibri"/>
          <w:i/>
          <w:iCs/>
          <w:color w:val="595959"/>
          <w:sz w:val="15"/>
          <w:szCs w:val="15"/>
        </w:rPr>
        <w:t xml:space="preserve">Source: case source specification, sections 2–4, entered verbatim into MA_Merger_Model.xlsx, tab 'Standalone Summary'.</w:t>
      </w:r>
    </w:p>
    <w:p>
      <w:pPr>
        <w:pStyle w:val="Heading2"/>
        <w:keepNext/>
        <w:spacing w:after="100" w:before="240"/>
      </w:pPr>
      <w:r>
        <w:rPr>
          <w:rFonts w:ascii="Calibri" w:cs="Calibri" w:eastAsia="Calibri" w:hAnsi="Calibri"/>
          <w:b/>
          <w:bCs/>
          <w:color w:val="2E5C8A"/>
          <w:sz w:val="22"/>
          <w:szCs w:val="22"/>
        </w:rPr>
        <w:t xml:space="preserve">3.1  Northfield Card Bank — scale and yield, with the risk attached</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Northfield is a near-monoline issuer with no branch network, funded through broker deposits and securitization. It is genuinely well run on the dimensions a monoline is judged by: a 42.8% efficiency ratio against our 54.4%, a 22.99% posted APR, 71% of balances revolving, and a 38.7% return on equity. On the strategic question it is transformative — it would multiply our card book 7.34x overnight and hand us 2.85 million accounts and $15,300mm of annual purchase volume.</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The qualifications are equally clear and they compound. Its 38.7% ROE is a function of an $900mm equity base supporting $10,400mm of assets, not of superior underwriting: its CET1 ratio of 11.53% is the thinnest of the three institutions and has fallen roughly 200 basis points in three years. Its allowance of $350mm, or 4.64% of gross receivables, is already elevated and still requires a $115mm Day-1 gross-up on acquisition. Its Stage 2 balances — accounts already flagged for a significant increase in credit risk, and the leading indicator of Stage 3 migration — stand at 12.5% of the book against Harborview's 4.0%. And the 2024 conduct inquiry into credit-limit-increase consent and affordability practices, though closed through a remediation programme, is not fully retired; Section 6.6 explains why we regard it as correlated with the credit exposure rather than separate from it.</w:t>
      </w:r>
    </w:p>
    <w:p>
      <w:pPr>
        <w:pStyle w:val="Heading2"/>
        <w:keepNext/>
        <w:spacing w:after="100" w:before="240"/>
      </w:pPr>
      <w:r>
        <w:rPr>
          <w:rFonts w:ascii="Calibri" w:cs="Calibri" w:eastAsia="Calibri" w:hAnsi="Calibri"/>
          <w:b/>
          <w:bCs/>
          <w:color w:val="2E5C8A"/>
          <w:sz w:val="22"/>
          <w:szCs w:val="22"/>
        </w:rPr>
        <w:t xml:space="preserve">3.2  Harborview Community Bank — funding and underwriting quality, at small scale</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Harborview is a conservative community bank with excellent capital, at 17.08% CET1, and $8,200mm of deposits of which $6,300mm is chequing and savings. Its card book is small — $355mm gross, 145,000 accounts — but its quality is exceptional and, more to the point, stable: 1.2% charge-offs and 0.5% 90+ delinquency, unchanged across all three years of the review window, with 95% of balances in Stage 1 and an LGD of 78%.</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Its weaknesses are scale and efficiency. A 63.1% efficiency ratio and a 9.3% return on equity reflect a branch-heavy cost base spread across a small balance sheet — which is precisely why 45% of its operating expense is available as cost synergy, the highest proportion in either transaction. What Harborview is genuinely worth to us is not its earnings but its two transferable assets: an underwriting model with a demonstrated through-cycle loss record, and a deposit franchise that lowers the blended funding cost of the entire combined group.</w:t>
      </w:r>
    </w:p>
    <w:p>
      <w:r>
        <w:br w:type="page"/>
      </w:r>
    </w:p>
    <w:p>
      <w:pPr>
        <w:pStyle w:val="Heading1"/>
        <w:keepNext/>
        <w:pBdr>
          <w:bottom w:val="single" w:color="1F3864" w:sz="8" w:space="4"/>
        </w:pBdr>
        <w:spacing w:after="140" w:before="320"/>
      </w:pPr>
      <w:r>
        <w:rPr>
          <w:rFonts w:ascii="Calibri" w:cs="Calibri" w:eastAsia="Calibri" w:hAnsi="Calibri"/>
          <w:b/>
          <w:bCs/>
          <w:color w:val="1F3864"/>
          <w:sz w:val="26"/>
          <w:szCs w:val="26"/>
        </w:rPr>
        <w:t xml:space="preserve">4.  Financial Analysis and Valuation</w:t>
      </w:r>
    </w:p>
    <w:p>
      <w:pPr>
        <w:pStyle w:val="Heading2"/>
        <w:keepNext/>
        <w:spacing w:after="100" w:before="240"/>
      </w:pPr>
      <w:r>
        <w:rPr>
          <w:rFonts w:ascii="Calibri" w:cs="Calibri" w:eastAsia="Calibri" w:hAnsi="Calibri"/>
          <w:b/>
          <w:bCs/>
          <w:color w:val="2E5C8A"/>
          <w:sz w:val="22"/>
          <w:szCs w:val="22"/>
        </w:rPr>
        <w:t xml:space="preserve">4.1  Price, purchase accounting and goodwill</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Both transactions are structured as all-cash acquisitions. Under the agreed purchase-accounting convention, goodwill equals the purchase price less the target's book equity adjusted for the Day-1 IFRS 9 provisioning gross-up an acquirer must record against the acquired loan book.</w:t>
      </w:r>
    </w:p>
    <w:p>
      <w:pPr>
        <w:keepNext/>
        <w:spacing w:after="80" w:before="200"/>
      </w:pPr>
      <w:r>
        <w:rPr>
          <w:rFonts w:ascii="Calibri" w:cs="Calibri" w:eastAsia="Calibri" w:hAnsi="Calibri"/>
          <w:b/>
          <w:bCs/>
          <w:color w:val="1F3864"/>
          <w:sz w:val="17"/>
          <w:szCs w:val="17"/>
        </w:rPr>
        <w:t xml:space="preserve">Table 3 — Purchase price and goodwill</w:t>
      </w: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4637"/>
        <w:gridCol w:w="2722"/>
        <w:gridCol w:w="2721"/>
      </w:tblGrid>
      <w:tr>
        <w:trPr>
          <w:tblHeader/>
        </w:trPr>
        <w:tc>
          <w:tcPr>
            <w:tcW w:type="dxa" w:w="4637"/>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FFFFFF"/>
                <w:sz w:val="17"/>
                <w:szCs w:val="17"/>
              </w:rPr>
              <w:t xml:space="preserve"/>
            </w:r>
          </w:p>
        </w:tc>
        <w:tc>
          <w:tcPr>
            <w:tcW w:type="dxa" w:w="2722"/>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Northfield (B)</w:t>
            </w:r>
          </w:p>
        </w:tc>
        <w:tc>
          <w:tcPr>
            <w:tcW w:type="dxa" w:w="2721"/>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Harborview (C)</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Purchase price (all cash)</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1,650</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1,050</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Target common equity at close</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900</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800</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Less: Day-1 IFRS 9 provisioning gross-up</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(115)</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Net identifiable assets acquired</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785</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788</w:t>
            </w:r>
          </w:p>
        </w:tc>
      </w:tr>
      <w:tr>
        <w:tc>
          <w:tcPr>
            <w:tcW w:type="dxa" w:w="4637"/>
            <w:shd w:fill="FFF4CC"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Goodwill created</w:t>
            </w:r>
          </w:p>
        </w:tc>
        <w:tc>
          <w:tcPr>
            <w:tcW w:type="dxa" w:w="2722"/>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865</w:t>
            </w:r>
          </w:p>
        </w:tc>
        <w:tc>
          <w:tcPr>
            <w:tcW w:type="dxa" w:w="2721"/>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262</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Implied price / book</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1.83x</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1.31x</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Implied price / FY2025 earnings</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4.73x</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14.19x</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Premium to standalone implied value</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25.0%</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19.3%</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Funding: new senior debt</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1,155 @ 5.25%</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525 @ 4.85%</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Funding: Meridian cash / excess capital</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495</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525</w:t>
            </w:r>
          </w:p>
        </w:tc>
      </w:tr>
    </w:tbl>
    <w:p>
      <w:pPr>
        <w:spacing w:after="200" w:before="60"/>
      </w:pPr>
      <w:r>
        <w:rPr>
          <w:rFonts w:ascii="Calibri" w:cs="Calibri" w:eastAsia="Calibri" w:hAnsi="Calibri"/>
          <w:i/>
          <w:iCs/>
          <w:color w:val="595959"/>
          <w:sz w:val="15"/>
          <w:szCs w:val="15"/>
        </w:rPr>
        <w:t xml:space="preserve">Source: MA_Merger_Model.xlsx, tabs 'Deal B Pro Forma' and 'Deal C Pro Forma', section A.</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The two multiples tell the story of this transaction in a single line. Northfield is expensive on book at 1.83x and cheap on earnings at 4.73x; Harborview is the reverse at 1.31x and 14.19x. Northfield is expensive on book precisely because its equity is thin — which is the same fact that produces its high ROE and its capital problem. We are paying a 1.83x multiple for equity that is itself already stretched against the risk it supports.</w:t>
      </w:r>
    </w:p>
    <w:p>
      <w:pPr>
        <w:pStyle w:val="Heading2"/>
        <w:keepNext/>
        <w:spacing w:after="100" w:before="240"/>
      </w:pPr>
      <w:r>
        <w:rPr>
          <w:rFonts w:ascii="Calibri" w:cs="Calibri" w:eastAsia="Calibri" w:hAnsi="Calibri"/>
          <w:b/>
          <w:bCs/>
          <w:color w:val="2E5C8A"/>
          <w:sz w:val="22"/>
          <w:szCs w:val="22"/>
        </w:rPr>
        <w:t xml:space="preserve">4.2  Where the accretion comes from</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Northfield's earnings yield on the purchase price is 21.1%. The after-tax cost of the acquisition debt is 3.9%. That 17.2 percentage-point spread, applied to $1,155mm of borrowed money, is the entire mechanical source of the accretion. Harborview's equivalent spread is 3.5 points. Any transaction that buys a high-ROE asset with cheap debt will look accretive; the question the board must ask is what that yield is compensation for, and whether the balance sheet can carry the structure.</w:t>
      </w:r>
    </w:p>
    <w:p>
      <w:pPr>
        <w:keepNext/>
        <w:spacing w:after="80" w:before="200"/>
      </w:pPr>
      <w:r>
        <w:rPr>
          <w:rFonts w:ascii="Calibri" w:cs="Calibri" w:eastAsia="Calibri" w:hAnsi="Calibri"/>
          <w:b/>
          <w:bCs/>
          <w:color w:val="1F3864"/>
          <w:sz w:val="17"/>
          <w:szCs w:val="17"/>
        </w:rPr>
        <w:t xml:space="preserve">Table 4 — Pro forma earnings and accretion</w:t>
      </w: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4032"/>
        <w:gridCol w:w="2016"/>
        <w:gridCol w:w="2016"/>
        <w:gridCol w:w="2016"/>
      </w:tblGrid>
      <w:tr>
        <w:trPr>
          <w:tblHeader/>
        </w:trPr>
        <w:tc>
          <w:tcPr>
            <w:tcW w:type="dxa" w:w="4032"/>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FFFFFF"/>
                <w:sz w:val="17"/>
                <w:szCs w:val="17"/>
              </w:rPr>
              <w:t xml:space="preserve"/>
            </w:r>
          </w:p>
        </w:tc>
        <w:tc>
          <w:tcPr>
            <w:tcW w:type="dxa" w:w="2016"/>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FY2026E</w:t>
            </w:r>
          </w:p>
        </w:tc>
        <w:tc>
          <w:tcPr>
            <w:tcW w:type="dxa" w:w="2016"/>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FY2027E</w:t>
            </w:r>
          </w:p>
        </w:tc>
        <w:tc>
          <w:tcPr>
            <w:tcW w:type="dxa" w:w="2016"/>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FY2028E</w:t>
            </w:r>
          </w:p>
        </w:tc>
      </w:tr>
      <w:tr>
        <w:tc>
          <w:tcPr>
            <w:tcW w:type="dxa" w:w="4032"/>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Meridian standalone (no transaction)</w:t>
            </w:r>
          </w:p>
        </w:tc>
        <w:tc>
          <w:tcPr>
            <w:tcW w:type="dxa" w:w="2016"/>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016"/>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016"/>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4032"/>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Net income ($mm)</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436.9</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462.2</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488.8</w:t>
            </w:r>
          </w:p>
        </w:tc>
      </w:tr>
      <w:tr>
        <w:tc>
          <w:tcPr>
            <w:tcW w:type="dxa" w:w="4032"/>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EPS ($)</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3.64</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3.85</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4.07</w:t>
            </w:r>
          </w:p>
        </w:tc>
      </w:tr>
      <w:tr>
        <w:tc>
          <w:tcPr>
            <w:tcW w:type="dxa" w:w="4032"/>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Project Northfield (Deal B), after $1,054.5mm raise</w:t>
            </w:r>
          </w:p>
        </w:tc>
        <w:tc>
          <w:tcPr>
            <w:tcW w:type="dxa" w:w="2016"/>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016"/>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016"/>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4032"/>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 forma net income ($mm)</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733.0</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1,007.7</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1,108.2</w:t>
            </w:r>
          </w:p>
        </w:tc>
      </w:tr>
      <w:tr>
        <w:tc>
          <w:tcPr>
            <w:tcW w:type="dxa" w:w="4032"/>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 forma shares (mm)</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144.0</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144.0</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144.0</w:t>
            </w:r>
          </w:p>
        </w:tc>
      </w:tr>
      <w:tr>
        <w:tc>
          <w:tcPr>
            <w:tcW w:type="dxa" w:w="4032"/>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 forma EPS ($)</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5.09</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7.00</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7.70</w:t>
            </w:r>
          </w:p>
        </w:tc>
      </w:tr>
      <w:tr>
        <w:tc>
          <w:tcPr>
            <w:tcW w:type="dxa" w:w="4032"/>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EPS accretion</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+39.8%</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+81.7%</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+89.0%</w:t>
            </w:r>
          </w:p>
        </w:tc>
      </w:tr>
      <w:tr>
        <w:tc>
          <w:tcPr>
            <w:tcW w:type="dxa" w:w="4032"/>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Project Harborview (Deal C), after $187.5mm raise</w:t>
            </w:r>
          </w:p>
        </w:tc>
        <w:tc>
          <w:tcPr>
            <w:tcW w:type="dxa" w:w="2016"/>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016"/>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2016"/>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4032"/>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 forma net income ($mm)</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470.3</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612.1</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650.7</w:t>
            </w:r>
          </w:p>
        </w:tc>
      </w:tr>
      <w:tr>
        <w:tc>
          <w:tcPr>
            <w:tcW w:type="dxa" w:w="4032"/>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 forma shares (mm)</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124.3</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124.3</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124.3</w:t>
            </w:r>
          </w:p>
        </w:tc>
      </w:tr>
      <w:tr>
        <w:tc>
          <w:tcPr>
            <w:tcW w:type="dxa" w:w="4032"/>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 forma EPS ($)</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3.78</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4.93</w:t>
            </w:r>
          </w:p>
        </w:tc>
        <w:tc>
          <w:tcPr>
            <w:tcW w:type="dxa" w:w="201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5.24</w:t>
            </w:r>
          </w:p>
        </w:tc>
      </w:tr>
      <w:tr>
        <w:tc>
          <w:tcPr>
            <w:tcW w:type="dxa" w:w="4032"/>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EPS accretion</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+3.9%</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+27.9%</w:t>
            </w:r>
          </w:p>
        </w:tc>
        <w:tc>
          <w:tcPr>
            <w:tcW w:type="dxa" w:w="2016"/>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+28.6%</w:t>
            </w:r>
          </w:p>
        </w:tc>
      </w:tr>
    </w:tbl>
    <w:p>
      <w:pPr>
        <w:spacing w:after="200" w:before="60"/>
      </w:pPr>
      <w:r>
        <w:rPr>
          <w:rFonts w:ascii="Calibri" w:cs="Calibri" w:eastAsia="Calibri" w:hAnsi="Calibri"/>
          <w:i/>
          <w:iCs/>
          <w:color w:val="595959"/>
          <w:sz w:val="15"/>
          <w:szCs w:val="15"/>
        </w:rPr>
        <w:t xml:space="preserve">Source: MA_Merger_Model.xlsx, deal tabs sections E and F. Both cases are shown after the equity issuance each deal requires. Excluding any raise, Year-3 accretion would be +121.9% for Northfield and +32.3% for Harborview — but Northfield without the raise operates at a 7.42% CET1 ratio, which is not an available option.</w:t>
      </w:r>
    </w:p>
    <w:p>
      <w:pPr>
        <w:pStyle w:val="Heading2"/>
        <w:keepNext/>
        <w:spacing w:after="100" w:before="240"/>
      </w:pPr>
      <w:r>
        <w:rPr>
          <w:rFonts w:ascii="Calibri" w:cs="Calibri" w:eastAsia="Calibri" w:hAnsi="Calibri"/>
          <w:b/>
          <w:bCs/>
          <w:color w:val="2E5C8A"/>
          <w:sz w:val="22"/>
          <w:szCs w:val="22"/>
        </w:rPr>
        <w:t xml:space="preserve">4.3  Tangible book value</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Both transactions dilute tangible book value per share, because both convert tangible capital into goodwill. Northfield dilutes it by 11.5% and Harborview by 5.8%. In Northfield's case the dilution is compounded by issuing 23.97mm new shares at 1.6x book to fund the capital hole created by the goodwill — we would be issuing equity above book to buy an intangible that is then deducted from capital. The earn-back on that dilution depends entirely on the acquired book performing, which returns us to the credit question.</w:t>
      </w:r>
    </w:p>
    <w:p>
      <w:pPr>
        <w:pStyle w:val="Heading2"/>
        <w:keepNext/>
        <w:spacing w:after="100" w:before="240"/>
      </w:pPr>
      <w:r>
        <w:rPr>
          <w:rFonts w:ascii="Calibri" w:cs="Calibri" w:eastAsia="Calibri" w:hAnsi="Calibri"/>
          <w:b/>
          <w:bCs/>
          <w:color w:val="2E5C8A"/>
          <w:sz w:val="22"/>
          <w:szCs w:val="22"/>
        </w:rPr>
        <w:t xml:space="preserve">4.4  Returns on the honest denominator</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Deal returns are conventionally measured against the purchase price. On that basis Northfield returns 36.6% in Year 3 against Harborview's 16.8%, and the three-year deal IRR is 54.5% against 30.4%. But the purchase price is not the capital the group commits. Northfield also forces $1,054.5mm of equity issuance and $133mm of after-tax integration spend; the total capital committed is $2,838mm, not $1,650mm. Measured against everything the transaction actually consumes, Northfield returns 23.0% and Harborview 14.4%.</w:t>
      </w:r>
    </w:p>
    <w:p>
      <w:pPr>
        <w:keepNext w:val="false"/>
        <w:keepLines w:val="false"/>
        <w:spacing w:after="120" w:before="0" w:line="264"/>
      </w:pPr>
      <w:r>
        <w:rPr>
          <w:rFonts w:ascii="Calibri" w:cs="Calibri" w:eastAsia="Calibri" w:hAnsi="Calibri"/>
          <w:b/>
          <w:bCs/>
          <w:i w:val="false"/>
          <w:iCs w:val="false"/>
          <w:caps w:val="false"/>
          <w:color w:val="1A1A1A"/>
          <w:sz w:val="20"/>
          <w:szCs w:val="20"/>
        </w:rPr>
        <w:t xml:space="preserve">Apply the board-mandated recession stress permanently to Year 3 and the two converge to 14.35% and 13.68% — a gap of 67 basis points, against 858 in the base case. </w:t>
      </w:r>
      <w:r>
        <w:rPr>
          <w:rFonts w:ascii="Calibri" w:cs="Calibri" w:eastAsia="Calibri" w:hAnsi="Calibri"/>
          <w:b w:val="false"/>
          <w:bCs w:val="false"/>
          <w:i w:val="false"/>
          <w:iCs w:val="false"/>
          <w:caps w:val="false"/>
          <w:color w:val="1A1A1A"/>
          <w:sz w:val="20"/>
          <w:szCs w:val="20"/>
        </w:rPr>
        <w:t xml:space="preserve">This is the single most important number in the analysis. It says that essentially all of Northfield's apparent return advantage is compensation for credit risk we would be assuming, and that in the state of the world the risk is compensation for, the advantage disappears. We would be accepting a materially higher variance of outcomes for a return premium that only exists if the recession does not arrive.</w:t>
      </w:r>
    </w:p>
    <w:p>
      <w:pPr>
        <w:pStyle w:val="Heading2"/>
        <w:keepNext/>
        <w:spacing w:after="100" w:before="240"/>
      </w:pPr>
      <w:r>
        <w:rPr>
          <w:rFonts w:ascii="Calibri" w:cs="Calibri" w:eastAsia="Calibri" w:hAnsi="Calibri"/>
          <w:b/>
          <w:bCs/>
          <w:color w:val="2E5C8A"/>
          <w:sz w:val="22"/>
          <w:szCs w:val="22"/>
        </w:rPr>
        <w:t xml:space="preserve">4.5  A caution on Harborview's own numbers</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Intellectual honesty requires flagging the weakest element of the Harborview case. Of its $57.8mm of run-rate revenue synergies, $45.6mm comes from a 10 basis point improvement in the blended funding cost of the combined group, applied to $45,550mm of interest-bearing liabilities. That single line is 46% of Harborview's entire standalone pre-tax income and roughly a third of the transaction's Year-3 accretion. It is a credible synergy — $6,300mm of branch-sourced chequing and savings genuinely does displace more expensive wholesale and term funding — but it is an estimate applied to a very large base, and it is the item most capable of disappointing. Condition (v) in Section 8.1 requires it to be validated against actual funding-book composition before signing, with the price adjusted if it cannot be substantiated. Even were this synergy to be halved, Year-3 accretion would remain positive and the capital conclusion would be unaffected.</w:t>
      </w:r>
    </w:p>
    <w:p>
      <w:pPr>
        <w:pStyle w:val="Heading1"/>
        <w:keepNext/>
        <w:pBdr>
          <w:bottom w:val="single" w:color="1F3864" w:sz="8" w:space="4"/>
        </w:pBdr>
        <w:spacing w:after="140" w:before="320"/>
      </w:pPr>
      <w:r>
        <w:rPr>
          <w:rFonts w:ascii="Calibri" w:cs="Calibri" w:eastAsia="Calibri" w:hAnsi="Calibri"/>
          <w:b/>
          <w:bCs/>
          <w:color w:val="1F3864"/>
          <w:sz w:val="26"/>
          <w:szCs w:val="26"/>
        </w:rPr>
        <w:t xml:space="preserve">5.  Synergies and Integration Plan</w:t>
      </w:r>
    </w:p>
    <w:p>
      <w:pPr>
        <w:keepNext/>
        <w:spacing w:after="80" w:before="200"/>
      </w:pPr>
      <w:r>
        <w:rPr>
          <w:rFonts w:ascii="Calibri" w:cs="Calibri" w:eastAsia="Calibri" w:hAnsi="Calibri"/>
          <w:b/>
          <w:bCs/>
          <w:color w:val="1F3864"/>
          <w:sz w:val="17"/>
          <w:szCs w:val="17"/>
        </w:rPr>
        <w:t xml:space="preserve">Table 5 — Synergy build and phase-in ($mm, pre-tax)</w:t>
      </w: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4032"/>
        <w:gridCol w:w="1512"/>
        <w:gridCol w:w="1512"/>
        <w:gridCol w:w="1512"/>
        <w:gridCol w:w="1512"/>
      </w:tblGrid>
      <w:tr>
        <w:trPr>
          <w:tblHeader/>
        </w:trPr>
        <w:tc>
          <w:tcPr>
            <w:tcW w:type="dxa" w:w="4032"/>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FFFFFF"/>
                <w:sz w:val="17"/>
                <w:szCs w:val="17"/>
              </w:rPr>
              <w:t xml:space="preserve"/>
            </w:r>
          </w:p>
        </w:tc>
        <w:tc>
          <w:tcPr>
            <w:tcW w:type="dxa" w:w="1512"/>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Run-rate</w:t>
            </w:r>
          </w:p>
        </w:tc>
        <w:tc>
          <w:tcPr>
            <w:tcW w:type="dxa" w:w="1512"/>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Year 1</w:t>
            </w:r>
          </w:p>
        </w:tc>
        <w:tc>
          <w:tcPr>
            <w:tcW w:type="dxa" w:w="1512"/>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Year 2</w:t>
            </w:r>
          </w:p>
        </w:tc>
        <w:tc>
          <w:tcPr>
            <w:tcW w:type="dxa" w:w="1512"/>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Year 3</w:t>
            </w:r>
          </w:p>
        </w:tc>
      </w:tr>
      <w:tr>
        <w:tc>
          <w:tcPr>
            <w:tcW w:type="dxa" w:w="4032"/>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Project Northfield (Deal B)</w:t>
            </w:r>
          </w:p>
        </w:tc>
        <w:tc>
          <w:tcPr>
            <w:tcW w:type="dxa" w:w="1512"/>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512"/>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512"/>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512"/>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4032"/>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Cost synergies — 30% of target opex</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192.0</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76.8</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153.6</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192.0</w:t>
            </w:r>
          </w:p>
        </w:tc>
      </w:tr>
      <w:tr>
        <w:tc>
          <w:tcPr>
            <w:tcW w:type="dxa" w:w="4032"/>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Revenue — funding substitution ($2,000mm at 150bps)</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30.0</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r>
      <w:tr>
        <w:tc>
          <w:tcPr>
            <w:tcW w:type="dxa" w:w="4032"/>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Revenue — 5% cross-sell uplift on card fee income</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15.5</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r>
      <w:tr>
        <w:tc>
          <w:tcPr>
            <w:tcW w:type="dxa" w:w="4032"/>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Total revenue synergies</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45.5</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22.8</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45.5</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45.5</w:t>
            </w:r>
          </w:p>
        </w:tc>
      </w:tr>
      <w:tr>
        <w:tc>
          <w:tcPr>
            <w:tcW w:type="dxa" w:w="4032"/>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One-time integration and restructuring</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(180.0)</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(180.0)</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w:t>
            </w:r>
          </w:p>
        </w:tc>
      </w:tr>
      <w:tr>
        <w:tc>
          <w:tcPr>
            <w:tcW w:type="dxa" w:w="4032"/>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Net deal effect on pre-tax income</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237.5</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(80.4)</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199.1</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237.5</w:t>
            </w:r>
          </w:p>
        </w:tc>
      </w:tr>
      <w:tr>
        <w:tc>
          <w:tcPr>
            <w:tcW w:type="dxa" w:w="4032"/>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Project Harborview (Deal C)</w:t>
            </w:r>
          </w:p>
        </w:tc>
        <w:tc>
          <w:tcPr>
            <w:tcW w:type="dxa" w:w="1512"/>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512"/>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512"/>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512"/>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4032"/>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Cost synergies — 45% of target opex</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87.8</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43.9</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74.6</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87.8</w:t>
            </w:r>
          </w:p>
        </w:tc>
      </w:tr>
      <w:tr>
        <w:tc>
          <w:tcPr>
            <w:tcW w:type="dxa" w:w="4032"/>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Revenue — card cross-sell (15% volume uplift)</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12.3</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r>
      <w:tr>
        <w:tc>
          <w:tcPr>
            <w:tcW w:type="dxa" w:w="4032"/>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Revenue — 10bps blended funding-cost improvement</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45.6</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
            </w:r>
          </w:p>
        </w:tc>
      </w:tr>
      <w:tr>
        <w:tc>
          <w:tcPr>
            <w:tcW w:type="dxa" w:w="4032"/>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Total revenue synergies</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57.8</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28.9</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57.8</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57.8</w:t>
            </w:r>
          </w:p>
        </w:tc>
      </w:tr>
      <w:tr>
        <w:tc>
          <w:tcPr>
            <w:tcW w:type="dxa" w:w="4032"/>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One-time integration and restructuring</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(95.0)</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(95.0)</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w:t>
            </w:r>
          </w:p>
        </w:tc>
        <w:tc>
          <w:tcPr>
            <w:tcW w:type="dxa" w:w="15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w:t>
            </w:r>
          </w:p>
        </w:tc>
      </w:tr>
      <w:tr>
        <w:tc>
          <w:tcPr>
            <w:tcW w:type="dxa" w:w="4032"/>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Net deal effect on pre-tax income</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145.6</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(22.2)</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132.4</w:t>
            </w:r>
          </w:p>
        </w:tc>
        <w:tc>
          <w:tcPr>
            <w:tcW w:type="dxa" w:w="15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145.6</w:t>
            </w:r>
          </w:p>
        </w:tc>
      </w:tr>
    </w:tbl>
    <w:p>
      <w:pPr>
        <w:spacing w:after="200" w:before="60"/>
      </w:pPr>
      <w:r>
        <w:rPr>
          <w:rFonts w:ascii="Calibri" w:cs="Calibri" w:eastAsia="Calibri" w:hAnsi="Calibri"/>
          <w:i/>
          <w:iCs/>
          <w:color w:val="595959"/>
          <w:sz w:val="15"/>
          <w:szCs w:val="15"/>
        </w:rPr>
        <w:t xml:space="preserve">Source: MA_Merger_Model.xlsx, tab 'Cover &amp; Assumptions'; phase-in factors per the case source specification.</w:t>
      </w:r>
    </w:p>
    <w:p>
      <w:pPr>
        <w:pStyle w:val="Heading2"/>
        <w:keepNext/>
        <w:spacing w:after="100" w:before="240"/>
      </w:pPr>
      <w:r>
        <w:rPr>
          <w:rFonts w:ascii="Calibri" w:cs="Calibri" w:eastAsia="Calibri" w:hAnsi="Calibri"/>
          <w:b/>
          <w:bCs/>
          <w:color w:val="2E5C8A"/>
          <w:sz w:val="22"/>
          <w:szCs w:val="22"/>
        </w:rPr>
        <w:t xml:space="preserve">5.1  Why the integration profiles differ</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Harborview's cost synergies are both larger as a proportion of the target's cost base (45% against 30%) and faster to realise (50% in Year 1 against 40%), for a structural reason: they come from branch and back-office overlap, which is the most predictable category of banking synergy. We would be consolidating duplicate functions in a business we already know how to run. Northfield's synergies, by contrast, require integrating a monoline technology stack, a distinct funding model and — most demandingly — a risk and compliance function that has recently been the subject of regulatory attention. The $180mm integration cost, at 10.9% of purchase price against Harborview's 9.0%, reflects that difficulty, and in our view understates the management bandwidth it would consume.</w:t>
      </w:r>
    </w:p>
    <w:p>
      <w:pPr>
        <w:pStyle w:val="Heading2"/>
        <w:keepNext/>
        <w:spacing w:after="100" w:before="240"/>
      </w:pPr>
      <w:r>
        <w:rPr>
          <w:rFonts w:ascii="Calibri" w:cs="Calibri" w:eastAsia="Calibri" w:hAnsi="Calibri"/>
          <w:b/>
          <w:bCs/>
          <w:color w:val="2E5C8A"/>
          <w:sz w:val="22"/>
          <w:szCs w:val="22"/>
        </w:rPr>
        <w:t xml:space="preserve">5.2  Integration plan for Project Harborview</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Months 0–6. </w:t>
      </w:r>
      <w:r>
        <w:rPr>
          <w:rFonts w:ascii="Calibri" w:cs="Calibri" w:eastAsia="Calibri" w:hAnsi="Calibri"/>
          <w:b w:val="false"/>
          <w:bCs w:val="false"/>
          <w:i w:val="false"/>
          <w:iCs w:val="false"/>
          <w:caps w:val="false"/>
          <w:color w:val="1A1A1A"/>
          <w:sz w:val="20"/>
          <w:szCs w:val="20"/>
        </w:rPr>
        <w:t xml:space="preserve">Close, appoint a single integration lead reporting to the CFO, and consolidate treasury and finance. Migrate Harborview's deposit base onto Meridian's core platform and begin realising the funding-cost benefit, which requires no customer-facing change and is therefore the earliest available synergy. Retain the full Harborview credit and underwriting team under guaranteed two-year contracts — they are the principal asset being acquired.</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Months 6–18. </w:t>
      </w:r>
      <w:r>
        <w:rPr>
          <w:rFonts w:ascii="Calibri" w:cs="Calibri" w:eastAsia="Calibri" w:hAnsi="Calibri"/>
          <w:b w:val="false"/>
          <w:bCs w:val="false"/>
          <w:i w:val="false"/>
          <w:iCs w:val="false"/>
          <w:caps w:val="false"/>
          <w:color w:val="1A1A1A"/>
          <w:sz w:val="20"/>
          <w:szCs w:val="20"/>
        </w:rPr>
        <w:t xml:space="preserve">Consolidate overlapping branches and back-office functions, delivering the majority of the $87.8mm cost synergy. In parallel, begin the card build: port Harborview's underwriting and limit-setting models into Meridian's origination stack and pilot revolving-product offers to a controlled slice of our own deposit base.</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Months 18–36. </w:t>
      </w:r>
      <w:r>
        <w:rPr>
          <w:rFonts w:ascii="Calibri" w:cs="Calibri" w:eastAsia="Calibri" w:hAnsi="Calibri"/>
          <w:b w:val="false"/>
          <w:bCs w:val="false"/>
          <w:i w:val="false"/>
          <w:iCs w:val="false"/>
          <w:caps w:val="false"/>
          <w:color w:val="1A1A1A"/>
          <w:sz w:val="20"/>
          <w:szCs w:val="20"/>
        </w:rPr>
        <w:t xml:space="preserve">Scale the card programme against measured loss experience rather than volume targets, with quarterly board reporting on vintage performance. Complete platform decommissioning and realise the full run-rate.</w:t>
      </w:r>
    </w:p>
    <w:p>
      <w:r>
        <w:br w:type="page"/>
      </w:r>
    </w:p>
    <w:p>
      <w:pPr>
        <w:pStyle w:val="Heading1"/>
        <w:keepNext/>
        <w:pBdr>
          <w:bottom w:val="single" w:color="1F3864" w:sz="8" w:space="4"/>
        </w:pBdr>
        <w:spacing w:after="140" w:before="320"/>
      </w:pPr>
      <w:r>
        <w:rPr>
          <w:rFonts w:ascii="Calibri" w:cs="Calibri" w:eastAsia="Calibri" w:hAnsi="Calibri"/>
          <w:b/>
          <w:bCs/>
          <w:color w:val="1F3864"/>
          <w:sz w:val="26"/>
          <w:szCs w:val="26"/>
        </w:rPr>
        <w:t xml:space="preserve">6.  Risk Assessment</w:t>
      </w:r>
    </w:p>
    <w:p>
      <w:pPr>
        <w:keepNext w:val="false"/>
        <w:keepLines w:val="false"/>
        <w:spacing w:after="120" w:before="0" w:line="264"/>
      </w:pPr>
      <w:r>
        <w:rPr>
          <w:rFonts w:ascii="Calibri" w:cs="Calibri" w:eastAsia="Calibri" w:hAnsi="Calibri"/>
          <w:b w:val="false"/>
          <w:bCs w:val="false"/>
          <w:i/>
          <w:iCs/>
          <w:caps w:val="false"/>
          <w:color w:val="1A1A1A"/>
          <w:sz w:val="20"/>
          <w:szCs w:val="20"/>
        </w:rPr>
        <w:t xml:space="preserve">This section sets out why the risk in Project Northfield is different in kind, and not merely in degree, from the risk we already run in our own card book. The argument rests on four properties of revolving credit that are well understood at the level of a single account, and whose consequences change materially when an entire portfolio is acquired at once.</w:t>
      </w:r>
    </w:p>
    <w:p>
      <w:pPr>
        <w:pStyle w:val="Heading2"/>
        <w:keepNext/>
        <w:spacing w:after="100" w:before="240"/>
      </w:pPr>
      <w:r>
        <w:rPr>
          <w:rFonts w:ascii="Calibri" w:cs="Calibri" w:eastAsia="Calibri" w:hAnsi="Calibri"/>
          <w:b/>
          <w:bCs/>
          <w:color w:val="2E5C8A"/>
          <w:sz w:val="22"/>
          <w:szCs w:val="22"/>
        </w:rPr>
        <w:t xml:space="preserve">6.1  A credit line is a pair of options, and they are not symmetric</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Every card account we hold is an option pair. The customer holds what is effectively a perpetual American call on our balance sheet: the right, exercisable at any moment without notice, to convert an undrawn commitment into a drawn loan at a price fixed in advance. We hold the offsetting right to cancel or reduce the line — which is why the regulatory framework treats these commitments as unconditionally cancellable and applies only a 10% credit conversion factor.</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In practice the two options are not symmetric, for three reasons. The customer's option is exercisable instantly, silently and at their sole discretion. Ours requires information that reaches us with a lag of weeks to months — a payment must be missed, a bureau file must refresh, a score must be recalculated — and its exercise is constrained by conduct rules on consent and affordability that limit how abruptly we may withdraw credit from a customer who is relying on it. And, decisively, the customer's incentive to exercise rises at exactly the moment ours does. We are short an option that is most likely to be exercised precisely when we would most like to have already cancelled it.</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At the level of a single account this is a manageable feature of the product, and it is priced into the 21% APR. Acquiring Northfield changes the character of the exposure, not merely its quantity. </w:t>
      </w:r>
      <w:r>
        <w:rPr>
          <w:rFonts w:ascii="Calibri" w:cs="Calibri" w:eastAsia="Calibri" w:hAnsi="Calibri"/>
          <w:b/>
          <w:bCs/>
          <w:i w:val="false"/>
          <w:iCs w:val="false"/>
          <w:caps w:val="false"/>
          <w:color w:val="1A1A1A"/>
          <w:sz w:val="20"/>
          <w:szCs w:val="20"/>
        </w:rPr>
        <w:t xml:space="preserve">We would be buying 2.85 million of these option pairs simultaneously, on a book where the customer's option is already substantially in the money: </w:t>
      </w:r>
      <w:r>
        <w:rPr>
          <w:rFonts w:ascii="Calibri" w:cs="Calibri" w:eastAsia="Calibri" w:hAnsi="Calibri"/>
          <w:b w:val="false"/>
          <w:bCs w:val="false"/>
          <w:i w:val="false"/>
          <w:iCs w:val="false"/>
          <w:caps w:val="false"/>
          <w:color w:val="1A1A1A"/>
          <w:sz w:val="20"/>
          <w:szCs w:val="20"/>
        </w:rPr>
        <w:t xml:space="preserve">71% of Northfield's balances revolve against 40% of ours, utilization runs at 38% against our 21%, and $12,350mm of committed lines sit undrawn. That undrawn figure is 10.4 times our entire drawn card book. It does not appear in the $7,200mm of net receivables we would record on the balance sheet at close, and it is the exposure that determines what this portfolio can cost us.</w:t>
      </w:r>
    </w:p>
    <w:p>
      <w:pPr>
        <w:pStyle w:val="Heading2"/>
        <w:keepNext/>
        <w:spacing w:after="100" w:before="240"/>
      </w:pPr>
      <w:r>
        <w:rPr>
          <w:rFonts w:ascii="Calibri" w:cs="Calibri" w:eastAsia="Calibri" w:hAnsi="Calibri"/>
          <w:b/>
          <w:bCs/>
          <w:color w:val="2E5C8A"/>
          <w:sz w:val="22"/>
          <w:szCs w:val="22"/>
        </w:rPr>
        <w:t xml:space="preserve">6.2  EAD migration: the exposure we own is not the exposure on the balance sheet</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Exposure at default systematically exceeds exposure at underwriting, and the reason is mechanical rather than incidental. The same event that produces default — a borrower's loss of income or liquidity — also produces drawdown, because a revolving line is the fastest and cheapest liquidity available to a household under stress. Borrowers draw down as they approach distress. The book therefore migrates onto our balance sheet at precisely the moment its quality is deteriorating, and the balances that migrate are drawn disproportionately from the accounts least able to repay. This is not a tail scenario; it is the ordinary operation of the product through a downturn.</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Our stress test applies a deliberately conservative 5% drawdown against Northfield's undrawn lines. That produces $679mm of new receivables appearing on our balance sheet without a single new account being opened, carrying $458mm of incremental risk-weighted assets. Two observations follow. First, the 5% assumption is not a stress in any meaningful sense — utilization on this book is already 38%, and a genuine recession would plausibly produce multiples of that figure. Second, the drawn balances arrive already impaired in expectation, so the incremental RWA understates the incremental loss content.</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The comparison with Harborview is instructive. The same 5% drawdown assumption against Harborview's $1,425mm of undrawn lines produces $50mm of incremental RWA — 11% of Northfield's figure. </w:t>
      </w:r>
      <w:r>
        <w:rPr>
          <w:rFonts w:ascii="Calibri" w:cs="Calibri" w:eastAsia="Calibri" w:hAnsi="Calibri"/>
          <w:b/>
          <w:bCs/>
          <w:i w:val="false"/>
          <w:iCs w:val="false"/>
          <w:caps w:val="false"/>
          <w:color w:val="1A1A1A"/>
          <w:sz w:val="20"/>
          <w:szCs w:val="20"/>
        </w:rPr>
        <w:t xml:space="preserve">The difference is not that Harborview's borrowers behave better under stress. It is that we would not have bought $12,350mm of these options.</w:t>
      </w:r>
    </w:p>
    <w:p>
      <w:pPr>
        <w:pStyle w:val="Heading2"/>
        <w:keepNext/>
        <w:spacing w:after="100" w:before="240"/>
      </w:pPr>
      <w:r>
        <w:rPr>
          <w:rFonts w:ascii="Calibri" w:cs="Calibri" w:eastAsia="Calibri" w:hAnsi="Calibri"/>
          <w:b/>
          <w:bCs/>
          <w:color w:val="2E5C8A"/>
          <w:sz w:val="22"/>
          <w:szCs w:val="22"/>
        </w:rPr>
        <w:t xml:space="preserve">6.3  Adverse selection, the information lag, and unseasoned vintages</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Northfield grew gross receivables at a 24% compound annual rate over the review period, from $4,910mm to $7,550mm. Across the same window its 90+ delinquency rose 90 basis points and its charge-off rate rose 160. These two facts have a single parsimonious explanation. To sustain a 24% growth rate in a mature market, the marginal account approved must be drawn from progressively deeper in the applicant distribution — the applicants who would have been declined a year earlier. Growth of that speed selects adversely by construction, and it does so invisibly, because the accounts it adds have not yet had time to default.</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This produces a measurement problem that we regard as the central diligence risk in the transaction. A card vintage does not reveal its true loss content for eighteen to twenty-four months. At 24% annual growth, a very large share of Northfield's book at any moment is unseasoned, and every credit ratio computed on that book carries a denominator inflated by recent originations that have not yet reached the age at which they default. The reported 4.60% charge-off rate is therefore a favourably biased estimate of the book's actual credit content, not a conservative one.</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Which makes the following observation the most important number in this diligence: </w:t>
      </w:r>
      <w:r>
        <w:rPr>
          <w:rFonts w:ascii="Calibri" w:cs="Calibri" w:eastAsia="Calibri" w:hAnsi="Calibri"/>
          <w:b/>
          <w:bCs/>
          <w:i w:val="false"/>
          <w:iCs w:val="false"/>
          <w:caps w:val="false"/>
          <w:color w:val="1A1A1A"/>
          <w:sz w:val="20"/>
          <w:szCs w:val="20"/>
        </w:rPr>
        <w:t xml:space="preserve">Northfield's provision expense rose from 4.36% to 5.10% of gross receivables over three years — the ratio deteriorated even against a denominator that was inflating at 24% a year and even with the flattering effect of unseasoned vintages working in its favour. </w:t>
      </w:r>
      <w:r>
        <w:rPr>
          <w:rFonts w:ascii="Calibri" w:cs="Calibri" w:eastAsia="Calibri" w:hAnsi="Calibri"/>
          <w:b w:val="false"/>
          <w:bCs w:val="false"/>
          <w:i w:val="false"/>
          <w:iCs w:val="false"/>
          <w:caps w:val="false"/>
          <w:color w:val="1A1A1A"/>
          <w:sz w:val="20"/>
          <w:szCs w:val="20"/>
        </w:rPr>
        <w:t xml:space="preserve">Provision expense grew at roughly 34% annually against 24% receivable growth. Something in the underlying book is deteriorating faster than the reported ratios show, and we would be acquiring it before it has finished revealing itself. Our projections deliberately do not assume this away: even under moderated post-close growth of 10%, we model provisions rising from 5.10% to 5.83% of receivables by FY2028.</w:t>
      </w:r>
    </w:p>
    <w:p>
      <w:pPr>
        <w:pStyle w:val="Heading2"/>
        <w:keepNext/>
        <w:spacing w:after="100" w:before="240"/>
      </w:pPr>
      <w:r>
        <w:rPr>
          <w:rFonts w:ascii="Calibri" w:cs="Calibri" w:eastAsia="Calibri" w:hAnsi="Calibri"/>
          <w:b/>
          <w:bCs/>
          <w:color w:val="2E5C8A"/>
          <w:sz w:val="22"/>
          <w:szCs w:val="22"/>
        </w:rPr>
        <w:t xml:space="preserve">6.4  Capital treatment compounds the economic problem</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Three features of the regulatory framework interact to make the capital consequence worse than the economic exposure alone would suggest.</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The 10% credit conversion factor undercapitalises the state in which the exposure converts. </w:t>
      </w:r>
      <w:r>
        <w:rPr>
          <w:rFonts w:ascii="Calibri" w:cs="Calibri" w:eastAsia="Calibri" w:hAnsi="Calibri"/>
          <w:b w:val="false"/>
          <w:bCs w:val="false"/>
          <w:i w:val="false"/>
          <w:iCs w:val="false"/>
          <w:caps w:val="false"/>
          <w:color w:val="1A1A1A"/>
          <w:sz w:val="20"/>
          <w:szCs w:val="20"/>
        </w:rPr>
        <w:t xml:space="preserve">We would carry $926mm of RWA against $12,350mm of committed undrawn exposure — 7.5 cents of risk weight per dollar committed. That treatment is calibrated to normal conditions, in which the cancellation option is genuinely effective. In the state where drawdown actually happens, the option is least effective and the capital held against it is least adequate. The regulatory treatment is procyclical in exactly the wrong direction.</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Revolvers attract a 75% risk weight against 45% for transactors. </w:t>
      </w:r>
      <w:r>
        <w:rPr>
          <w:rFonts w:ascii="Calibri" w:cs="Calibri" w:eastAsia="Calibri" w:hAnsi="Calibri"/>
          <w:b w:val="false"/>
          <w:bCs w:val="false"/>
          <w:i w:val="false"/>
          <w:iCs w:val="false"/>
          <w:caps w:val="false"/>
          <w:color w:val="1A1A1A"/>
          <w:sz w:val="20"/>
          <w:szCs w:val="20"/>
        </w:rPr>
        <w:t xml:space="preserve">Northfield's 71% revolve rate is the source of both its yield and its capital intensity: the same characteristic that makes the book attractive on an earnings basis makes it expensive on a capital basis. Its RWA density is 65.9% against our 55.1%, which is why $10,400mm of assets brings $6,850mm of RWA.</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Goodwill is deducted from CET1 in full. </w:t>
      </w:r>
      <w:r>
        <w:rPr>
          <w:rFonts w:ascii="Calibri" w:cs="Calibri" w:eastAsia="Calibri" w:hAnsi="Calibri"/>
          <w:b w:val="false"/>
          <w:bCs w:val="false"/>
          <w:i w:val="false"/>
          <w:iCs w:val="false"/>
          <w:caps w:val="false"/>
          <w:color w:val="1A1A1A"/>
          <w:sz w:val="20"/>
          <w:szCs w:val="20"/>
        </w:rPr>
        <w:t xml:space="preserve">An all-cash acquisition converts $865mm of tangible common equity into a non-earning intangible that is then removed from regulatory capital entirely. No shares are issued, so nothing offsets the deduction.</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The three effects compound. Goodwill removes $865mm from the numerator; the acquired book adds $6,850mm to the denominator; and under stress, EAD migration adds a further $458mm to the denominator at the same moment credit losses are reducing the numerator again. The arithmetic result is a pro forma CET1 ratio of 7.42% — forty-two basis points of headroom above the regulatory floor, before any recession has occurred.</w:t>
      </w:r>
    </w:p>
    <w:p>
      <w:pPr>
        <w:pStyle w:val="Heading2"/>
        <w:keepNext/>
        <w:spacing w:after="100" w:before="240"/>
      </w:pPr>
      <w:r>
        <w:rPr>
          <w:rFonts w:ascii="Calibri" w:cs="Calibri" w:eastAsia="Calibri" w:hAnsi="Calibri"/>
          <w:b/>
          <w:bCs/>
          <w:color w:val="2E5C8A"/>
          <w:sz w:val="22"/>
          <w:szCs w:val="22"/>
        </w:rPr>
        <w:t xml:space="preserve">6.5  We would be buying a trajectory, not a snapshot</w:t>
      </w:r>
    </w:p>
    <w:p>
      <w:pPr>
        <w:keepNext/>
        <w:spacing w:after="80" w:before="200"/>
      </w:pPr>
      <w:r>
        <w:rPr>
          <w:rFonts w:ascii="Calibri" w:cs="Calibri" w:eastAsia="Calibri" w:hAnsi="Calibri"/>
          <w:b/>
          <w:bCs/>
          <w:color w:val="1F3864"/>
          <w:sz w:val="17"/>
          <w:szCs w:val="17"/>
        </w:rPr>
        <w:t xml:space="preserve">Table 6 — Three-year credit and capital trend</w:t>
      </w: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3629"/>
        <w:gridCol w:w="1613"/>
        <w:gridCol w:w="1613"/>
        <w:gridCol w:w="1613"/>
        <w:gridCol w:w="1612"/>
      </w:tblGrid>
      <w:tr>
        <w:trPr>
          <w:tblHeader/>
        </w:trPr>
        <w:tc>
          <w:tcPr>
            <w:tcW w:type="dxa" w:w="3629"/>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FFFFFF"/>
                <w:sz w:val="17"/>
                <w:szCs w:val="17"/>
              </w:rPr>
              <w:t xml:space="preserve"/>
            </w:r>
          </w:p>
        </w:tc>
        <w:tc>
          <w:tcPr>
            <w:tcW w:type="dxa" w:w="1613"/>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FY2023</w:t>
            </w:r>
          </w:p>
        </w:tc>
        <w:tc>
          <w:tcPr>
            <w:tcW w:type="dxa" w:w="1613"/>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FY2024</w:t>
            </w:r>
          </w:p>
        </w:tc>
        <w:tc>
          <w:tcPr>
            <w:tcW w:type="dxa" w:w="1613"/>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FY2025</w:t>
            </w:r>
          </w:p>
        </w:tc>
        <w:tc>
          <w:tcPr>
            <w:tcW w:type="dxa" w:w="1612"/>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Change</w:t>
            </w:r>
          </w:p>
        </w:tc>
      </w:tr>
      <w:tr>
        <w:tc>
          <w:tcPr>
            <w:tcW w:type="dxa" w:w="3629"/>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Northfield Card (B)</w:t>
            </w:r>
          </w:p>
        </w:tc>
        <w:tc>
          <w:tcPr>
            <w:tcW w:type="dxa" w:w="1613"/>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613"/>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613"/>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612"/>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3629"/>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Gross card receivables ($mm)</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4,910</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6,090</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7,550</w:t>
            </w:r>
          </w:p>
        </w:tc>
        <w:tc>
          <w:tcPr>
            <w:tcW w:type="dxa" w:w="16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+54%</w:t>
            </w:r>
          </w:p>
        </w:tc>
      </w:tr>
      <w:tr>
        <w:tc>
          <w:tcPr>
            <w:tcW w:type="dxa" w:w="3629"/>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Provision for credit losses ($mm)</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214</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287</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385</w:t>
            </w:r>
          </w:p>
        </w:tc>
        <w:tc>
          <w:tcPr>
            <w:tcW w:type="dxa" w:w="16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+80%</w:t>
            </w:r>
          </w:p>
        </w:tc>
      </w:tr>
      <w:tr>
        <w:tc>
          <w:tcPr>
            <w:tcW w:type="dxa" w:w="3629"/>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Provisions as % of receivables</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4.36%</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4.71%</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5.10%</w:t>
            </w:r>
          </w:p>
        </w:tc>
        <w:tc>
          <w:tcPr>
            <w:tcW w:type="dxa" w:w="16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+74bp</w:t>
            </w:r>
          </w:p>
        </w:tc>
      </w:tr>
      <w:tr>
        <w:tc>
          <w:tcPr>
            <w:tcW w:type="dxa" w:w="3629"/>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90+ DPD</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1.50%</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1.90%</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2.40%</w:t>
            </w:r>
          </w:p>
        </w:tc>
        <w:tc>
          <w:tcPr>
            <w:tcW w:type="dxa" w:w="16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+90bp</w:t>
            </w:r>
          </w:p>
        </w:tc>
      </w:tr>
      <w:tr>
        <w:tc>
          <w:tcPr>
            <w:tcW w:type="dxa" w:w="3629"/>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Net charge-off rate</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3.00%</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3.70%</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4.60%</w:t>
            </w:r>
          </w:p>
        </w:tc>
        <w:tc>
          <w:tcPr>
            <w:tcW w:type="dxa" w:w="16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+160bp</w:t>
            </w:r>
          </w:p>
        </w:tc>
      </w:tr>
      <w:tr>
        <w:tc>
          <w:tcPr>
            <w:tcW w:type="dxa" w:w="3629"/>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CET1 ratio</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13.50%</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12.40%</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11.50%</w:t>
            </w:r>
          </w:p>
        </w:tc>
        <w:tc>
          <w:tcPr>
            <w:tcW w:type="dxa" w:w="1612"/>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(200)bp</w:t>
            </w:r>
          </w:p>
        </w:tc>
      </w:tr>
      <w:tr>
        <w:tc>
          <w:tcPr>
            <w:tcW w:type="dxa" w:w="3629"/>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Harborview Community (C)</w:t>
            </w:r>
          </w:p>
        </w:tc>
        <w:tc>
          <w:tcPr>
            <w:tcW w:type="dxa" w:w="1613"/>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613"/>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613"/>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612"/>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3629"/>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Gross card receivables ($mm)</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328</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341</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355</w:t>
            </w:r>
          </w:p>
        </w:tc>
        <w:tc>
          <w:tcPr>
            <w:tcW w:type="dxa" w:w="16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w:t>
            </w:r>
          </w:p>
        </w:tc>
      </w:tr>
      <w:tr>
        <w:tc>
          <w:tcPr>
            <w:tcW w:type="dxa" w:w="3629"/>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90+ DPD</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0.50%</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0.50%</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0.50%</w:t>
            </w:r>
          </w:p>
        </w:tc>
        <w:tc>
          <w:tcPr>
            <w:tcW w:type="dxa" w:w="16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w:t>
            </w:r>
          </w:p>
        </w:tc>
      </w:tr>
      <w:tr>
        <w:tc>
          <w:tcPr>
            <w:tcW w:type="dxa" w:w="3629"/>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Net charge-off rate</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1.20%</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1.20%</w:t>
            </w:r>
          </w:p>
        </w:tc>
        <w:tc>
          <w:tcPr>
            <w:tcW w:type="dxa" w:w="1613"/>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1.20%</w:t>
            </w:r>
          </w:p>
        </w:tc>
        <w:tc>
          <w:tcPr>
            <w:tcW w:type="dxa" w:w="16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w:t>
            </w:r>
          </w:p>
        </w:tc>
      </w:tr>
      <w:tr>
        <w:tc>
          <w:tcPr>
            <w:tcW w:type="dxa" w:w="3629"/>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CET1 ratio</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16.50%</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16.80%</w:t>
            </w:r>
          </w:p>
        </w:tc>
        <w:tc>
          <w:tcPr>
            <w:tcW w:type="dxa" w:w="1613"/>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17.10%</w:t>
            </w:r>
          </w:p>
        </w:tc>
        <w:tc>
          <w:tcPr>
            <w:tcW w:type="dxa" w:w="16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+60bp</w:t>
            </w:r>
          </w:p>
        </w:tc>
      </w:tr>
    </w:tbl>
    <w:p>
      <w:pPr>
        <w:spacing w:after="200" w:before="60"/>
      </w:pPr>
      <w:r>
        <w:rPr>
          <w:rFonts w:ascii="Calibri" w:cs="Calibri" w:eastAsia="Calibri" w:hAnsi="Calibri"/>
          <w:i/>
          <w:iCs/>
          <w:color w:val="595959"/>
          <w:sz w:val="15"/>
          <w:szCs w:val="15"/>
        </w:rPr>
        <w:t xml:space="preserve">Source: case source specification section 3–4 trend guidance; MA_Merger_Model.xlsx, tab 'Standalone Summary'.</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Diligence on an acquisition tends to fixate on the closing snapshot. The trend is the more informative object here. Every Northfield metric that matters moved in the wrong direction, in the same direction, for three consecutive years, while the book grew fastest — and its capital ratio fell 200 basis points because risk-weighted asset growth outran its ability to generate capital internally. Northfield was already running out of capital before this transaction was contemplated. Buying it does not resolve that; it transfers it to our balance sheet and adds $865mm of goodwill on top.</w:t>
      </w:r>
    </w:p>
    <w:p>
      <w:pPr>
        <w:pStyle w:val="Heading2"/>
        <w:keepNext/>
        <w:spacing w:after="100" w:before="240"/>
      </w:pPr>
      <w:r>
        <w:rPr>
          <w:rFonts w:ascii="Calibri" w:cs="Calibri" w:eastAsia="Calibri" w:hAnsi="Calibri"/>
          <w:b/>
          <w:bCs/>
          <w:color w:val="2E5C8A"/>
          <w:sz w:val="22"/>
          <w:szCs w:val="22"/>
        </w:rPr>
        <w:t xml:space="preserve">6.6  Conduct risk is correlated with the credit exposure, not separate from it</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The 2024 conduct-regulator inquiry into Northfield's credit-limit-increase consent and affordability practices should not be read as a discrete compliance item with a discrete remediation cost. Credit-limit increases are the precise mechanism by which undrawn exposure is created. If the substance of the finding was that limits were granted without adequate affordability assessment, then some portion of the $12,350mm of undrawn commitments we would acquire sits on accounts that would not qualify for those limits today — which means the accounts most likely to draw down under stress are also the accounts whose limits are least defensible.</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Two consequences follow. First, our ability to exercise the cancellation option on exactly those accounts would be most constrained, because withdrawing credit from customers who were granted it improperly invites the conduct exposure to crystallise a second time. Second, successor liability transfers to Meridian at close, and it would attach to our name and our regulatory relationship, not Northfield's. The remediation is described as closed but not fully retired; on a matter this closely coupled to the acquired exposure, that distinction matters.</w:t>
      </w:r>
    </w:p>
    <w:p>
      <w:pPr>
        <w:pStyle w:val="Heading2"/>
        <w:keepNext/>
        <w:spacing w:after="100" w:before="240"/>
      </w:pPr>
      <w:r>
        <w:rPr>
          <w:rFonts w:ascii="Calibri" w:cs="Calibri" w:eastAsia="Calibri" w:hAnsi="Calibri"/>
          <w:b/>
          <w:bCs/>
          <w:color w:val="2E5C8A"/>
          <w:sz w:val="22"/>
          <w:szCs w:val="22"/>
        </w:rPr>
        <w:t xml:space="preserve">6.7  The risks of the recommended course</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The board should weigh the risks of Project Harborview and of inaction with the same seriousness.</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Synergy concentration. </w:t>
      </w:r>
      <w:r>
        <w:rPr>
          <w:rFonts w:ascii="Calibri" w:cs="Calibri" w:eastAsia="Calibri" w:hAnsi="Calibri"/>
          <w:b w:val="false"/>
          <w:bCs w:val="false"/>
          <w:i w:val="false"/>
          <w:iCs w:val="false"/>
          <w:caps w:val="false"/>
          <w:color w:val="1A1A1A"/>
          <w:sz w:val="20"/>
          <w:szCs w:val="20"/>
        </w:rPr>
        <w:t xml:space="preserve">As set out in Section 4.5, $45.6mm of the $57.8mm revenue synergy rests on a 10 basis point funding-cost estimate applied to a $45,550mm base. This is the transaction's principal financial diligence item and is addressed by condition (v).</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Strategic under-delivery. </w:t>
      </w:r>
      <w:r>
        <w:rPr>
          <w:rFonts w:ascii="Calibri" w:cs="Calibri" w:eastAsia="Calibri" w:hAnsi="Calibri"/>
          <w:b w:val="false"/>
          <w:bCs w:val="false"/>
          <w:i w:val="false"/>
          <w:iCs w:val="false"/>
          <w:caps w:val="false"/>
          <w:color w:val="1A1A1A"/>
          <w:sz w:val="20"/>
          <w:szCs w:val="20"/>
        </w:rPr>
        <w:t xml:space="preserve">Harborview leaves card lending at roughly 3% of group assets. If the board's conviction is that the structural returns in Canadian retail banking have migrated decisively to revolving credit, this transaction does not capture them, and the organic build programme in condition (viii) becomes the load-bearing element of the strategy rather than a supplement to it.</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Opportunity cost and competitive dynamics. </w:t>
      </w:r>
      <w:r>
        <w:rPr>
          <w:rFonts w:ascii="Calibri" w:cs="Calibri" w:eastAsia="Calibri" w:hAnsi="Calibri"/>
          <w:b w:val="false"/>
          <w:bCs w:val="false"/>
          <w:i w:val="false"/>
          <w:iCs w:val="false"/>
          <w:caps w:val="false"/>
          <w:color w:val="1A1A1A"/>
          <w:sz w:val="20"/>
          <w:szCs w:val="20"/>
        </w:rPr>
        <w:t xml:space="preserve">Declining Northfield may mean a competitor acquires it, and card portfolios of that scale come to market rarely. We judge this acceptable: a competitor acquiring a book with these characteristics at this price inherits the same capital arithmetic and the same credit trajectory we have declined.</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Execution risk on the organic build. </w:t>
      </w:r>
      <w:r>
        <w:rPr>
          <w:rFonts w:ascii="Calibri" w:cs="Calibri" w:eastAsia="Calibri" w:hAnsi="Calibri"/>
          <w:b w:val="false"/>
          <w:bCs w:val="false"/>
          <w:i w:val="false"/>
          <w:iCs w:val="false"/>
          <w:caps w:val="false"/>
          <w:color w:val="1A1A1A"/>
          <w:sz w:val="20"/>
          <w:szCs w:val="20"/>
        </w:rPr>
        <w:t xml:space="preserve">Growing a card book organically is genuinely slow, and the mandate exists because of that. The programme in Section 8.3 should be judged on measured vintage loss performance rather than volume, which will make it look slower than an acquisition for at least three years.</w:t>
      </w:r>
    </w:p>
    <w:p>
      <w:r>
        <w:br w:type="page"/>
      </w:r>
    </w:p>
    <w:p>
      <w:pPr>
        <w:pStyle w:val="Heading1"/>
        <w:keepNext/>
        <w:pBdr>
          <w:bottom w:val="single" w:color="1F3864" w:sz="8" w:space="4"/>
        </w:pBdr>
        <w:spacing w:after="140" w:before="320"/>
      </w:pPr>
      <w:r>
        <w:rPr>
          <w:rFonts w:ascii="Calibri" w:cs="Calibri" w:eastAsia="Calibri" w:hAnsi="Calibri"/>
          <w:b/>
          <w:bCs/>
          <w:color w:val="1F3864"/>
          <w:sz w:val="26"/>
          <w:szCs w:val="26"/>
        </w:rPr>
        <w:t xml:space="preserve">7.  Capital and Financing Plan</w:t>
      </w:r>
    </w:p>
    <w:p>
      <w:pPr>
        <w:keepNext/>
        <w:spacing w:after="80" w:before="200"/>
      </w:pPr>
      <w:r>
        <w:rPr>
          <w:rFonts w:ascii="Calibri" w:cs="Calibri" w:eastAsia="Calibri" w:hAnsi="Calibri"/>
          <w:b/>
          <w:bCs/>
          <w:color w:val="1F3864"/>
          <w:sz w:val="17"/>
          <w:szCs w:val="17"/>
        </w:rPr>
        <w:t xml:space="preserve">Table 7 — Pro forma capital walk</w:t>
      </w: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4637"/>
        <w:gridCol w:w="2722"/>
        <w:gridCol w:w="2721"/>
      </w:tblGrid>
      <w:tr>
        <w:trPr>
          <w:tblHeader/>
        </w:trPr>
        <w:tc>
          <w:tcPr>
            <w:tcW w:type="dxa" w:w="4637"/>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FFFFFF"/>
                <w:sz w:val="17"/>
                <w:szCs w:val="17"/>
              </w:rPr>
              <w:t xml:space="preserve"/>
            </w:r>
          </w:p>
        </w:tc>
        <w:tc>
          <w:tcPr>
            <w:tcW w:type="dxa" w:w="2722"/>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Northfield (B)</w:t>
            </w:r>
          </w:p>
        </w:tc>
        <w:tc>
          <w:tcPr>
            <w:tcW w:type="dxa" w:w="2721"/>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Harborview (C)</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Meridian standalone CET1 capital</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3,050</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3,050</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Less: goodwill created (full CET1 deduction)</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(865)</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(262)</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Pro forma CET1 capital, before raise</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2,185</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2,788</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Meridian standalone RWA</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22,600</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22,600</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Plus: target RWA acquired</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6,850</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4,450</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Pro forma combined RWA</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29,450</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27,050</w:t>
            </w:r>
          </w:p>
        </w:tc>
      </w:tr>
      <w:tr>
        <w:tc>
          <w:tcPr>
            <w:tcW w:type="dxa" w:w="4637"/>
            <w:shd w:fill="FFF4CC"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Pro forma CET1 ratio, before raise</w:t>
            </w:r>
          </w:p>
        </w:tc>
        <w:tc>
          <w:tcPr>
            <w:tcW w:type="dxa" w:w="2722"/>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7.42%</w:t>
            </w:r>
          </w:p>
        </w:tc>
        <w:tc>
          <w:tcPr>
            <w:tcW w:type="dxa" w:w="2721"/>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10.31%</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Change versus 13.50% standalone</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(608)bp</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(319)bp</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Headroom over 7.0% regulatory minimum</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42bp</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331bp</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CET1 required to hold the 11.0% target</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3,239.5</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2,975.5</w:t>
            </w:r>
          </w:p>
        </w:tc>
      </w:tr>
      <w:tr>
        <w:tc>
          <w:tcPr>
            <w:tcW w:type="dxa" w:w="4637"/>
            <w:shd w:fill="FFF4CC"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Minimum equity raise required</w:t>
            </w:r>
          </w:p>
        </w:tc>
        <w:tc>
          <w:tcPr>
            <w:tcW w:type="dxa" w:w="2722"/>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1,054.5</w:t>
            </w:r>
          </w:p>
        </w:tc>
        <w:tc>
          <w:tcPr>
            <w:tcW w:type="dxa" w:w="2721"/>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187.5</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New shares issued at $44.00 (mm)</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23.97</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4.26</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Ownership dilution to existing holders</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16.6%</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3.4%</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Raise as % of market capitalisation</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20.0%</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3.6%</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Pro forma CET1 ratio, after raise</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11.00%</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11.00%</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Memo: raise still required at a nil-goodwill price</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189.5</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Memo: stock consideration needed to avoid a raise</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63.9%</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17.9%</w:t>
            </w:r>
          </w:p>
        </w:tc>
      </w:tr>
    </w:tbl>
    <w:p>
      <w:pPr>
        <w:spacing w:after="200" w:before="60"/>
      </w:pPr>
      <w:r>
        <w:rPr>
          <w:rFonts w:ascii="Calibri" w:cs="Calibri" w:eastAsia="Calibri" w:hAnsi="Calibri"/>
          <w:i/>
          <w:iCs/>
          <w:color w:val="595959"/>
          <w:sz w:val="15"/>
          <w:szCs w:val="15"/>
        </w:rPr>
        <w:t xml:space="preserve">Source: MA_Merger_Model.xlsx, deal tabs section D. Issuance modelled at the current $44.00 market price with no underwriting discount; a discount would increase both the share count and the dilution.</w:t>
      </w:r>
    </w:p>
    <w:p>
      <w:pPr>
        <w:pStyle w:val="Heading2"/>
        <w:keepNext/>
        <w:spacing w:after="100" w:before="240"/>
      </w:pPr>
      <w:r>
        <w:rPr>
          <w:rFonts w:ascii="Calibri" w:cs="Calibri" w:eastAsia="Calibri" w:hAnsi="Calibri"/>
          <w:b/>
          <w:bCs/>
          <w:color w:val="2E5C8A"/>
          <w:sz w:val="22"/>
          <w:szCs w:val="22"/>
        </w:rPr>
        <w:t xml:space="preserve">7.1  Financing Project Harborview</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Harborview is funded with $525mm of new senior debt at 4.85% and $525mm of existing excess cash and capital. Pro forma CET1 settles at 10.31%, sixty-nine basis points below our 11.0% internal target and 331 basis points above the regulatory floor. The $187.5mm shortfall to target is 40% of the transaction's own first-year pro forma net income of $470mm.</w:t>
      </w:r>
    </w:p>
    <w:p>
      <w:pPr>
        <w:keepNext w:val="false"/>
        <w:keepLines w:val="false"/>
        <w:spacing w:after="120" w:before="0" w:line="264"/>
      </w:pPr>
      <w:r>
        <w:rPr>
          <w:rFonts w:ascii="Calibri" w:cs="Calibri" w:eastAsia="Calibri" w:hAnsi="Calibri"/>
          <w:b/>
          <w:bCs/>
          <w:i w:val="false"/>
          <w:iCs w:val="false"/>
          <w:caps w:val="false"/>
          <w:color w:val="1A1A1A"/>
          <w:sz w:val="20"/>
          <w:szCs w:val="20"/>
        </w:rPr>
        <w:t xml:space="preserve">Management's recommendation is that this shortfall be closed through retained earnings rather than issuance. </w:t>
      </w:r>
      <w:r>
        <w:rPr>
          <w:rFonts w:ascii="Calibri" w:cs="Calibri" w:eastAsia="Calibri" w:hAnsi="Calibri"/>
          <w:b w:val="false"/>
          <w:bCs w:val="false"/>
          <w:i w:val="false"/>
          <w:iCs w:val="false"/>
          <w:caps w:val="false"/>
          <w:color w:val="1A1A1A"/>
          <w:sz w:val="20"/>
          <w:szCs w:val="20"/>
        </w:rPr>
        <w:t xml:space="preserve">At pro forma run-rate earnings the target is restored organically within approximately two quarters, requiring only a temporary suspension of buybacks. The model conservatively sizes and prices a $187.5mm issuance in the headline case — which is why the Year-3 accretion is stated at 28.6% rather than the 32.3% that applies without issuance — so the board should read the reported figures as the conservative bound. A sixty-nine basis point transitory dip against an internal target, fully self-curing within two quarters and with more than three hundred basis points of regulatory headroom throughout, is within normal management tolerance and does not require the board to access the equity market.</w:t>
      </w:r>
    </w:p>
    <w:p>
      <w:pPr>
        <w:pStyle w:val="Heading2"/>
        <w:keepNext/>
        <w:spacing w:after="100" w:before="240"/>
      </w:pPr>
      <w:r>
        <w:rPr>
          <w:rFonts w:ascii="Calibri" w:cs="Calibri" w:eastAsia="Calibri" w:hAnsi="Calibri"/>
          <w:b/>
          <w:bCs/>
          <w:color w:val="2E5C8A"/>
          <w:sz w:val="22"/>
          <w:szCs w:val="22"/>
        </w:rPr>
        <w:t xml:space="preserve">7.2  Why Project Northfield cannot be financed as structured</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Northfield presents a categorically different problem. A pro forma ratio of 7.42% is not a transitory dip against an internal target; it is 42 basis points above the hard regulatory floor, before any adverse event. No amount of retained earnings can responsibly be relied upon to bridge that, because the bridge is required on day one and the exposure that would consume it is acquired on the same day. A $1,054.5mm issuance, at 20.0% of market capitalisation, is a market-testing event in its own right, and it would very likely price at a discount — which our model does not assume, and which would increase both the share count and the 16.6% dilution.</w:t>
      </w:r>
    </w:p>
    <w:p>
      <w:pPr>
        <w:keepNext w:val="false"/>
        <w:keepLines w:val="false"/>
        <w:spacing w:after="120" w:before="0" w:line="264"/>
      </w:pPr>
      <w:r>
        <w:rPr>
          <w:rFonts w:ascii="Calibri" w:cs="Calibri" w:eastAsia="Calibri" w:hAnsi="Calibri"/>
          <w:b/>
          <w:bCs/>
          <w:i w:val="false"/>
          <w:iCs w:val="false"/>
          <w:caps w:val="false"/>
          <w:color w:val="1A1A1A"/>
          <w:sz w:val="20"/>
          <w:szCs w:val="20"/>
        </w:rPr>
        <w:t xml:space="preserve">The finding management most wishes to draw to the board's attention is that this is a structural feature of the transaction, not a consequence of the price. </w:t>
      </w:r>
      <w:r>
        <w:rPr>
          <w:rFonts w:ascii="Calibri" w:cs="Calibri" w:eastAsia="Calibri" w:hAnsi="Calibri"/>
          <w:b w:val="false"/>
          <w:bCs w:val="false"/>
          <w:i w:val="false"/>
          <w:iCs w:val="false"/>
          <w:caps w:val="false"/>
          <w:color w:val="1A1A1A"/>
          <w:sz w:val="20"/>
          <w:szCs w:val="20"/>
        </w:rPr>
        <w:t xml:space="preserve">Absorbing Northfield's $6,850mm of RWA takes the combined ratio to 10.36% even if the goodwill were nil — meaning a raise of $189.5mm would be required even if Northfield were acquired for exactly its net asset value. At Northfield's unpremiumed standalone value of $1,320mm, the all-cash structure would still demand a raise of roughly $725mm. There is no price at which an all-cash Northfield is self-funding and which its shareholders would accept. The only structure that resolves this is one in which at least 63.9% of consideration — some $1,054.5mm — is paid in Meridian stock, because newly issued acquirer equity counts as CET1 and offsets the goodwill deduction directly. That is the basis on which management would return to this opportunity, and it is condition (ii) of Section 8.2.</w:t>
      </w:r>
    </w:p>
    <w:p>
      <w:pPr>
        <w:pStyle w:val="Heading2"/>
        <w:keepNext/>
        <w:spacing w:after="100" w:before="240"/>
      </w:pPr>
      <w:r>
        <w:rPr>
          <w:rFonts w:ascii="Calibri" w:cs="Calibri" w:eastAsia="Calibri" w:hAnsi="Calibri"/>
          <w:b/>
          <w:bCs/>
          <w:color w:val="2E5C8A"/>
          <w:sz w:val="22"/>
          <w:szCs w:val="22"/>
        </w:rPr>
        <w:t xml:space="preserve">7.3  Behaviour under stress</w:t>
      </w:r>
    </w:p>
    <w:p>
      <w:pPr>
        <w:keepNext/>
        <w:spacing w:after="80" w:before="200"/>
      </w:pPr>
      <w:r>
        <w:rPr>
          <w:rFonts w:ascii="Calibri" w:cs="Calibri" w:eastAsia="Calibri" w:hAnsi="Calibri"/>
          <w:b/>
          <w:bCs/>
          <w:color w:val="1F3864"/>
          <w:sz w:val="17"/>
          <w:szCs w:val="17"/>
        </w:rPr>
        <w:t xml:space="preserve">Table 8 — Recession stress, FY2026E (NCO +200bp and 90+ DPD +150bp on acquired books; +50bp on Meridian's own)</w:t>
      </w: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4637"/>
        <w:gridCol w:w="2722"/>
        <w:gridCol w:w="2721"/>
      </w:tblGrid>
      <w:tr>
        <w:trPr>
          <w:tblHeader/>
        </w:trPr>
        <w:tc>
          <w:tcPr>
            <w:tcW w:type="dxa" w:w="4637"/>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FFFFFF"/>
                <w:sz w:val="17"/>
                <w:szCs w:val="17"/>
              </w:rPr>
              <w:t xml:space="preserve"/>
            </w:r>
          </w:p>
        </w:tc>
        <w:tc>
          <w:tcPr>
            <w:tcW w:type="dxa" w:w="2722"/>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Northfield (B)</w:t>
            </w:r>
          </w:p>
        </w:tc>
        <w:tc>
          <w:tcPr>
            <w:tcW w:type="dxa" w:w="2721"/>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Harborview (C)</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Incremental charge-offs on acquired book</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166.1</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7.4</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Stage 3 migration — lifetime ECL build</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107.1</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4.3</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Incremental charge-offs on Meridian's own book</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6.3</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6.3</w:t>
            </w:r>
          </w:p>
        </w:tc>
      </w:tr>
      <w:tr>
        <w:tc>
          <w:tcPr>
            <w:tcW w:type="dxa" w:w="4637"/>
            <w:shd w:fill="FFF4CC"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Total incremental provision expense</w:t>
            </w:r>
          </w:p>
        </w:tc>
        <w:tc>
          <w:tcPr>
            <w:tcW w:type="dxa" w:w="2722"/>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279.5</w:t>
            </w:r>
          </w:p>
        </w:tc>
        <w:tc>
          <w:tcPr>
            <w:tcW w:type="dxa" w:w="2721"/>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18.0</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EAD migration overlay — incremental RWA</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458.5</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50.0</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Stressed CET1 ratio, with the equity raise</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10.14%</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10.93%</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9C2B1B"/>
                <w:sz w:val="17"/>
                <w:szCs w:val="17"/>
              </w:rPr>
              <w:t xml:space="preserve">Stressed CET1 ratio, without the equity raise</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9C2B1B"/>
                <w:sz w:val="17"/>
                <w:szCs w:val="17"/>
              </w:rPr>
              <w:t xml:space="preserve">6.61%  —  BREACH</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9C2B1B"/>
                <w:sz w:val="17"/>
                <w:szCs w:val="17"/>
              </w:rPr>
              <w:t xml:space="preserve">10.24%</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Additional equity to hold target through stress</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257.3</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18.8</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Stressed Year-1 EPS</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$3.65</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$3.68</w:t>
            </w:r>
          </w:p>
        </w:tc>
      </w:tr>
      <w:tr>
        <w:tc>
          <w:tcPr>
            <w:tcW w:type="dxa" w:w="4637"/>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Decline versus base case</w:t>
            </w:r>
          </w:p>
        </w:tc>
        <w:tc>
          <w:tcPr>
            <w:tcW w:type="dxa" w:w="272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(28.2)%</w:t>
            </w:r>
          </w:p>
        </w:tc>
        <w:tc>
          <w:tcPr>
            <w:tcW w:type="dxa" w:w="272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(2.8)%</w:t>
            </w:r>
          </w:p>
        </w:tc>
      </w:tr>
      <w:tr>
        <w:tc>
          <w:tcPr>
            <w:tcW w:type="dxa" w:w="4637"/>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Stressed accretion versus standalone</w:t>
            </w:r>
          </w:p>
        </w:tc>
        <w:tc>
          <w:tcPr>
            <w:tcW w:type="dxa" w:w="2722"/>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+1.5%</w:t>
            </w:r>
          </w:p>
        </w:tc>
        <w:tc>
          <w:tcPr>
            <w:tcW w:type="dxa" w:w="2721"/>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+2.1%</w:t>
            </w:r>
          </w:p>
        </w:tc>
      </w:tr>
      <w:tr>
        <w:tc>
          <w:tcPr>
            <w:tcW w:type="dxa" w:w="4637"/>
            <w:shd w:fill="FFF4CC"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Stress-adjusted Year-3 ROIC</w:t>
            </w:r>
          </w:p>
        </w:tc>
        <w:tc>
          <w:tcPr>
            <w:tcW w:type="dxa" w:w="2722"/>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14.35%</w:t>
            </w:r>
          </w:p>
        </w:tc>
        <w:tc>
          <w:tcPr>
            <w:tcW w:type="dxa" w:w="2721"/>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13.68%</w:t>
            </w:r>
          </w:p>
        </w:tc>
      </w:tr>
    </w:tbl>
    <w:p>
      <w:pPr>
        <w:spacing w:after="200" w:before="60"/>
      </w:pPr>
      <w:r>
        <w:rPr>
          <w:rFonts w:ascii="Calibri" w:cs="Calibri" w:eastAsia="Calibri" w:hAnsi="Calibri"/>
          <w:i/>
          <w:iCs/>
          <w:color w:val="595959"/>
          <w:sz w:val="15"/>
          <w:szCs w:val="15"/>
        </w:rPr>
        <w:t xml:space="preserve">Source: MA_Merger_Model.xlsx, tab 'Stress Test'. Stress applied to FY2026E, the first full year post-close and the most binding point for capital.</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Three results deserve the board's attention. Northfield without the equity raise breaches the regulatory minimum outright at 6.61%, which confirms that the raise is not optional. Even with the full $1,054.5mm raise completed, Northfield still falls to 10.14% under stress and would require a further $257mm to hold the internal target — capital raised for a second time, in a recession, at whatever price the market would then offer. And under the same stress, Northfield's Year-1 accretion falls from 39.8% to 1.5%, below Harborview's stressed 2.1%. In the state of the world we hold capital for, the more accretive transaction is the less accretive one.</w:t>
      </w:r>
    </w:p>
    <w:p>
      <w:r>
        <w:br w:type="page"/>
      </w:r>
    </w:p>
    <w:p>
      <w:pPr>
        <w:pStyle w:val="Heading1"/>
        <w:keepNext/>
        <w:pBdr>
          <w:bottom w:val="single" w:color="1F3864" w:sz="8" w:space="4"/>
        </w:pBdr>
        <w:spacing w:after="140" w:before="320"/>
      </w:pPr>
      <w:r>
        <w:rPr>
          <w:rFonts w:ascii="Calibri" w:cs="Calibri" w:eastAsia="Calibri" w:hAnsi="Calibri"/>
          <w:b/>
          <w:bCs/>
          <w:color w:val="1F3864"/>
          <w:sz w:val="26"/>
          <w:szCs w:val="26"/>
        </w:rPr>
        <w:t xml:space="preserve">8.  Recommendation and Conditions</w:t>
      </w:r>
    </w:p>
    <w:tbl>
      <w:tblPr>
        <w:tblW w:type="dxa" w:w="10080"/>
        <w:tblBorders>
          <w:top w:val="single" w:color="1E6B44" w:sz="4"/>
          <w:left w:val="single" w:color="1E6B44" w:sz="18"/>
          <w:bottom w:val="single" w:color="1E6B44" w:sz="4"/>
          <w:right w:val="single" w:color="1E6B44" w:sz="4"/>
          <w:insideH w:val="single" w:color="auto" w:sz="4"/>
          <w:insideV w:val="single" w:color="auto" w:sz="4"/>
        </w:tblBorders>
      </w:tblPr>
      <w:tblGrid>
        <w:gridCol w:w="10080"/>
      </w:tblGrid>
      <w:tr>
        <w:tc>
          <w:tcPr>
            <w:tcW w:type="dxa" w:w="10080"/>
            <w:shd w:fill="EFF6F1" w:color="auto" w:val="clear"/>
            <w:tcMar>
              <w:top w:type="dxa" w:w="140"/>
              <w:left w:type="dxa" w:w="180"/>
              <w:bottom w:type="dxa" w:w="140"/>
              <w:right w:type="dxa" w:w="180"/>
            </w:tcMar>
          </w:tcPr>
          <w:p>
            <w:pPr>
              <w:spacing w:after="0" w:line="260"/>
            </w:pPr>
            <w:r>
              <w:rPr>
                <w:rFonts w:ascii="Calibri" w:cs="Calibri" w:eastAsia="Calibri" w:hAnsi="Calibri"/>
                <w:b/>
                <w:bCs/>
                <w:color w:val="1E6B44"/>
                <w:sz w:val="19"/>
                <w:szCs w:val="19"/>
              </w:rPr>
              <w:t xml:space="preserve">The board is asked to resolve:  </w:t>
            </w:r>
            <w:r>
              <w:rPr>
                <w:rFonts w:ascii="Calibri" w:cs="Calibri" w:eastAsia="Calibri" w:hAnsi="Calibri"/>
                <w:color w:val="1A1A1A"/>
                <w:sz w:val="19"/>
                <w:szCs w:val="19"/>
              </w:rPr>
              <w:t xml:space="preserve">(a) to approve the acquisition of Harborview Community Bank for $1,050mm in cash, subject to the conditions in Section 8.1; (b) to decline Project Northfield on the terms and structure presented; and (c) to authorise management to re-engage with Northfield only on the basis set out in Section 8.2.</w:t>
            </w:r>
          </w:p>
        </w:tc>
      </w:tr>
    </w:tbl>
    <w:p>
      <w:pPr>
        <w:spacing w:after="160"/>
      </w:pPr>
    </w:p>
    <w:p>
      <w:pPr>
        <w:pStyle w:val="Heading2"/>
        <w:keepNext/>
        <w:spacing w:after="100" w:before="240"/>
      </w:pPr>
      <w:r>
        <w:rPr>
          <w:rFonts w:ascii="Calibri" w:cs="Calibri" w:eastAsia="Calibri" w:hAnsi="Calibri"/>
          <w:b/>
          <w:bCs/>
          <w:color w:val="2E5C8A"/>
          <w:sz w:val="22"/>
          <w:szCs w:val="22"/>
        </w:rPr>
        <w:t xml:space="preserve">8.1  Conditions attaching to Project Harborview</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(i)  Capital. </w:t>
      </w:r>
      <w:r>
        <w:rPr>
          <w:rFonts w:ascii="Calibri" w:cs="Calibri" w:eastAsia="Calibri" w:hAnsi="Calibri"/>
          <w:b w:val="false"/>
          <w:bCs w:val="false"/>
          <w:i w:val="false"/>
          <w:iCs w:val="false"/>
          <w:caps w:val="false"/>
          <w:color w:val="1A1A1A"/>
          <w:sz w:val="20"/>
          <w:szCs w:val="20"/>
        </w:rPr>
        <w:t xml:space="preserve">Buybacks suspended from signing until CET1 is restored above 11.0%, expected within two quarters of close. Board notification required if the ratio has not recovered within three quarters, at which point a $187.5mm issuance is to be brought back for approval.</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(ii)  Underwriting talent retention. </w:t>
      </w:r>
      <w:r>
        <w:rPr>
          <w:rFonts w:ascii="Calibri" w:cs="Calibri" w:eastAsia="Calibri" w:hAnsi="Calibri"/>
          <w:b w:val="false"/>
          <w:bCs w:val="false"/>
          <w:i w:val="false"/>
          <w:iCs w:val="false"/>
          <w:caps w:val="false"/>
          <w:color w:val="1A1A1A"/>
          <w:sz w:val="20"/>
          <w:szCs w:val="20"/>
        </w:rPr>
        <w:t xml:space="preserve">Two-year retention agreements for the Harborview Chief Credit Officer and the full consumer underwriting and model-risk teams, executed as a condition precedent to closing. The underwriting capability is the principal asset being acquired; without the team it is a book of $355mm receivables at 1.31x book.</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(iii)  Credit confirmatory diligence. </w:t>
      </w:r>
      <w:r>
        <w:rPr>
          <w:rFonts w:ascii="Calibri" w:cs="Calibri" w:eastAsia="Calibri" w:hAnsi="Calibri"/>
          <w:b w:val="false"/>
          <w:bCs w:val="false"/>
          <w:i w:val="false"/>
          <w:iCs w:val="false"/>
          <w:caps w:val="false"/>
          <w:color w:val="1A1A1A"/>
          <w:sz w:val="20"/>
          <w:szCs w:val="20"/>
        </w:rPr>
        <w:t xml:space="preserve">Independent re-performance of the IFRS 9 staging allocation and a loan-file review across a statistically valid sample, confirming the 95% Stage 1 allocation and the $12mm Day-1 provisioning gross-up. Price adjustment mechanism if Stage 2 or Stage 3 balances exceed the represented levels by more than 10%.</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(iv)  Deposit stability. </w:t>
      </w:r>
      <w:r>
        <w:rPr>
          <w:rFonts w:ascii="Calibri" w:cs="Calibri" w:eastAsia="Calibri" w:hAnsi="Calibri"/>
          <w:b w:val="false"/>
          <w:bCs w:val="false"/>
          <w:i w:val="false"/>
          <w:iCs w:val="false"/>
          <w:caps w:val="false"/>
          <w:color w:val="1A1A1A"/>
          <w:sz w:val="20"/>
          <w:szCs w:val="20"/>
        </w:rPr>
        <w:t xml:space="preserve">Confirmation of the composition, rate sensitivity and historical attrition of the $6,300mm chequing and savings base, including single-name concentration. Retention of the branch network for a minimum of 24 months post-close in the communities that source it, since the funding synergy depends on those deposits staying.</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(v)  Funding synergy validation. </w:t>
      </w:r>
      <w:r>
        <w:rPr>
          <w:rFonts w:ascii="Calibri" w:cs="Calibri" w:eastAsia="Calibri" w:hAnsi="Calibri"/>
          <w:b w:val="false"/>
          <w:bCs w:val="false"/>
          <w:i w:val="false"/>
          <w:iCs w:val="false"/>
          <w:caps w:val="false"/>
          <w:color w:val="1A1A1A"/>
          <w:sz w:val="20"/>
          <w:szCs w:val="20"/>
        </w:rPr>
        <w:t xml:space="preserve">The 10 basis point blended funding-cost improvement — $45.6mm, the single largest synergy line — to be substantiated against actual combined funding-book composition and maturity profile before signing, reviewed by Group Treasury and the Audit Committee. Price to be revisited if it cannot be evidenced at a minimum of 7 basis points.</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(vi)  Integration governance. </w:t>
      </w:r>
      <w:r>
        <w:rPr>
          <w:rFonts w:ascii="Calibri" w:cs="Calibri" w:eastAsia="Calibri" w:hAnsi="Calibri"/>
          <w:b w:val="false"/>
          <w:bCs w:val="false"/>
          <w:i w:val="false"/>
          <w:iCs w:val="false"/>
          <w:caps w:val="false"/>
          <w:color w:val="1A1A1A"/>
          <w:sz w:val="20"/>
          <w:szCs w:val="20"/>
        </w:rPr>
        <w:t xml:space="preserve">A single integration lead reporting to the CFO, with the $95mm budget ring-fenced and quarterly reporting to the board on both cost synergy realisation against the 50/85/100% phase-in and any deposit attrition against plan.</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(vii)  Walk-away discipline. </w:t>
      </w:r>
      <w:r>
        <w:rPr>
          <w:rFonts w:ascii="Calibri" w:cs="Calibri" w:eastAsia="Calibri" w:hAnsi="Calibri"/>
          <w:b w:val="false"/>
          <w:bCs w:val="false"/>
          <w:i w:val="false"/>
          <w:iCs w:val="false"/>
          <w:caps w:val="false"/>
          <w:color w:val="1A1A1A"/>
          <w:sz w:val="20"/>
          <w:szCs w:val="20"/>
        </w:rPr>
        <w:t xml:space="preserve">No increase in consideration above $1,050mm without returning to the board. At $1,150mm the transaction's Year-3 return on committed capital falls below 13%, at which point it no longer clears our cost of capital by a margin that justifies the execution risk.</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(viii)  The organic card programme. </w:t>
      </w:r>
      <w:r>
        <w:rPr>
          <w:rFonts w:ascii="Calibri" w:cs="Calibri" w:eastAsia="Calibri" w:hAnsi="Calibri"/>
          <w:b w:val="false"/>
          <w:bCs w:val="false"/>
          <w:i w:val="false"/>
          <w:iCs w:val="false"/>
          <w:caps w:val="false"/>
          <w:color w:val="1A1A1A"/>
          <w:sz w:val="20"/>
          <w:szCs w:val="20"/>
        </w:rPr>
        <w:t xml:space="preserve">Approval of Harborview is conditional on the board also approving the card build programme it exists to enable: porting Harborview's underwriting models into Meridian's origination stack and scaling revolving-product offers against our own prime deposit base, governed by measured vintage loss performance rather than volume targets, with quarterly board reporting from month 12. This is the element that answers the strategic mandate, and it should be funded from the capital Project Northfield would have consumed.</w:t>
      </w:r>
    </w:p>
    <w:p>
      <w:pPr>
        <w:pStyle w:val="Heading2"/>
        <w:keepNext/>
        <w:spacing w:after="100" w:before="240"/>
      </w:pPr>
      <w:r>
        <w:rPr>
          <w:rFonts w:ascii="Calibri" w:cs="Calibri" w:eastAsia="Calibri" w:hAnsi="Calibri"/>
          <w:b/>
          <w:bCs/>
          <w:color w:val="2E5C8A"/>
          <w:sz w:val="22"/>
          <w:szCs w:val="22"/>
        </w:rPr>
        <w:t xml:space="preserve">8.2  Conditions for any re-engagement with Northfield</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Management does not recommend closing the Northfield file. The strategic logic that produced the mandate is unchanged, and portfolios of this scale come to market rarely. We recommend that re-engagement be authorised only on all four of the following conditions, each of which addresses a specific finding above.</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(i)  Price. </w:t>
      </w:r>
      <w:r>
        <w:rPr>
          <w:rFonts w:ascii="Calibri" w:cs="Calibri" w:eastAsia="Calibri" w:hAnsi="Calibri"/>
          <w:b w:val="false"/>
          <w:bCs w:val="false"/>
          <w:i w:val="false"/>
          <w:iCs w:val="false"/>
          <w:caps w:val="false"/>
          <w:color w:val="1A1A1A"/>
          <w:sz w:val="20"/>
          <w:szCs w:val="20"/>
        </w:rPr>
        <w:t xml:space="preserve">A maximum of $1,320mm — Northfield's standalone implied value, i.e. no control premium — reflecting that the acquirer is assuming a deteriorating credit trajectory and an unretired conduct matter. The $1,650mm currently proposed, at a 25% premium, asks our shareholders to pay a premium for risk transfer running in the wrong direction.</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(ii)  Structure. </w:t>
      </w:r>
      <w:r>
        <w:rPr>
          <w:rFonts w:ascii="Calibri" w:cs="Calibri" w:eastAsia="Calibri" w:hAnsi="Calibri"/>
          <w:b w:val="false"/>
          <w:bCs w:val="false"/>
          <w:i w:val="false"/>
          <w:iCs w:val="false"/>
          <w:caps w:val="false"/>
          <w:color w:val="1A1A1A"/>
          <w:sz w:val="20"/>
          <w:szCs w:val="20"/>
        </w:rPr>
        <w:t xml:space="preserve">At least 64% of consideration in Meridian stock. This is not a preference but an arithmetic requirement: newly issued acquirer equity counts as CET1 and offsets the goodwill deduction, and it is the only structure under which the transaction does not require a separate $1bn issuance. It also has the merit of sharing the credit risk with the vendor's shareholders rather than transferring all of it to ours.</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(iii)  Evidence of credit stabilisation. </w:t>
      </w:r>
      <w:r>
        <w:rPr>
          <w:rFonts w:ascii="Calibri" w:cs="Calibri" w:eastAsia="Calibri" w:hAnsi="Calibri"/>
          <w:b w:val="false"/>
          <w:bCs w:val="false"/>
          <w:i w:val="false"/>
          <w:iCs w:val="false"/>
          <w:caps w:val="false"/>
          <w:color w:val="1A1A1A"/>
          <w:sz w:val="20"/>
          <w:szCs w:val="20"/>
        </w:rPr>
        <w:t xml:space="preserve">Two consecutive half-years in which Northfield's 90+ delinquency and net charge-off rate are flat or improving, and in which provision expense does not grow faster than gross receivables. Vintage-level loss curves for the FY2024 and FY2025 cohorts, which are the unseasoned vintages that create the measurement problem in Section 6.3, to be provided and independently re-performed.</w:t>
      </w:r>
    </w:p>
    <w:p>
      <w:pPr>
        <w:pStyle w:val="ListParagraph"/>
        <w:numPr>
          <w:ilvl w:val="0"/>
          <w:numId w:val="2"/>
        </w:numPr>
        <w:spacing w:after="80" w:line="264"/>
      </w:pPr>
      <w:r>
        <w:rPr>
          <w:rFonts w:ascii="Calibri" w:cs="Calibri" w:eastAsia="Calibri" w:hAnsi="Calibri"/>
          <w:b/>
          <w:bCs/>
          <w:i w:val="false"/>
          <w:iCs w:val="false"/>
          <w:caps w:val="false"/>
          <w:color w:val="1A1A1A"/>
          <w:sz w:val="20"/>
          <w:szCs w:val="20"/>
        </w:rPr>
        <w:t xml:space="preserve">(iv)  Conduct and capital. </w:t>
      </w:r>
      <w:r>
        <w:rPr>
          <w:rFonts w:ascii="Calibri" w:cs="Calibri" w:eastAsia="Calibri" w:hAnsi="Calibri"/>
          <w:b w:val="false"/>
          <w:bCs w:val="false"/>
          <w:i w:val="false"/>
          <w:iCs w:val="false"/>
          <w:caps w:val="false"/>
          <w:color w:val="1A1A1A"/>
          <w:sz w:val="20"/>
          <w:szCs w:val="20"/>
        </w:rPr>
        <w:t xml:space="preserve">Written confirmation from the conduct regulator that the CLI remediation is fully retired, together with an indemnity and escrow covering successor liability. Any revised proposal to be accompanied by a pre-funded capital plan approved by the board before signing rather than after — the sequencing error in the current proposal is that it asks the board to approve a transaction and discover its capital consequence afterwards.</w:t>
      </w:r>
    </w:p>
    <w:p>
      <w:pPr>
        <w:pStyle w:val="Heading2"/>
        <w:keepNext/>
        <w:spacing w:after="100" w:before="240"/>
      </w:pPr>
      <w:r>
        <w:rPr>
          <w:rFonts w:ascii="Calibri" w:cs="Calibri" w:eastAsia="Calibri" w:hAnsi="Calibri"/>
          <w:b/>
          <w:bCs/>
          <w:color w:val="2E5C8A"/>
          <w:sz w:val="22"/>
          <w:szCs w:val="22"/>
        </w:rPr>
        <w:t xml:space="preserve">8.3  Summary</w:t>
      </w:r>
    </w:p>
    <w:p>
      <w:pPr>
        <w:keepNext w:val="false"/>
        <w:keepLines w:val="false"/>
        <w:spacing w:after="120" w:before="0" w:line="264"/>
      </w:pPr>
      <w:r>
        <w:rPr>
          <w:rFonts w:ascii="Calibri" w:cs="Calibri" w:eastAsia="Calibri" w:hAnsi="Calibri"/>
          <w:b w:val="false"/>
          <w:bCs w:val="false"/>
          <w:i w:val="false"/>
          <w:iCs w:val="false"/>
          <w:caps w:val="false"/>
          <w:color w:val="1A1A1A"/>
          <w:sz w:val="20"/>
          <w:szCs w:val="20"/>
        </w:rPr>
        <w:t xml:space="preserve">Northfield is the transaction the strategy asked for. It is not the transaction the balance sheet can carry, at this price, in this structure, on this credit trajectory. Harborview does not deliver the mandate on its own, and management does not claim otherwise — but it delivers the underwriting capability and the funding base that make an organic build credible, at a fifth of the capital cost, with a return that survives a recession nearly intact. The board is being asked to buy the capability rather than the book, and to keep its capital available for the moment Northfield, or something like it, is priced and structured in a way that our shareholders should accept.</w:t>
      </w:r>
    </w:p>
    <w:p>
      <w:r>
        <w:br w:type="page"/>
      </w:r>
    </w:p>
    <w:p>
      <w:pPr>
        <w:pStyle w:val="Heading1"/>
        <w:keepNext/>
        <w:pBdr>
          <w:bottom w:val="single" w:color="1F3864" w:sz="8" w:space="4"/>
        </w:pBdr>
        <w:spacing w:after="140" w:before="320"/>
      </w:pPr>
      <w:r>
        <w:rPr>
          <w:rFonts w:ascii="Calibri" w:cs="Calibri" w:eastAsia="Calibri" w:hAnsi="Calibri"/>
          <w:b/>
          <w:bCs/>
          <w:color w:val="1F3864"/>
          <w:sz w:val="26"/>
          <w:szCs w:val="26"/>
        </w:rPr>
        <w:t xml:space="preserve">Appendix A — Decision Scorecard</w:t>
      </w:r>
    </w:p>
    <w:p>
      <w:pPr>
        <w:keepNext w:val="false"/>
        <w:keepLines w:val="false"/>
        <w:spacing w:after="120" w:before="0" w:line="264"/>
      </w:pPr>
      <w:r>
        <w:rPr>
          <w:rFonts w:ascii="Calibri" w:cs="Calibri" w:eastAsia="Calibri" w:hAnsi="Calibri"/>
          <w:b w:val="false"/>
          <w:bCs w:val="false"/>
          <w:i/>
          <w:iCs/>
          <w:caps w:val="false"/>
          <w:color w:val="1A1A1A"/>
          <w:sz w:val="19"/>
          <w:szCs w:val="19"/>
        </w:rPr>
        <w:t xml:space="preserve">Scores run from 1 (poor) to 5 (excellent) and are applied against the weights in the board's evaluation framework. Each score is anchored to a computed figure from the merger model rather than asserted.</w:t>
      </w: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2621"/>
        <w:gridCol w:w="806"/>
        <w:gridCol w:w="605"/>
        <w:gridCol w:w="605"/>
        <w:gridCol w:w="806"/>
        <w:gridCol w:w="806"/>
        <w:gridCol w:w="3831"/>
      </w:tblGrid>
      <w:tr>
        <w:trPr>
          <w:tblHeader/>
        </w:trPr>
        <w:tc>
          <w:tcPr>
            <w:tcW w:type="dxa" w:w="2621"/>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FFFFFF"/>
                <w:sz w:val="17"/>
                <w:szCs w:val="17"/>
              </w:rPr>
              <w:t xml:space="preserve">Dimension</w:t>
            </w:r>
          </w:p>
        </w:tc>
        <w:tc>
          <w:tcPr>
            <w:tcW w:type="dxa" w:w="806"/>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Weight</w:t>
            </w:r>
          </w:p>
        </w:tc>
        <w:tc>
          <w:tcPr>
            <w:tcW w:type="dxa" w:w="605"/>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B</w:t>
            </w:r>
          </w:p>
        </w:tc>
        <w:tc>
          <w:tcPr>
            <w:tcW w:type="dxa" w:w="605"/>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C</w:t>
            </w:r>
          </w:p>
        </w:tc>
        <w:tc>
          <w:tcPr>
            <w:tcW w:type="dxa" w:w="806"/>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B wtd</w:t>
            </w:r>
          </w:p>
        </w:tc>
        <w:tc>
          <w:tcPr>
            <w:tcW w:type="dxa" w:w="806"/>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C wtd</w:t>
            </w:r>
          </w:p>
        </w:tc>
        <w:tc>
          <w:tcPr>
            <w:tcW w:type="dxa" w:w="3831"/>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Evidence</w:t>
            </w:r>
          </w:p>
        </w:tc>
      </w:tr>
      <w:tr>
        <w:tc>
          <w:tcPr>
            <w:tcW w:type="dxa" w:w="2621"/>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Strategic fit / scale impact</w:t>
            </w:r>
          </w:p>
        </w:tc>
        <w:tc>
          <w:tcPr>
            <w:tcW w:type="dxa" w:w="80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20%</w:t>
            </w:r>
          </w:p>
        </w:tc>
        <w:tc>
          <w:tcPr>
            <w:tcW w:type="dxa" w:w="605"/>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w:t>
            </w:r>
          </w:p>
        </w:tc>
        <w:tc>
          <w:tcPr>
            <w:tcW w:type="dxa" w:w="605"/>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w:t>
            </w:r>
          </w:p>
        </w:tc>
        <w:tc>
          <w:tcPr>
            <w:tcW w:type="dxa" w:w="80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1.00</w:t>
            </w:r>
          </w:p>
        </w:tc>
        <w:tc>
          <w:tcPr>
            <w:tcW w:type="dxa" w:w="80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0.40</w:t>
            </w:r>
          </w:p>
        </w:tc>
        <w:tc>
          <w:tcPr>
            <w:tcW w:type="dxa" w:w="383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Card book uplift 7.34x vs 1.30x; 2,850k vs 145k accounts acquired</w:t>
            </w:r>
          </w:p>
        </w:tc>
      </w:tr>
      <w:tr>
        <w:tc>
          <w:tcPr>
            <w:tcW w:type="dxa" w:w="2621"/>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Financial accretion by Year 3</w:t>
            </w:r>
          </w:p>
        </w:tc>
        <w:tc>
          <w:tcPr>
            <w:tcW w:type="dxa" w:w="80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20%</w:t>
            </w:r>
          </w:p>
        </w:tc>
        <w:tc>
          <w:tcPr>
            <w:tcW w:type="dxa" w:w="605"/>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w:t>
            </w:r>
          </w:p>
        </w:tc>
        <w:tc>
          <w:tcPr>
            <w:tcW w:type="dxa" w:w="605"/>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w:t>
            </w:r>
          </w:p>
        </w:tc>
        <w:tc>
          <w:tcPr>
            <w:tcW w:type="dxa" w:w="80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1.00</w:t>
            </w:r>
          </w:p>
        </w:tc>
        <w:tc>
          <w:tcPr>
            <w:tcW w:type="dxa" w:w="80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0.80</w:t>
            </w:r>
          </w:p>
        </w:tc>
        <w:tc>
          <w:tcPr>
            <w:tcW w:type="dxa" w:w="383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+89.0% vs +28.6% Year-3 EPS accretion</w:t>
            </w:r>
          </w:p>
        </w:tc>
      </w:tr>
      <w:tr>
        <w:tc>
          <w:tcPr>
            <w:tcW w:type="dxa" w:w="2621"/>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Risk-adjusted return</w:t>
            </w:r>
          </w:p>
        </w:tc>
        <w:tc>
          <w:tcPr>
            <w:tcW w:type="dxa" w:w="80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20%</w:t>
            </w:r>
          </w:p>
        </w:tc>
        <w:tc>
          <w:tcPr>
            <w:tcW w:type="dxa" w:w="605"/>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w:t>
            </w:r>
          </w:p>
        </w:tc>
        <w:tc>
          <w:tcPr>
            <w:tcW w:type="dxa" w:w="605"/>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w:t>
            </w:r>
          </w:p>
        </w:tc>
        <w:tc>
          <w:tcPr>
            <w:tcW w:type="dxa" w:w="80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0.60</w:t>
            </w:r>
          </w:p>
        </w:tc>
        <w:tc>
          <w:tcPr>
            <w:tcW w:type="dxa" w:w="80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0.80</w:t>
            </w:r>
          </w:p>
        </w:tc>
        <w:tc>
          <w:tcPr>
            <w:tcW w:type="dxa" w:w="383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Stress-adjusted Year-3 ROIC 14.35% vs 13.68% — a 67bp gap, from 858bp</w:t>
            </w:r>
          </w:p>
        </w:tc>
      </w:tr>
      <w:tr>
        <w:tc>
          <w:tcPr>
            <w:tcW w:type="dxa" w:w="2621"/>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Capital impact</w:t>
            </w:r>
          </w:p>
        </w:tc>
        <w:tc>
          <w:tcPr>
            <w:tcW w:type="dxa" w:w="80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15%</w:t>
            </w:r>
          </w:p>
        </w:tc>
        <w:tc>
          <w:tcPr>
            <w:tcW w:type="dxa" w:w="605"/>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w:t>
            </w:r>
          </w:p>
        </w:tc>
        <w:tc>
          <w:tcPr>
            <w:tcW w:type="dxa" w:w="605"/>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w:t>
            </w:r>
          </w:p>
        </w:tc>
        <w:tc>
          <w:tcPr>
            <w:tcW w:type="dxa" w:w="80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0.15</w:t>
            </w:r>
          </w:p>
        </w:tc>
        <w:tc>
          <w:tcPr>
            <w:tcW w:type="dxa" w:w="80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0.60</w:t>
            </w:r>
          </w:p>
        </w:tc>
        <w:tc>
          <w:tcPr>
            <w:tcW w:type="dxa" w:w="383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PF CET1 7.42% vs 10.31%; raise of $1,054.5mm vs $187.5mm</w:t>
            </w:r>
          </w:p>
        </w:tc>
      </w:tr>
      <w:tr>
        <w:tc>
          <w:tcPr>
            <w:tcW w:type="dxa" w:w="2621"/>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Credit / asset quality risk</w:t>
            </w:r>
          </w:p>
        </w:tc>
        <w:tc>
          <w:tcPr>
            <w:tcW w:type="dxa" w:w="80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15%</w:t>
            </w:r>
          </w:p>
        </w:tc>
        <w:tc>
          <w:tcPr>
            <w:tcW w:type="dxa" w:w="605"/>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w:t>
            </w:r>
          </w:p>
        </w:tc>
        <w:tc>
          <w:tcPr>
            <w:tcW w:type="dxa" w:w="605"/>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w:t>
            </w:r>
          </w:p>
        </w:tc>
        <w:tc>
          <w:tcPr>
            <w:tcW w:type="dxa" w:w="80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0.15</w:t>
            </w:r>
          </w:p>
        </w:tc>
        <w:tc>
          <w:tcPr>
            <w:tcW w:type="dxa" w:w="806"/>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0.75</w:t>
            </w:r>
          </w:p>
        </w:tc>
        <w:tc>
          <w:tcPr>
            <w:tcW w:type="dxa" w:w="3831"/>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NCO 4.60% rising vs 1.20% flat; PD x LGD 4.64% vs 1.09%</w:t>
            </w:r>
          </w:p>
        </w:tc>
      </w:tr>
      <w:tr>
        <w:tc>
          <w:tcPr>
            <w:tcW w:type="dxa" w:w="2621"/>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Regulatory / conduct &amp; integration</w:t>
            </w:r>
          </w:p>
        </w:tc>
        <w:tc>
          <w:tcPr>
            <w:tcW w:type="dxa" w:w="80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w:t>
            </w:r>
          </w:p>
        </w:tc>
        <w:tc>
          <w:tcPr>
            <w:tcW w:type="dxa" w:w="605"/>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w:t>
            </w:r>
          </w:p>
        </w:tc>
        <w:tc>
          <w:tcPr>
            <w:tcW w:type="dxa" w:w="605"/>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w:t>
            </w:r>
          </w:p>
        </w:tc>
        <w:tc>
          <w:tcPr>
            <w:tcW w:type="dxa" w:w="80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0.10</w:t>
            </w:r>
          </w:p>
        </w:tc>
        <w:tc>
          <w:tcPr>
            <w:tcW w:type="dxa" w:w="806"/>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0.50</w:t>
            </w:r>
          </w:p>
        </w:tc>
        <w:tc>
          <w:tcPr>
            <w:tcW w:type="dxa" w:w="3831"/>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Unretired CLI remediation; integration 10.9% vs 9.0% of price</w:t>
            </w:r>
          </w:p>
        </w:tc>
      </w:tr>
      <w:tr>
        <w:tc>
          <w:tcPr>
            <w:tcW w:type="dxa" w:w="2621"/>
            <w:shd w:fill="E8F0EA"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WEIGHTED TOTAL</w:t>
            </w:r>
          </w:p>
        </w:tc>
        <w:tc>
          <w:tcPr>
            <w:tcW w:type="dxa" w:w="806"/>
            <w:shd w:fill="E8F0E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100%</w:t>
            </w:r>
          </w:p>
        </w:tc>
        <w:tc>
          <w:tcPr>
            <w:tcW w:type="dxa" w:w="605"/>
            <w:shd w:fill="E8F0E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605"/>
            <w:shd w:fill="E8F0E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806"/>
            <w:shd w:fill="E8F0E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3.00</w:t>
            </w:r>
          </w:p>
        </w:tc>
        <w:tc>
          <w:tcPr>
            <w:tcW w:type="dxa" w:w="806"/>
            <w:shd w:fill="E8F0E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3.85</w:t>
            </w:r>
          </w:p>
        </w:tc>
        <w:tc>
          <w:tcPr>
            <w:tcW w:type="dxa" w:w="3831"/>
            <w:shd w:fill="E8F0E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Harborview by 0.85</w:t>
            </w:r>
          </w:p>
        </w:tc>
      </w:tr>
    </w:tbl>
    <w:p>
      <w:pPr>
        <w:spacing w:after="200" w:before="60"/>
      </w:pPr>
      <w:r>
        <w:rPr>
          <w:rFonts w:ascii="Calibri" w:cs="Calibri" w:eastAsia="Calibri" w:hAnsi="Calibri"/>
          <w:i/>
          <w:iCs/>
          <w:color w:val="595959"/>
          <w:sz w:val="15"/>
          <w:szCs w:val="15"/>
        </w:rPr>
        <w:t xml:space="preserve">Sensitivity: for Northfield to draw level overall it would require a score of 6.7 on either the capital or the credit dimension, against a maximum available score of 5. On the two growth dimensions alone Northfield wins 2.00 to 1.20; on the four risk dimensions alone Harborview wins 2.65 to 1.00. Source: MA_Merger_Model.xlsx, tab 'Decision Scorecard'.</w:t>
      </w:r>
    </w:p>
    <w:p>
      <w:pPr>
        <w:pStyle w:val="Heading1"/>
        <w:keepNext/>
        <w:pBdr>
          <w:bottom w:val="single" w:color="1F3864" w:sz="8" w:space="4"/>
        </w:pBdr>
        <w:spacing w:after="140" w:before="320"/>
      </w:pPr>
      <w:r>
        <w:rPr>
          <w:rFonts w:ascii="Calibri" w:cs="Calibri" w:eastAsia="Calibri" w:hAnsi="Calibri"/>
          <w:b/>
          <w:bCs/>
          <w:color w:val="1F3864"/>
          <w:sz w:val="26"/>
          <w:szCs w:val="26"/>
        </w:rPr>
        <w:t xml:space="preserve">Appendix B — Stress Test Summary</w:t>
      </w:r>
    </w:p>
    <w:p>
      <w:pPr>
        <w:keepNext w:val="false"/>
        <w:keepLines w:val="false"/>
        <w:spacing w:after="120" w:before="0" w:line="264"/>
      </w:pPr>
      <w:r>
        <w:rPr>
          <w:rFonts w:ascii="Calibri" w:cs="Calibri" w:eastAsia="Calibri" w:hAnsi="Calibri"/>
          <w:b w:val="false"/>
          <w:bCs w:val="false"/>
          <w:i/>
          <w:iCs/>
          <w:caps w:val="false"/>
          <w:color w:val="1A1A1A"/>
          <w:sz w:val="19"/>
          <w:szCs w:val="19"/>
        </w:rPr>
        <w:t xml:space="preserve">Recession scenario per the board's framework: net charge-off rates +200bp and 90+ DPD +150bp on both acquired portfolios; +50bp net charge-offs on Meridian's existing prime, transactor-heavy book. An EAD-migration overlay assumes 5% of acquired undrawn lines are drawn. Applied to FY2026E, the first full year post-close.</w:t>
      </w: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3226"/>
        <w:gridCol w:w="1714"/>
        <w:gridCol w:w="1714"/>
        <w:gridCol w:w="1714"/>
        <w:gridCol w:w="1712"/>
      </w:tblGrid>
      <w:tr>
        <w:trPr>
          <w:tblHeader/>
        </w:trPr>
        <w:tc>
          <w:tcPr>
            <w:tcW w:type="dxa" w:w="3226"/>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FFFFFF"/>
                <w:sz w:val="17"/>
                <w:szCs w:val="17"/>
              </w:rPr>
              <w:t xml:space="preserve"/>
            </w:r>
          </w:p>
        </w:tc>
        <w:tc>
          <w:tcPr>
            <w:tcW w:type="dxa" w:w="1714"/>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Base case</w:t>
            </w:r>
          </w:p>
        </w:tc>
        <w:tc>
          <w:tcPr>
            <w:tcW w:type="dxa" w:w="1714"/>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Stressed</w:t>
            </w:r>
          </w:p>
        </w:tc>
        <w:tc>
          <w:tcPr>
            <w:tcW w:type="dxa" w:w="1714"/>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Base case</w:t>
            </w:r>
          </w:p>
        </w:tc>
        <w:tc>
          <w:tcPr>
            <w:tcW w:type="dxa" w:w="1712"/>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Stressed</w:t>
            </w:r>
          </w:p>
        </w:tc>
      </w:tr>
      <w:tr>
        <w:tc>
          <w:tcPr>
            <w:tcW w:type="dxa" w:w="3226"/>
            <w:shd w:fill="DCE6F1"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
            </w:r>
          </w:p>
        </w:tc>
        <w:tc>
          <w:tcPr>
            <w:tcW w:type="dxa" w:w="1714"/>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Northfield (B)</w:t>
            </w:r>
          </w:p>
        </w:tc>
        <w:tc>
          <w:tcPr>
            <w:tcW w:type="dxa" w:w="1714"/>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c>
          <w:tcPr>
            <w:tcW w:type="dxa" w:w="1714"/>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Harborview (C)</w:t>
            </w:r>
          </w:p>
        </w:tc>
        <w:tc>
          <w:tcPr>
            <w:tcW w:type="dxa" w:w="1712"/>
            <w:shd w:fill="DCE6F1"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
            </w:r>
          </w:p>
        </w:tc>
      </w:tr>
      <w:tr>
        <w:tc>
          <w:tcPr>
            <w:tcW w:type="dxa" w:w="3226"/>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Provision expense, Year 1 ($mm)</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543.5</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823.1</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115.4</w:t>
            </w:r>
          </w:p>
        </w:tc>
        <w:tc>
          <w:tcPr>
            <w:tcW w:type="dxa" w:w="17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133.4</w:t>
            </w:r>
          </w:p>
        </w:tc>
      </w:tr>
      <w:tr>
        <w:tc>
          <w:tcPr>
            <w:tcW w:type="dxa" w:w="3226"/>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 forma pre-tax income ($mm)</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990.6</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711.0</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635.6</w:t>
            </w:r>
          </w:p>
        </w:tc>
        <w:tc>
          <w:tcPr>
            <w:tcW w:type="dxa" w:w="17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617.6</w:t>
            </w:r>
          </w:p>
        </w:tc>
      </w:tr>
      <w:tr>
        <w:tc>
          <w:tcPr>
            <w:tcW w:type="dxa" w:w="3226"/>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Pro forma EPS</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$5.09</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$3.65</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$3.78</w:t>
            </w:r>
          </w:p>
        </w:tc>
        <w:tc>
          <w:tcPr>
            <w:tcW w:type="dxa" w:w="17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$3.68</w:t>
            </w:r>
          </w:p>
        </w:tc>
      </w:tr>
      <w:tr>
        <w:tc>
          <w:tcPr>
            <w:tcW w:type="dxa" w:w="3226"/>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EPS accretion vs standalone</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+39.8%</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+1.5%</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+3.9%</w:t>
            </w:r>
          </w:p>
        </w:tc>
        <w:tc>
          <w:tcPr>
            <w:tcW w:type="dxa" w:w="1712"/>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+2.1%</w:t>
            </w:r>
          </w:p>
        </w:tc>
      </w:tr>
      <w:tr>
        <w:tc>
          <w:tcPr>
            <w:tcW w:type="dxa" w:w="3226"/>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CET1 ratio, with equity raise</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11.00%</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10.14%</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11.00%</w:t>
            </w:r>
          </w:p>
        </w:tc>
        <w:tc>
          <w:tcPr>
            <w:tcW w:type="dxa" w:w="17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10.93%</w:t>
            </w:r>
          </w:p>
        </w:tc>
      </w:tr>
      <w:tr>
        <w:tc>
          <w:tcPr>
            <w:tcW w:type="dxa" w:w="3226"/>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9C2B1B"/>
                <w:sz w:val="17"/>
                <w:szCs w:val="17"/>
              </w:rPr>
              <w:t xml:space="preserve">CET1 ratio, without equity raise</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9C2B1B"/>
                <w:sz w:val="17"/>
                <w:szCs w:val="17"/>
              </w:rPr>
              <w:t xml:space="preserve">7.42%</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9C2B1B"/>
                <w:sz w:val="17"/>
                <w:szCs w:val="17"/>
              </w:rPr>
              <w:t xml:space="preserve">6.61%</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9C2B1B"/>
                <w:sz w:val="17"/>
                <w:szCs w:val="17"/>
              </w:rPr>
              <w:t xml:space="preserve">10.31%</w:t>
            </w:r>
          </w:p>
        </w:tc>
        <w:tc>
          <w:tcPr>
            <w:tcW w:type="dxa" w:w="1712"/>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9C2B1B"/>
                <w:sz w:val="17"/>
                <w:szCs w:val="17"/>
              </w:rPr>
              <w:t xml:space="preserve">10.24%</w:t>
            </w:r>
          </w:p>
        </w:tc>
      </w:tr>
      <w:tr>
        <w:tc>
          <w:tcPr>
            <w:tcW w:type="dxa" w:w="3226"/>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Further equity to hold 11.0% target ($mm)</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257.3</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w:t>
            </w:r>
          </w:p>
        </w:tc>
        <w:tc>
          <w:tcPr>
            <w:tcW w:type="dxa" w:w="1712"/>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18.8</w:t>
            </w:r>
          </w:p>
        </w:tc>
      </w:tr>
      <w:tr>
        <w:tc>
          <w:tcPr>
            <w:tcW w:type="dxa" w:w="3226"/>
            <w:shd w:fill="FFF4CC"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1A1A1A"/>
                <w:sz w:val="17"/>
                <w:szCs w:val="17"/>
              </w:rPr>
              <w:t xml:space="preserve">Year-3 ROIC on committed capital</w:t>
            </w:r>
          </w:p>
        </w:tc>
        <w:tc>
          <w:tcPr>
            <w:tcW w:type="dxa" w:w="1714"/>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23.0%</w:t>
            </w:r>
          </w:p>
        </w:tc>
        <w:tc>
          <w:tcPr>
            <w:tcW w:type="dxa" w:w="1714"/>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14.35%</w:t>
            </w:r>
          </w:p>
        </w:tc>
        <w:tc>
          <w:tcPr>
            <w:tcW w:type="dxa" w:w="1714"/>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14.4%</w:t>
            </w:r>
          </w:p>
        </w:tc>
        <w:tc>
          <w:tcPr>
            <w:tcW w:type="dxa" w:w="1712"/>
            <w:shd w:fill="FFF4CC" w:color="auto" w:val="clear"/>
            <w:tcMar>
              <w:top w:type="dxa" w:w="60"/>
              <w:left w:type="dxa" w:w="90"/>
              <w:bottom w:type="dxa" w:w="60"/>
              <w:right w:type="dxa" w:w="90"/>
            </w:tcMar>
            <w:vAlign w:val="center"/>
          </w:tcPr>
          <w:p>
            <w:pPr>
              <w:spacing w:after="0" w:line="240"/>
              <w:jc w:val="right"/>
            </w:pPr>
            <w:r>
              <w:rPr>
                <w:rFonts w:ascii="Calibri" w:cs="Calibri" w:eastAsia="Calibri" w:hAnsi="Calibri"/>
                <w:b/>
                <w:bCs/>
                <w:i w:val="false"/>
                <w:iCs w:val="false"/>
                <w:color w:val="1A1A1A"/>
                <w:sz w:val="17"/>
                <w:szCs w:val="17"/>
              </w:rPr>
              <w:t xml:space="preserve">13.68%</w:t>
            </w:r>
          </w:p>
        </w:tc>
      </w:tr>
    </w:tbl>
    <w:p>
      <w:pPr>
        <w:spacing w:after="200" w:before="60"/>
      </w:pPr>
      <w:r>
        <w:rPr>
          <w:rFonts w:ascii="Calibri" w:cs="Calibri" w:eastAsia="Calibri" w:hAnsi="Calibri"/>
          <w:i/>
          <w:iCs/>
          <w:color w:val="595959"/>
          <w:sz w:val="15"/>
          <w:szCs w:val="15"/>
        </w:rPr>
        <w:t xml:space="preserve">Source: MA_Merger_Model.xlsx, tab 'Stress Test'. Provision figures combine Meridian's own book with the acquired portfolio.</w:t>
      </w:r>
    </w:p>
    <w:p>
      <w:pPr>
        <w:pStyle w:val="Heading1"/>
        <w:keepNext/>
        <w:pBdr>
          <w:bottom w:val="single" w:color="1F3864" w:sz="8" w:space="4"/>
        </w:pBdr>
        <w:spacing w:after="140" w:before="320"/>
      </w:pPr>
      <w:r>
        <w:rPr>
          <w:rFonts w:ascii="Calibri" w:cs="Calibri" w:eastAsia="Calibri" w:hAnsi="Calibri"/>
          <w:b/>
          <w:bCs/>
          <w:color w:val="1F3864"/>
          <w:sz w:val="26"/>
          <w:szCs w:val="26"/>
        </w:rPr>
        <w:t xml:space="preserve">Appendix C — Model assumptions not specified by the case framework</w:t>
      </w:r>
    </w:p>
    <w:p>
      <w:pPr>
        <w:keepNext w:val="false"/>
        <w:keepLines w:val="false"/>
        <w:spacing w:after="120" w:before="0" w:line="264"/>
      </w:pPr>
      <w:r>
        <w:rPr>
          <w:rFonts w:ascii="Calibri" w:cs="Calibri" w:eastAsia="Calibri" w:hAnsi="Calibri"/>
          <w:b w:val="false"/>
          <w:bCs w:val="false"/>
          <w:i/>
          <w:iCs/>
          <w:caps w:val="false"/>
          <w:color w:val="1A1A1A"/>
          <w:sz w:val="19"/>
          <w:szCs w:val="19"/>
        </w:rPr>
        <w:t xml:space="preserve">The FY2025 anchor financials, all deal terms, synergy quantum and phase-in, and the stress parameters are taken verbatim from the case source specification. The following forward-looking assumptions were set by management and are disclosed in full on the 'Cover &amp; Assumptions' tab of the model so that the board can test them.</w:t>
      </w:r>
    </w:p>
    <w:tbl>
      <w:tblPr>
        <w:tblW w:type="dxa" w:w="10080"/>
        <w:tblBorders>
          <w:top w:val="single" w:color="BFCBDD" w:sz="4"/>
          <w:left w:val="single" w:color="BFCBDD" w:sz="4"/>
          <w:bottom w:val="single" w:color="BFCBDD" w:sz="4"/>
          <w:right w:val="single" w:color="BFCBDD" w:sz="4"/>
          <w:insideH w:val="single" w:color="D6DEEA" w:sz="2"/>
          <w:insideV w:val="single" w:color="D6DEEA" w:sz="2"/>
        </w:tblBorders>
      </w:tblPr>
      <w:tblGrid>
        <w:gridCol w:w="2621"/>
        <w:gridCol w:w="1714"/>
        <w:gridCol w:w="5745"/>
      </w:tblGrid>
      <w:tr>
        <w:trPr>
          <w:tblHeader/>
        </w:trPr>
        <w:tc>
          <w:tcPr>
            <w:tcW w:type="dxa" w:w="2621"/>
            <w:shd w:fill="1F3864" w:color="auto" w:val="clear"/>
            <w:tcMar>
              <w:top w:type="dxa" w:w="60"/>
              <w:left w:type="dxa" w:w="90"/>
              <w:bottom w:type="dxa" w:w="60"/>
              <w:right w:type="dxa" w:w="90"/>
            </w:tcMar>
            <w:vAlign w:val="center"/>
          </w:tcPr>
          <w:p>
            <w:pPr>
              <w:spacing w:after="0" w:line="240"/>
              <w:jc w:val="left"/>
            </w:pPr>
            <w:r>
              <w:rPr>
                <w:rFonts w:ascii="Calibri" w:cs="Calibri" w:eastAsia="Calibri" w:hAnsi="Calibri"/>
                <w:b/>
                <w:bCs/>
                <w:i w:val="false"/>
                <w:iCs w:val="false"/>
                <w:color w:val="FFFFFF"/>
                <w:sz w:val="17"/>
                <w:szCs w:val="17"/>
              </w:rPr>
              <w:t xml:space="preserve">Assumption</w:t>
            </w:r>
          </w:p>
        </w:tc>
        <w:tc>
          <w:tcPr>
            <w:tcW w:type="dxa" w:w="1714"/>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Value</w:t>
            </w:r>
          </w:p>
        </w:tc>
        <w:tc>
          <w:tcPr>
            <w:tcW w:type="dxa" w:w="5745"/>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i w:val="false"/>
                <w:iCs w:val="false"/>
                <w:color w:val="FFFFFF"/>
                <w:sz w:val="17"/>
                <w:szCs w:val="17"/>
              </w:rPr>
              <w:t xml:space="preserve">Rationale</w:t>
            </w:r>
          </w:p>
        </w:tc>
      </w:tr>
      <w:tr>
        <w:tc>
          <w:tcPr>
            <w:tcW w:type="dxa" w:w="2621"/>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Meridian growth: NII and fees / PCL / opex</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4.5% / 5.0% / 3.5%</w:t>
            </w:r>
          </w:p>
        </w:tc>
        <w:tc>
          <w:tcPr>
            <w:tcW w:type="dxa" w:w="5745"/>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Delivers the 5–6% net income growth in the case guidance</w:t>
            </w:r>
          </w:p>
        </w:tc>
      </w:tr>
      <w:tr>
        <w:tc>
          <w:tcPr>
            <w:tcW w:type="dxa" w:w="2621"/>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Northfield growth: revenue / PCL / opex</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10% / 15% / 6%</w:t>
            </w:r>
          </w:p>
        </w:tc>
        <w:tc>
          <w:tcPr>
            <w:tcW w:type="dxa" w:w="5745"/>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Historical 24% receivable growth more than halved post-close as we tighten underwriting; PCL deliberately set above receivable growth so the deteriorating trend is not assumed away</w:t>
            </w:r>
          </w:p>
        </w:tc>
      </w:tr>
      <w:tr>
        <w:tc>
          <w:tcPr>
            <w:tcW w:type="dxa" w:w="2621"/>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Harborview growth: revenue / PCL / opex</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3.0% / 4.0% / 3.0%</w:t>
            </w:r>
          </w:p>
        </w:tc>
        <w:tc>
          <w:tcPr>
            <w:tcW w:type="dxa" w:w="5745"/>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Case guidance of 2.5% asset CAGR and 4% card book growth</w:t>
            </w:r>
          </w:p>
        </w:tc>
      </w:tr>
      <w:tr>
        <w:tc>
          <w:tcPr>
            <w:tcW w:type="dxa" w:w="2621"/>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Short-term reinvestment / opportunity rate</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3.00%</w:t>
            </w:r>
          </w:p>
        </w:tc>
        <w:tc>
          <w:tcPr>
            <w:tcW w:type="dxa" w:w="5745"/>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Applied symmetrically to cash deployed and to equity-raise proceeds held</w:t>
            </w:r>
          </w:p>
        </w:tc>
      </w:tr>
      <w:tr>
        <w:tc>
          <w:tcPr>
            <w:tcW w:type="dxa" w:w="2621"/>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Equity issue price</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$44.00</w:t>
            </w:r>
          </w:p>
        </w:tc>
        <w:tc>
          <w:tcPr>
            <w:tcW w:type="dxa" w:w="5745"/>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Current market; no underwriting discount assumed, which understates dilution</w:t>
            </w:r>
          </w:p>
        </w:tc>
      </w:tr>
      <w:tr>
        <w:tc>
          <w:tcPr>
            <w:tcW w:type="dxa" w:w="2621"/>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Terminal exit multiple for deal IRR</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12.0x</w:t>
            </w:r>
          </w:p>
        </w:tc>
        <w:tc>
          <w:tcPr>
            <w:tcW w:type="dxa" w:w="5745"/>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Below Meridian's own 12.8x P/E</w:t>
            </w:r>
          </w:p>
        </w:tc>
      </w:tr>
      <w:tr>
        <w:tc>
          <w:tcPr>
            <w:tcW w:type="dxa" w:w="2621"/>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EAD migration under stress</w:t>
            </w:r>
          </w:p>
        </w:tc>
        <w:tc>
          <w:tcPr>
            <w:tcW w:type="dxa" w:w="1714"/>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 of undrawn</w:t>
            </w:r>
          </w:p>
        </w:tc>
        <w:tc>
          <w:tcPr>
            <w:tcW w:type="dxa" w:w="5745"/>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Deliberately conservative against 38% current utilization on the Northfield book</w:t>
            </w:r>
          </w:p>
        </w:tc>
      </w:tr>
      <w:tr>
        <w:tc>
          <w:tcPr>
            <w:tcW w:type="dxa" w:w="2621"/>
            <w:shd w:fill="F2F5FA" w:color="auto" w:val="clear"/>
            <w:tcMar>
              <w:top w:type="dxa" w:w="60"/>
              <w:left w:type="dxa" w:w="90"/>
              <w:bottom w:type="dxa" w:w="60"/>
              <w:right w:type="dxa" w:w="90"/>
            </w:tcMar>
            <w:vAlign w:val="center"/>
          </w:tcPr>
          <w:p>
            <w:pPr>
              <w:spacing w:after="0" w:line="240"/>
              <w:jc w:val="left"/>
            </w:pPr>
            <w:r>
              <w:rPr>
                <w:rFonts w:ascii="Calibri" w:cs="Calibri" w:eastAsia="Calibri" w:hAnsi="Calibri"/>
                <w:b w:val="false"/>
                <w:bCs w:val="false"/>
                <w:i w:val="false"/>
                <w:iCs w:val="false"/>
                <w:color w:val="1A1A1A"/>
                <w:sz w:val="17"/>
                <w:szCs w:val="17"/>
              </w:rPr>
              <w:t xml:space="preserve">Revenue synergy phase-in</w:t>
            </w:r>
          </w:p>
        </w:tc>
        <w:tc>
          <w:tcPr>
            <w:tcW w:type="dxa" w:w="1714"/>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50% Year 1, 100% thereafter</w:t>
            </w:r>
          </w:p>
        </w:tc>
        <w:tc>
          <w:tcPr>
            <w:tcW w:type="dxa" w:w="5745"/>
            <w:shd w:fill="F2F5FA" w:color="auto" w:val="clear"/>
            <w:tcMar>
              <w:top w:type="dxa" w:w="60"/>
              <w:left w:type="dxa" w:w="90"/>
              <w:bottom w:type="dxa" w:w="60"/>
              <w:right w:type="dxa" w:w="90"/>
            </w:tcMar>
            <w:vAlign w:val="center"/>
          </w:tcPr>
          <w:p>
            <w:pPr>
              <w:spacing w:after="0" w:line="240"/>
              <w:jc w:val="right"/>
            </w:pPr>
            <w:r>
              <w:rPr>
                <w:rFonts w:ascii="Calibri" w:cs="Calibri" w:eastAsia="Calibri" w:hAnsi="Calibri"/>
                <w:b w:val="false"/>
                <w:bCs w:val="false"/>
                <w:i w:val="false"/>
                <w:iCs w:val="false"/>
                <w:color w:val="1A1A1A"/>
                <w:sz w:val="17"/>
                <w:szCs w:val="17"/>
              </w:rPr>
              <w:t xml:space="preserve">Case guidance specifies full realisation by Year 2</w:t>
            </w:r>
          </w:p>
        </w:tc>
      </w:tr>
    </w:tbl>
    <w:p>
      <w:pPr>
        <w:spacing w:after="200"/>
      </w:pPr>
    </w:p>
    <w:p>
      <w:pPr>
        <w:keepNext w:val="false"/>
        <w:keepLines w:val="false"/>
        <w:spacing w:after="120" w:before="0" w:line="264"/>
      </w:pPr>
      <w:r>
        <w:rPr>
          <w:rFonts w:ascii="Calibri" w:cs="Calibri" w:eastAsia="Calibri" w:hAnsi="Calibri"/>
          <w:b w:val="false"/>
          <w:bCs w:val="false"/>
          <w:i/>
          <w:iCs/>
          <w:caps w:val="false"/>
          <w:color w:val="595959"/>
          <w:sz w:val="17"/>
          <w:szCs w:val="17"/>
        </w:rPr>
        <w:t xml:space="preserve">Supporting model: MA_Merger_Model.xlsx (884 formulas, recalculated with zero errors). Tabs: Cover &amp; Assumptions, Standalone Summary, Deal B Pro Forma, Deal C Pro Forma, Side-by-Side, Decision Scorecard, Stress Test. Every derived figure in this memorandum is a live formula in that workbook and can be traced to its inputs.</w:t>
      </w:r>
    </w:p>
    <w:sectPr>
      <w:headerReference w:type="default" r:id="rId7"/>
      <w:footerReference w:type="default" r:id="rId8"/>
      <w:pgSz w:w="12240" w:h="15840" w:orient="portrait"/>
      <w:pgMar w:top="108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after="0" w:before="60"/>
    </w:pPr>
    <w:r>
      <w:rPr>
        <w:rFonts w:ascii="Calibri" w:cs="Calibri" w:eastAsia="Calibri" w:hAnsi="Calibri"/>
        <w:color w:val="595959"/>
        <w:sz w:val="14"/>
        <w:szCs w:val="14"/>
      </w:rPr>
      <w:t xml:space="preserve">Project Northfield vs Project Harborview  —  13 August 2026</w:t>
    </w:r>
    <w:r>
      <w:rPr>
        <w:rFonts w:ascii="Calibri" w:cs="Calibri" w:eastAsia="Calibri" w:hAnsi="Calibri"/>
        <w:sz w:val="14"/>
        <w:szCs w:val="14"/>
      </w:rPr>
      <w:t xml:space="preserve">	</w:t>
    </w:r>
    <w:r>
      <w:rPr>
        <w:rFonts w:ascii="Calibri" w:cs="Calibri" w:eastAsia="Calibri" w:hAnsi="Calibri"/>
        <w:color w:val="595959"/>
        <w:sz w:val="14"/>
        <w:szCs w:val="14"/>
      </w:rPr>
      <w:t xml:space="preserve">Page </w:t>
    </w:r>
    <w:r>
      <w:rPr>
        <w:rFonts w:ascii="Calibri" w:cs="Calibri" w:eastAsia="Calibri" w:hAnsi="Calibri"/>
        <w:color w:val="595959"/>
        <w:sz w:val="14"/>
        <w:szCs w:val="14"/>
      </w:rPr>
      <w:fldChar w:fldCharType="begin"/>
      <w:instrText xml:space="preserve">PAGE</w:instrText>
      <w:fldChar w:fldCharType="separate"/>
      <w:fldChar w:fldCharType="end"/>
    </w:r>
    <w:r>
      <w:rPr>
        <w:rFonts w:ascii="Calibri" w:cs="Calibri" w:eastAsia="Calibri" w:hAnsi="Calibri"/>
        <w:color w:val="595959"/>
        <w:sz w:val="14"/>
        <w:szCs w:val="14"/>
      </w:rPr>
      <w:t xml:space="preserve"> of </w:t>
    </w:r>
    <w:r>
      <w:rPr>
        <w:rFonts w:ascii="Calibri" w:cs="Calibri" w:eastAsia="Calibri" w:hAnsi="Calibri"/>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D" w:sz="4" w:space="3"/>
      </w:pBdr>
      <w:tabs>
        <w:tab w:val="right" w:pos="10080"/>
      </w:tabs>
      <w:spacing w:after="0"/>
    </w:pPr>
    <w:r>
      <w:rPr>
        <w:rFonts w:ascii="Calibri" w:cs="Calibri" w:eastAsia="Calibri" w:hAnsi="Calibri"/>
        <w:color w:val="595959"/>
        <w:sz w:val="15"/>
        <w:szCs w:val="15"/>
      </w:rPr>
      <w:t xml:space="preserve">Meridian Trust Bank  |  Board Strategy Memorandum</w:t>
    </w:r>
    <w:r>
      <w:rPr>
        <w:rFonts w:ascii="Calibri" w:cs="Calibri" w:eastAsia="Calibri" w:hAnsi="Calibri"/>
        <w:sz w:val="15"/>
        <w:szCs w:val="15"/>
      </w:rPr>
      <w:t xml:space="preserve">	</w:t>
    </w:r>
    <w:r>
      <w:rPr>
        <w:rFonts w:ascii="Calibri" w:cs="Calibri" w:eastAsia="Calibri" w:hAnsi="Calibri"/>
        <w:b/>
        <w:bCs/>
        <w:color w:val="9C2B1B"/>
        <w:sz w:val="15"/>
        <w:szCs w:val="15"/>
      </w:rPr>
      <w:t xml:space="preserve">BOARD CONFIDENTIAL  |  FICTIONAL CASE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lvl>
    <w:lvl w:ilvl="1" w15:tentative="1">
      <w:start w:val="1"/>
      <w:numFmt w:val="bullet"/>
      <w:lvlText w:val="◦"/>
      <w:lvlJc w:val="left"/>
      <w:pPr>
        <w:ind w:left="7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M&amp;A Decision Memorandum — Project Northfield vs Project Harborview</dc:title>
  <dc:creator>Meridian Trust Bank — Corporate Development &amp; Strategy</dc:creator>
  <dc:description>Fictional/simulated board strategy memorandum for an educational M&amp;A case study.</dc:description>
  <cp:lastModifiedBy>Un-named</cp:lastModifiedBy>
  <cp:revision>1</cp:revision>
  <dcterms:created xsi:type="dcterms:W3CDTF">2026-08-14T00:58:39.849Z</dcterms:created>
  <dcterms:modified xsi:type="dcterms:W3CDTF">2026-08-14T00:58:39.853Z</dcterms:modified>
</cp:coreProperties>
</file>

<file path=docProps/custom.xml><?xml version="1.0" encoding="utf-8"?>
<Properties xmlns="http://schemas.openxmlformats.org/officeDocument/2006/custom-properties" xmlns:vt="http://schemas.openxmlformats.org/officeDocument/2006/docPropsVTypes"/>
</file>