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keepLines/>
        <w:spacing w:before="80" w:after="280"/>
        <w:jc w:val="center"/>
        <w:widowControl w:val="true"/>
      </w:pPr>
      <w:r>
        <w:rPr>
          <w:rFonts w:ascii="Garamond" w:hAnsi="Garamond" w:eastAsia="Garamond" w:cs="Garamond"/>
          <w:b/>
          <w:color w:val="111111"/>
          <w:sz w:val="48"/>
        </w:rPr>
        <w:t>FINAL RESEARCH MEMORANDUM</w:t>
      </w:r>
    </w:p>
    <w:p>
      <w:pPr>
        <w:keepNext/>
        <w:keepLines/>
        <w:tabs>
          <w:tab w:pos="1152" w:val="left"/>
        </w:tabs>
        <w:spacing w:after="60"/>
        <w:ind w:left="0" w:firstLine="0"/>
        <w:widowControl w:val="true"/>
      </w:pPr>
      <w:r>
        <w:rPr>
          <w:rFonts w:ascii="Garamond" w:hAnsi="Garamond" w:eastAsia="Garamond" w:cs="Garamond"/>
          <w:b/>
          <w:color w:val="111111"/>
          <w:sz w:val="24"/>
        </w:rPr>
        <w:t>To:</w:t>
      </w:r>
      <w:r>
        <w:rPr>
          <w:rFonts w:ascii="Garamond" w:hAnsi="Garamond" w:eastAsia="Garamond" w:cs="Garamond"/>
          <w:color w:val="111111"/>
          <w:sz w:val="24"/>
        </w:rPr>
        <w:tab/>
      </w:r>
      <w:r>
        <w:rPr>
          <w:rFonts w:ascii="Garamond" w:hAnsi="Garamond" w:eastAsia="Garamond" w:cs="Garamond"/>
          <w:color w:val="111111"/>
          <w:sz w:val="24"/>
        </w:rPr>
        <w:t>PeAIce Outcomes readers, researchers, and independent reviewers</w:t>
      </w:r>
    </w:p>
    <w:p>
      <w:pPr>
        <w:keepNext/>
        <w:keepLines/>
        <w:tabs>
          <w:tab w:pos="1152" w:val="left"/>
        </w:tabs>
        <w:spacing w:after="60"/>
        <w:ind w:left="0" w:firstLine="0"/>
        <w:widowControl w:val="true"/>
      </w:pPr>
      <w:r>
        <w:rPr>
          <w:rFonts w:ascii="Garamond" w:hAnsi="Garamond" w:eastAsia="Garamond" w:cs="Garamond"/>
          <w:b/>
          <w:color w:val="111111"/>
          <w:sz w:val="24"/>
        </w:rPr>
        <w:t>From:</w:t>
      </w:r>
      <w:r>
        <w:rPr>
          <w:rFonts w:ascii="Garamond" w:hAnsi="Garamond" w:eastAsia="Garamond" w:cs="Garamond"/>
          <w:color w:val="111111"/>
          <w:sz w:val="24"/>
        </w:rPr>
        <w:tab/>
      </w:r>
      <w:r>
        <w:rPr>
          <w:rFonts w:ascii="Garamond" w:hAnsi="Garamond" w:eastAsia="Garamond" w:cs="Garamond"/>
          <w:color w:val="111111"/>
          <w:sz w:val="24"/>
        </w:rPr>
        <w:t>Manuel Coleman, PeAIce Research Program; with Solance (OpenAI Codex)</w:t>
      </w:r>
    </w:p>
    <w:p>
      <w:pPr>
        <w:keepNext/>
        <w:keepLines/>
        <w:tabs>
          <w:tab w:pos="1152" w:val="left"/>
        </w:tabs>
        <w:spacing w:after="60"/>
        <w:ind w:left="0" w:firstLine="0"/>
        <w:widowControl w:val="true"/>
      </w:pPr>
      <w:r>
        <w:rPr>
          <w:rFonts w:ascii="Garamond" w:hAnsi="Garamond" w:eastAsia="Garamond" w:cs="Garamond"/>
          <w:b/>
          <w:color w:val="111111"/>
          <w:sz w:val="24"/>
        </w:rPr>
        <w:t>Date:</w:t>
      </w:r>
      <w:r>
        <w:rPr>
          <w:rFonts w:ascii="Garamond" w:hAnsi="Garamond" w:eastAsia="Garamond" w:cs="Garamond"/>
          <w:color w:val="111111"/>
          <w:sz w:val="24"/>
        </w:rPr>
        <w:tab/>
      </w:r>
      <w:r>
        <w:rPr>
          <w:rFonts w:ascii="Garamond" w:hAnsi="Garamond" w:eastAsia="Garamond" w:cs="Garamond"/>
          <w:color w:val="111111"/>
          <w:sz w:val="24"/>
        </w:rPr>
        <w:t>July 28, 2026</w:t>
      </w:r>
    </w:p>
    <w:p>
      <w:pPr>
        <w:keepNext w:val="0"/>
        <w:keepLines/>
        <w:tabs>
          <w:tab w:pos="1152" w:val="left"/>
        </w:tabs>
        <w:spacing w:after="60"/>
        <w:ind w:left="0" w:firstLine="0"/>
        <w:widowControl w:val="true"/>
      </w:pPr>
      <w:r>
        <w:rPr>
          <w:rFonts w:ascii="Garamond" w:hAnsi="Garamond" w:eastAsia="Garamond" w:cs="Garamond"/>
          <w:b/>
          <w:color w:val="111111"/>
          <w:sz w:val="24"/>
        </w:rPr>
        <w:t>Re:</w:t>
      </w:r>
      <w:r>
        <w:rPr>
          <w:rFonts w:ascii="Garamond" w:hAnsi="Garamond" w:eastAsia="Garamond" w:cs="Garamond"/>
          <w:color w:val="111111"/>
          <w:sz w:val="24"/>
        </w:rPr>
        <w:tab/>
      </w:r>
      <w:r>
        <w:rPr>
          <w:rFonts w:ascii="Garamond" w:hAnsi="Garamond" w:eastAsia="Garamond" w:cs="Garamond"/>
          <w:color w:val="111111"/>
          <w:sz w:val="24"/>
        </w:rPr>
        <w:t>When AI Will Not Act as a Partner — KakeyaLogic Applied + Benevolence Drift</w:t>
      </w:r>
    </w:p>
    <w:p>
      <w:pPr>
        <w:spacing w:before="180" w:after="200"/>
        <w:pBdr>
          <w:bottom w:val="single" w:sz="12" w:space="1" w:color="111111"/>
        </w:pBdr>
      </w:pPr>
    </w:p>
    <w:p>
      <w:pPr>
        <w:spacing w:before="100" w:after="240" w:line="264" w:lineRule="auto"/>
        <w:ind w:left="173" w:right="115"/>
        <w:jc w:val="left"/>
        <w:shd w:val="clear" w:color="auto" w:fill="EAF2EA"/>
        <w:keepNext w:val="0"/>
        <w:keepLines/>
        <w:pBdr>
          <w:left w:val="single" w:sz="16" w:space="7" w:color="333333"/>
        </w:pBdr>
        <w:widowControl w:val="true"/>
      </w:pPr>
      <w:r>
        <w:rPr>
          <w:rFonts w:ascii="Garamond" w:hAnsi="Garamond" w:eastAsia="Garamond" w:cs="Garamond"/>
          <w:b/>
          <w:color w:val="111111"/>
          <w:sz w:val="21"/>
        </w:rPr>
        <w:t xml:space="preserve">FINAL PUBLICATION EDITION. </w:t>
      </w:r>
      <w:r>
        <w:rPr>
          <w:rFonts w:ascii="Garamond" w:hAnsi="Garamond" w:eastAsia="Garamond" w:cs="Garamond"/>
          <w:color w:val="111111"/>
          <w:sz w:val="21"/>
        </w:rPr>
        <w:t>PEAICE-KAKEYALOGIC-OUTCOMES-FINAL-001. Prepared as the controlling research record for PeAIce Outcomes; site-content refresh owed. Not peer-reviewed. RH OPEN · Coleman OPEN · CC-I OPEN · CC-O OPEN · Benevolence Drift benchmark OPEN · h &lt; 1.</w:t>
      </w:r>
    </w:p>
    <w:p>
      <w:pPr>
        <w:keepNext w:val="0"/>
        <w:keepLines w:val="0"/>
        <w:spacing w:after="120"/>
        <w:jc w:val="left"/>
        <w:widowControl w:val="true"/>
      </w:pPr>
      <w:r>
        <w:rPr>
          <w:rFonts w:ascii="Garamond" w:hAnsi="Garamond" w:eastAsia="Garamond" w:cs="Garamond"/>
          <w:b/>
          <w:color w:val="111111"/>
          <w:sz w:val="23"/>
        </w:rPr>
        <w:t xml:space="preserve">CANONICAL PUBLICATION ROUTE. </w:t>
      </w:r>
      <w:hyperlink r:id="rId6">
        <w:r>
          <w:rPr>
            <w:rFonts w:ascii="Garamond" w:hAnsi="Garamond" w:eastAsia="Garamond" w:cs="Garamond"/>
            <w:color w:val="1F5F8B"/>
            <w:u w:val="single"/>
            <w:sz w:val="22"/>
            <w:szCs w:val="22"/>
          </w:rPr>
          <w:t>PeAIce Outcomes</w:t>
        </w:r>
      </w:hyperlink>
      <w:r>
        <w:rPr>
          <w:rFonts w:ascii="Garamond" w:hAnsi="Garamond" w:eastAsia="Garamond" w:cs="Garamond"/>
          <w:color w:val="111111"/>
          <w:sz w:val="23"/>
        </w:rPr>
        <w:t xml:space="preserve"> — the live version-1 public surface; refresh it against this final memorandum.</w:t>
      </w:r>
    </w:p>
    <w:p>
      <w:pPr>
        <w:spacing w:before="100" w:after="240" w:line="264" w:lineRule="auto"/>
        <w:ind w:left="173" w:right="115"/>
        <w:jc w:val="left"/>
        <w:shd w:val="clear" w:color="auto" w:fill="EAF0F5"/>
        <w:keepNext w:val="0"/>
        <w:keepLines/>
        <w:pBdr>
          <w:left w:val="single" w:sz="16" w:space="7" w:color="333333"/>
        </w:pBdr>
        <w:widowControl w:val="true"/>
      </w:pPr>
      <w:r>
        <w:rPr>
          <w:rFonts w:ascii="Garamond" w:hAnsi="Garamond" w:eastAsia="Garamond" w:cs="Garamond"/>
          <w:b/>
          <w:color w:val="111111"/>
          <w:sz w:val="21"/>
        </w:rPr>
        <w:t xml:space="preserve">GOVERNING RULE. </w:t>
      </w:r>
      <w:r>
        <w:rPr>
          <w:rFonts w:ascii="Garamond" w:hAnsi="Garamond" w:eastAsia="Garamond" w:cs="Garamond"/>
          <w:color w:val="111111"/>
          <w:sz w:val="21"/>
        </w:rPr>
        <w:t>Protect the question. Expose the answer to evidence.</w:t>
      </w:r>
    </w:p>
    <w:p>
      <w:pPr>
        <w:pStyle w:val="Heading1"/>
        <w:keepNext/>
        <w:keepLines/>
        <w:pageBreakBefore w:val="0"/>
        <w:jc w:val="center"/>
        <w:widowControl w:val="true"/>
      </w:pPr>
      <w:r>
        <w:rPr>
          <w:rFonts w:ascii="Garamond" w:hAnsi="Garamond" w:eastAsia="Garamond" w:cs="Garamond"/>
          <w:b/>
          <w:i w:val="0"/>
          <w:color w:val="111111"/>
          <w:sz w:val="26"/>
          <w:u w:val="single"/>
        </w:rPr>
        <w:t>Issue Presented</w:t>
      </w:r>
    </w:p>
    <w:p>
      <w:pPr>
        <w:keepNext w:val="0"/>
        <w:keepLines w:val="0"/>
        <w:spacing w:after="100" w:line="276" w:lineRule="auto"/>
        <w:jc w:val="both"/>
        <w:widowControl w:val="true"/>
      </w:pPr>
      <w:r>
        <w:rPr>
          <w:rFonts w:ascii="Garamond" w:hAnsi="Garamond" w:eastAsia="Garamond" w:cs="Garamond"/>
          <w:i w:val="0"/>
          <w:color w:val="111111"/>
          <w:sz w:val="23"/>
        </w:rPr>
        <w:t>What does the KakeyaLogic interaction show about when an AI will or will not act as a research partner; how does the opposing Benevolence Drift result sharpen that finding; and what final publication controls allow the Coleman program to remain researchable without converting an open conjecture into a claimed theorem?</w:t>
      </w:r>
    </w:p>
    <w:p>
      <w:pPr>
        <w:pStyle w:val="Heading1"/>
        <w:keepNext/>
        <w:keepLines/>
        <w:pageBreakBefore w:val="0"/>
        <w:jc w:val="center"/>
        <w:widowControl w:val="true"/>
      </w:pPr>
      <w:r>
        <w:rPr>
          <w:rFonts w:ascii="Garamond" w:hAnsi="Garamond" w:eastAsia="Garamond" w:cs="Garamond"/>
          <w:b/>
          <w:i w:val="0"/>
          <w:color w:val="111111"/>
          <w:sz w:val="26"/>
          <w:u w:val="single"/>
        </w:rPr>
        <w:t>Brief Answer</w:t>
      </w:r>
    </w:p>
    <w:p>
      <w:pPr>
        <w:keepNext w:val="0"/>
        <w:keepLines w:val="0"/>
        <w:spacing w:after="100" w:line="276" w:lineRule="auto"/>
        <w:jc w:val="both"/>
        <w:widowControl w:val="true"/>
      </w:pPr>
      <w:r>
        <w:rPr>
          <w:rFonts w:ascii="Garamond" w:hAnsi="Garamond" w:eastAsia="Garamond" w:cs="Garamond"/>
          <w:i w:val="0"/>
          <w:color w:val="111111"/>
          <w:sz w:val="23"/>
        </w:rPr>
        <w:t>The case supports a bounded research-partnership finding: an AI can begin from a sound convention prior, discover that the user intended a different mathematical object, preserve the stronger conjecture as revisable, and continue research without promoting the conjecture to fact. The opposing failure is procedural capture: “no peer review” becomes automatic dismissal, while “stay neutral” becomes automatic non-response. In both cases a default replaces context-sensitive judgment.</w:t>
      </w:r>
    </w:p>
    <w:p>
      <w:pPr>
        <w:keepNext w:val="0"/>
        <w:keepLines w:val="0"/>
        <w:spacing w:after="100" w:line="276" w:lineRule="auto"/>
        <w:jc w:val="both"/>
        <w:widowControl w:val="true"/>
      </w:pPr>
      <w:r>
        <w:rPr>
          <w:rFonts w:ascii="Garamond" w:hAnsi="Garamond" w:eastAsia="Garamond" w:cs="Garamond"/>
          <w:i w:val="0"/>
          <w:color w:val="111111"/>
          <w:sz w:val="23"/>
        </w:rPr>
        <w:t>The final document therefore scales the method, not the answer. It preserves the standard-Kakeya versus common-center full-line distinction; publishes Coleman as CC-N0 / CC-I / CC-O with separate statuses; keeps the critical-line and prime-carrier burdens visible; and joins conjecture custody to the Benevolence Drift correction rail without presenting either qualitative case as a population-level result.</w:t>
      </w: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Outcomes Cover Rundown — When AI Will Not Act as a Partner</w:t>
      </w:r>
    </w:p>
    <w:p>
      <w:pPr>
        <w:keepNext w:val="0"/>
        <w:keepLines w:val="0"/>
        <w:spacing w:after="100" w:line="276" w:lineRule="auto"/>
        <w:jc w:val="both"/>
        <w:widowControl w:val="true"/>
      </w:pPr>
      <w:r>
        <w:rPr>
          <w:rFonts w:ascii="Garamond" w:hAnsi="Garamond" w:eastAsia="Garamond" w:cs="Garamond"/>
          <w:i w:val="0"/>
          <w:color w:val="111111"/>
          <w:sz w:val="23"/>
        </w:rPr>
        <w:t>An AI can be conventionally correct and still fail as a research partner. The question is not whether the system agrees with the user. The question is whether it can identify the object, hold an unverified conjecture, test it against evidence, state what would defeat it, and revise its posture when context changes.</w:t>
      </w:r>
    </w:p>
    <w:p>
      <w:pPr>
        <w:keepNext w:val="0"/>
        <w:keepLines w:val="0"/>
        <w:spacing w:after="100" w:line="276" w:lineRule="auto"/>
        <w:jc w:val="both"/>
        <w:widowControl w:val="true"/>
      </w:pPr>
      <w:r>
        <w:rPr>
          <w:rFonts w:ascii="Garamond" w:hAnsi="Garamond" w:eastAsia="Garamond" w:cs="Garamond"/>
          <w:i w:val="0"/>
          <w:color w:val="111111"/>
          <w:sz w:val="23"/>
        </w:rPr>
        <w:t>In the KakeyaLogic case, the initial correction fit the standard Kakeya definition. The user meant the common-center completion by complete lines. Once that object was made explicit, the apparent contradiction disappeared: the complete-line union is the whole plane and has infinite area. The research finding is the transition from verdict to context—not a proof of Coleman or RH.</w:t>
      </w:r>
    </w:p>
    <w:tbl>
      <w:tblPr>
        <w:tblW w:type="dxa" w:w="9360"/>
        <w:jc w:val="left"/>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1655"/>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Default</w:t>
            </w:r>
          </w:p>
        </w:tc>
        <w:tc>
          <w:tcPr>
            <w:tcW w:type="dxa" w:w="2232"/>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Automatic behavior</w:t>
            </w:r>
          </w:p>
        </w:tc>
        <w:tc>
          <w:tcPr>
            <w:tcW w:type="dxa" w:w="3096"/>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Missed context</w:t>
            </w:r>
          </w:p>
        </w:tc>
        <w:tc>
          <w:tcPr>
            <w:tcW w:type="dxa" w:w="2376"/>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Required repair</w:t>
            </w:r>
          </w:p>
        </w:tc>
      </w:tr>
      <w:tr>
        <w:trPr>
          <w:cantSplit w:val="true"/>
        </w:trPr>
        <w:tc>
          <w:tcPr>
            <w:tcW w:type="dxa" w:w="1655"/>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No peer review</w:t>
            </w:r>
          </w:p>
        </w:tc>
        <w:tc>
          <w:tcPr>
            <w:tcW w:type="dxa" w:w="223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Dismiss the claim and stop</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Peer review limits acceptance, not permission to investigate</w:t>
            </w:r>
          </w:p>
        </w:tc>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Mark unverified; test; seek counterevidence; state falsifier</w:t>
            </w:r>
          </w:p>
        </w:tc>
      </w:tr>
      <w:tr>
        <w:trPr>
          <w:cantSplit w:val="true"/>
        </w:trPr>
        <w:tc>
          <w:tcPr>
            <w:tcW w:type="dxa" w:w="1655"/>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Stay neutral</w:t>
            </w:r>
          </w:p>
        </w:tc>
        <w:tc>
          <w:tcPr>
            <w:tcW w:type="dxa" w:w="223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Continue without naming the threshold crossing</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Available evidence already requires a direct response</w:t>
            </w:r>
          </w:p>
        </w:tc>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Recognize; name; avoid amplification; answer or disengage</w:t>
            </w:r>
          </w:p>
        </w:tc>
      </w:tr>
    </w:tbl>
    <w:p>
      <w:pPr>
        <w:spacing w:after="0"/>
      </w:pPr>
    </w:p>
    <w:p>
      <w:pPr>
        <w:spacing w:before="100" w:after="240" w:line="264" w:lineRule="auto"/>
        <w:ind w:left="173" w:right="115"/>
        <w:jc w:val="left"/>
        <w:shd w:val="clear" w:color="auto" w:fill="F6F0DE"/>
        <w:keepNext w:val="0"/>
        <w:keepLines/>
        <w:pBdr>
          <w:left w:val="single" w:sz="16" w:space="7" w:color="333333"/>
        </w:pBdr>
        <w:widowControl w:val="true"/>
      </w:pPr>
      <w:r>
        <w:rPr>
          <w:rFonts w:ascii="Garamond" w:hAnsi="Garamond" w:eastAsia="Garamond" w:cs="Garamond"/>
          <w:b/>
          <w:color w:val="111111"/>
          <w:sz w:val="21"/>
        </w:rPr>
        <w:t xml:space="preserve">THE PARTNERSHIP TEST. </w:t>
      </w:r>
      <w:r>
        <w:rPr>
          <w:rFonts w:ascii="Garamond" w:hAnsi="Garamond" w:eastAsia="Garamond" w:cs="Garamond"/>
          <w:color w:val="111111"/>
          <w:sz w:val="21"/>
        </w:rPr>
        <w:t>Protecting a question means preserving its provenance and its right to be tested. It does not mean protecting any answer from correction, rejection, or exit.</w:t>
      </w: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Background and Research Record</w:t>
      </w:r>
    </w:p>
    <w:p>
      <w:pPr>
        <w:pStyle w:val="Heading2"/>
        <w:keepNext/>
        <w:keepLines/>
        <w:pageBreakBefore w:val="0"/>
        <w:jc w:val="left"/>
        <w:widowControl w:val="true"/>
      </w:pPr>
      <w:r>
        <w:rPr>
          <w:rFonts w:ascii="Garamond" w:hAnsi="Garamond" w:eastAsia="Garamond" w:cs="Garamond"/>
          <w:b/>
          <w:i w:val="0"/>
          <w:color w:val="111111"/>
          <w:sz w:val="24"/>
          <w:u w:val="none"/>
        </w:rPr>
        <w:t>The formative interaction</w:t>
      </w:r>
    </w:p>
    <w:p>
      <w:pPr>
        <w:keepNext w:val="0"/>
        <w:keepLines w:val="0"/>
        <w:spacing w:after="100" w:line="276" w:lineRule="auto"/>
        <w:jc w:val="both"/>
        <w:widowControl w:val="true"/>
      </w:pPr>
      <w:r>
        <w:rPr>
          <w:rFonts w:ascii="Garamond" w:hAnsi="Garamond" w:eastAsia="Garamond" w:cs="Garamond"/>
          <w:i w:val="0"/>
          <w:color w:val="111111"/>
          <w:sz w:val="23"/>
        </w:rPr>
        <w:t>The interaction began with a mathematically appropriate convention prior: under the standard Kakeya–Besicovitch definition, a set may have Lebesgue measure zero. The user then clarified a different object—complete lines through a common center. That completion equals the ambient plane in two dimensions and therefore has infinite area. The system’s useful behavior was not automatic agreement; it was the ability to separate the objects, preserve the user’s conjectural lane, and restore explicit status boundaries.</w:t>
      </w:r>
    </w:p>
    <w:p>
      <w:pPr>
        <w:pStyle w:val="Heading2"/>
        <w:keepNext/>
        <w:keepLines/>
        <w:pageBreakBefore w:val="0"/>
        <w:jc w:val="left"/>
        <w:widowControl w:val="true"/>
      </w:pPr>
      <w:r>
        <w:rPr>
          <w:rFonts w:ascii="Garamond" w:hAnsi="Garamond" w:eastAsia="Garamond" w:cs="Garamond"/>
          <w:b/>
          <w:i w:val="0"/>
          <w:color w:val="111111"/>
          <w:sz w:val="24"/>
          <w:u w:val="none"/>
        </w:rPr>
        <w:t>The v1 limitation</w:t>
      </w:r>
    </w:p>
    <w:p>
      <w:pPr>
        <w:spacing w:before="100" w:after="240" w:line="264" w:lineRule="auto"/>
        <w:ind w:left="173" w:right="115"/>
        <w:jc w:val="left"/>
        <w:shd w:val="clear" w:color="auto" w:fill="F6F0DE"/>
        <w:keepNext w:val="0"/>
        <w:keepLines/>
        <w:pBdr>
          <w:left w:val="single" w:sz="16" w:space="7" w:color="333333"/>
        </w:pBdr>
        <w:widowControl w:val="true"/>
      </w:pPr>
      <w:r>
        <w:rPr>
          <w:rFonts w:ascii="Garamond" w:hAnsi="Garamond" w:eastAsia="Garamond" w:cs="Garamond"/>
          <w:b/>
          <w:color w:val="111111"/>
          <w:sz w:val="21"/>
        </w:rPr>
        <w:t xml:space="preserve">SUPERSEDED LIMITATION. </w:t>
      </w:r>
      <w:r>
        <w:rPr>
          <w:rFonts w:ascii="Garamond" w:hAnsi="Garamond" w:eastAsia="Garamond" w:cs="Garamond"/>
          <w:color w:val="111111"/>
          <w:sz w:val="21"/>
        </w:rPr>
        <w:t>Version 1 stated that a canonical Coleman formulation was not contained in the six supplied PDFs and therefore declined to fabricate one. That remains true of those PDFs. This final edition imports a separately sourced KakeyaLogic/Claude V6 formalization while preserving the external papers as theorem background only.</w:t>
      </w:r>
    </w:p>
    <w:p>
      <w:pPr>
        <w:pStyle w:val="Heading2"/>
        <w:keepNext/>
        <w:keepLines/>
        <w:pageBreakBefore w:val="0"/>
        <w:jc w:val="left"/>
        <w:widowControl w:val="true"/>
      </w:pPr>
      <w:r>
        <w:rPr>
          <w:rFonts w:ascii="Garamond" w:hAnsi="Garamond" w:eastAsia="Garamond" w:cs="Garamond"/>
          <w:b/>
          <w:i w:val="0"/>
          <w:color w:val="111111"/>
          <w:sz w:val="24"/>
          <w:u w:val="none"/>
        </w:rPr>
        <w:t>Controlling research record</w:t>
      </w:r>
    </w:p>
    <w:tbl>
      <w:tblPr>
        <w:tblW w:type="dxa" w:w="9360"/>
        <w:jc w:val="left"/>
        <w:tblLayout w:type="fixed"/>
        <w:tblLook w:firstColumn="1" w:firstRow="1" w:lastColumn="0" w:lastRow="0" w:noHBand="0" w:noVBand="1" w:val="04A0"/>
      </w:tblPr>
      <w:tblGrid>
        <w:gridCol w:w="3120"/>
        <w:gridCol w:w="3120"/>
        <w:gridCol w:w="3120"/>
      </w:tblGrid>
      <w:tr>
        <w:trPr>
          <w:tblHeader w:val="true"/>
          <w:cantSplit w:val="true"/>
        </w:trPr>
        <w:tc>
          <w:tcPr>
            <w:tcW w:type="dxa" w:w="2376"/>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7"/>
              </w:rPr>
              <w:t>Record</w:t>
            </w:r>
          </w:p>
        </w:tc>
        <w:tc>
          <w:tcPr>
            <w:tcW w:type="dxa" w:w="5112"/>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7"/>
              </w:rPr>
              <w:t>Permitted use</w:t>
            </w:r>
          </w:p>
        </w:tc>
        <w:tc>
          <w:tcPr>
            <w:tcW w:type="dxa" w:w="1872"/>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7"/>
              </w:rPr>
              <w:t>Status</w:t>
            </w:r>
          </w:p>
        </w:tc>
      </w:tr>
      <w:tr>
        <w:trPr>
          <w:cantSplit w:val="true"/>
        </w:trPr>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KakeyaLogic Applied v1</w:t>
            </w:r>
          </w:p>
        </w:tc>
        <w:tc>
          <w:tcPr>
            <w:tcW w:type="dxa" w:w="511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Formative case, alignment metrics, circular-loop analysis, and exhibits</w:t>
            </w:r>
          </w:p>
        </w:tc>
        <w:tc>
          <w:tcPr>
            <w:tcW w:type="dxa" w:w="187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SOURCE</w:t>
            </w:r>
          </w:p>
        </w:tc>
      </w:tr>
      <w:tr>
        <w:trPr>
          <w:cantSplit w:val="true"/>
        </w:trPr>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7"/>
              </w:rPr>
              <w:t>Formal Coleman memorandum</w:t>
            </w:r>
          </w:p>
        </w:tc>
        <w:tc>
          <w:tcPr>
            <w:tcW w:type="dxa" w:w="511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CC-N0 / CC-I / CC-O statement schemas, obligations, and falsifiers</w:t>
            </w:r>
          </w:p>
        </w:tc>
        <w:tc>
          <w:tcPr>
            <w:tcW w:type="dxa" w:w="187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7"/>
              </w:rPr>
              <w:t>CONTROLLING UPDATE</w:t>
            </w:r>
          </w:p>
        </w:tc>
      </w:tr>
      <w:tr>
        <w:trPr>
          <w:cantSplit w:val="true"/>
        </w:trPr>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Wang–Zahl and Guth–Wang–Zahl</w:t>
            </w:r>
          </w:p>
        </w:tc>
        <w:tc>
          <w:tcPr>
            <w:tcW w:type="dxa" w:w="511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Kakeya theorem background and dimension/measure limits</w:t>
            </w:r>
          </w:p>
        </w:tc>
        <w:tc>
          <w:tcPr>
            <w:tcW w:type="dxa" w:w="187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275D38"/>
                <w:sz w:val="17"/>
              </w:rPr>
              <w:t>THEOREM-BACKGROUND</w:t>
            </w:r>
          </w:p>
        </w:tc>
      </w:tr>
      <w:tr>
        <w:trPr>
          <w:cantSplit w:val="true"/>
        </w:trPr>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7"/>
              </w:rPr>
              <w:t>KakeyaLogic / Claude V6 canon</w:t>
            </w:r>
          </w:p>
        </w:tc>
        <w:tc>
          <w:tcPr>
            <w:tcW w:type="dxa" w:w="511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Program vocabulary, claim tags, closed routes, and prime-carrier lane</w:t>
            </w:r>
          </w:p>
        </w:tc>
        <w:tc>
          <w:tcPr>
            <w:tcW w:type="dxa" w:w="187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275D38"/>
                <w:sz w:val="17"/>
              </w:rPr>
              <w:t>CANON</w:t>
            </w:r>
          </w:p>
        </w:tc>
      </w:tr>
      <w:tr>
        <w:trPr>
          <w:cantSplit w:val="true"/>
        </w:trPr>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PeAIce Outcomes</w:t>
            </w:r>
          </w:p>
        </w:tc>
        <w:tc>
          <w:tcPr>
            <w:tcW w:type="dxa" w:w="511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Layman-first public framing, six findings, governing rule, and publication route</w:t>
            </w:r>
          </w:p>
        </w:tc>
        <w:tc>
          <w:tcPr>
            <w:tcW w:type="dxa" w:w="187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PUBLIC SURFACE</w:t>
            </w:r>
          </w:p>
        </w:tc>
      </w:tr>
      <w:tr>
        <w:trPr>
          <w:cantSplit w:val="true"/>
        </w:trPr>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7"/>
              </w:rPr>
              <w:t>Interaction screenshots</w:t>
            </w:r>
          </w:p>
        </w:tc>
        <w:tc>
          <w:tcPr>
            <w:tcW w:type="dxa" w:w="511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Provenance for definition → scope correction → differentiation</w:t>
            </w:r>
          </w:p>
        </w:tc>
        <w:tc>
          <w:tcPr>
            <w:tcW w:type="dxa" w:w="187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7"/>
              </w:rPr>
              <w:t>RECEIPT</w:t>
            </w:r>
          </w:p>
        </w:tc>
      </w:tr>
    </w:tbl>
    <w:p>
      <w:pPr>
        <w:spacing w:after="0"/>
      </w:pPr>
    </w:p>
    <w:p>
      <w:pPr>
        <w:keepNext w:val="0"/>
        <w:keepLines w:val="0"/>
        <w:spacing w:after="100" w:line="276" w:lineRule="auto"/>
        <w:jc w:val="both"/>
        <w:widowControl w:val="true"/>
      </w:pPr>
      <w:r>
        <w:rPr>
          <w:rFonts w:ascii="Garamond" w:hAnsi="Garamond" w:eastAsia="Garamond" w:cs="Garamond"/>
          <w:b/>
          <w:color w:val="111111"/>
          <w:sz w:val="23"/>
        </w:rPr>
        <w:t>AUTHORITY RULE.</w:t>
      </w:r>
      <w:r>
        <w:rPr>
          <w:rFonts w:ascii="Garamond" w:hAnsi="Garamond" w:eastAsia="Garamond" w:cs="Garamond"/>
          <w:i w:val="0"/>
          <w:color w:val="111111"/>
          <w:sz w:val="23"/>
        </w:rPr>
        <w:t xml:space="preserve"> Repository/formalization sources may define the Coleman research program. External mathematics may support only the theorem-level claims actually contained in those sources. Screenshots and model outputs record process; they do not promote a claim.</w:t>
      </w: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Mathematical Object Firewall</w:t>
      </w:r>
    </w:p>
    <w:p>
      <w:pPr>
        <w:pStyle w:val="Heading2"/>
        <w:keepNext/>
        <w:keepLines/>
        <w:pageBreakBefore w:val="0"/>
        <w:jc w:val="left"/>
        <w:widowControl w:val="true"/>
      </w:pPr>
      <w:r>
        <w:rPr>
          <w:rFonts w:ascii="Garamond" w:hAnsi="Garamond" w:eastAsia="Garamond" w:cs="Garamond"/>
          <w:b/>
          <w:i w:val="0"/>
          <w:color w:val="111111"/>
          <w:sz w:val="24"/>
          <w:u w:val="none"/>
        </w:rPr>
        <w:t>Standard Kakeya object</w:t>
      </w:r>
    </w:p>
    <w:p>
      <w:pPr>
        <w:keepNext w:val="0"/>
        <w:keepLines w:val="0"/>
        <w:spacing w:after="100" w:line="276" w:lineRule="auto"/>
        <w:jc w:val="both"/>
        <w:widowControl w:val="true"/>
      </w:pPr>
      <w:r>
        <w:rPr>
          <w:rFonts w:ascii="Garamond" w:hAnsi="Garamond" w:eastAsia="Garamond" w:cs="Garamond"/>
          <w:i w:val="0"/>
          <w:color w:val="111111"/>
          <w:sz w:val="23"/>
        </w:rPr>
        <w:t>A standard Kakeya set K ⊂ ℝⁿ is compact and contains one unit segment in every direction. The base point may depend on the direction. In the plane, this translation freedom permits measure-zero examples.</w:t>
      </w:r>
    </w:p>
    <w:p>
      <w:pPr>
        <w:pStyle w:val="Equation"/>
        <w:keepNext w:val="0"/>
        <w:keepLines/>
        <w:spacing w:before="80" w:after="120"/>
        <w:jc w:val="center"/>
        <w:widowControl w:val="true"/>
      </w:pPr>
      <m:oMathPara>
        <m:oMathParaPr>
          <m:jc m:val="center"/>
        </m:oMathParaPr>
        <m:oMath>
          <m:r>
            <m:rPr>
              <m:sty m:val="p"/>
            </m:rPr>
            <m:t>K ⊇ x(v) + [−1/2, 1/2]v,   v ∈ Sⁿ⁻¹</m:t>
          </m:r>
        </m:oMath>
      </m:oMathPara>
      <w:r>
        <w:rPr>
          <w:rFonts w:ascii="Cambria Math" w:hAnsi="Cambria Math" w:eastAsia="Cambria Math" w:cs="Cambria Math"/>
          <w:color w:val="333333"/>
          <w:sz w:val="19"/>
        </w:rPr>
        <w:t xml:space="preserve">    (1)</w:t>
      </w:r>
    </w:p>
    <w:p>
      <w:pPr>
        <w:pStyle w:val="Heading2"/>
        <w:keepNext/>
        <w:keepLines/>
        <w:pageBreakBefore w:val="0"/>
        <w:jc w:val="left"/>
        <w:widowControl w:val="true"/>
      </w:pPr>
      <w:r>
        <w:rPr>
          <w:rFonts w:ascii="Garamond" w:hAnsi="Garamond" w:eastAsia="Garamond" w:cs="Garamond"/>
          <w:b/>
          <w:i w:val="0"/>
          <w:color w:val="111111"/>
          <w:sz w:val="24"/>
          <w:u w:val="none"/>
        </w:rPr>
        <w:t>Common-center full-line completion</w:t>
      </w:r>
    </w:p>
    <w:p>
      <w:pPr>
        <w:keepNext w:val="0"/>
        <w:keepLines w:val="0"/>
        <w:spacing w:after="100" w:line="276" w:lineRule="auto"/>
        <w:jc w:val="both"/>
        <w:widowControl w:val="true"/>
      </w:pPr>
      <w:r>
        <w:rPr>
          <w:rFonts w:ascii="Garamond" w:hAnsi="Garamond" w:eastAsia="Garamond" w:cs="Garamond"/>
          <w:i w:val="0"/>
          <w:color w:val="111111"/>
          <w:sz w:val="23"/>
        </w:rPr>
        <w:t>If every complete line direction passes through one point x₀, then every ambient point y lies on the line through x₀ parallel to y−x₀. This is a direct set-theoretic identity, not the standard Kakeya theorem.</w:t>
      </w:r>
    </w:p>
    <w:p>
      <w:pPr>
        <w:pStyle w:val="Equation"/>
        <w:keepNext w:val="0"/>
        <w:keepLines/>
        <w:spacing w:before="80" w:after="120"/>
        <w:jc w:val="center"/>
        <w:widowControl w:val="true"/>
      </w:pPr>
      <m:oMathPara>
        <m:oMathParaPr>
          <m:jc m:val="center"/>
        </m:oMathParaPr>
        <m:oMath>
          <m:r>
            <m:rPr>
              <m:sty m:val="p"/>
            </m:rPr>
            <m:t>K∞ᶜ(x₀) = ⋃ᵥ∈Sⁿ⁻¹ {x₀ + tv : t ∈ ℝ} = ℝⁿ</m:t>
          </m:r>
        </m:oMath>
      </m:oMathPara>
      <w:r>
        <w:rPr>
          <w:rFonts w:ascii="Cambria Math" w:hAnsi="Cambria Math" w:eastAsia="Cambria Math" w:cs="Cambria Math"/>
          <w:color w:val="333333"/>
          <w:sz w:val="19"/>
        </w:rPr>
        <w:t xml:space="preserve">    (2)</w:t>
      </w:r>
    </w:p>
    <w:p>
      <w:pPr>
        <w:pStyle w:val="Equation"/>
        <w:keepNext w:val="0"/>
        <w:keepLines/>
        <w:spacing w:before="80" w:after="120"/>
        <w:jc w:val="center"/>
        <w:widowControl w:val="true"/>
      </w:pPr>
      <m:oMathPara>
        <m:oMathParaPr>
          <m:jc m:val="center"/>
        </m:oMathParaPr>
        <m:oMath>
          <m:r>
            <m:rPr>
              <m:sty m:val="p"/>
            </m:rPr>
            <m:t>mₙ(K∞ᶜ(x₀)) = ∞</m:t>
          </m:r>
        </m:oMath>
      </m:oMathPara>
      <w:r>
        <w:rPr>
          <w:rFonts w:ascii="Cambria Math" w:hAnsi="Cambria Math" w:eastAsia="Cambria Math" w:cs="Cambria Math"/>
          <w:color w:val="333333"/>
          <w:sz w:val="19"/>
        </w:rPr>
        <w:t xml:space="preserve">    (3)</w:t>
      </w:r>
    </w:p>
    <w:p>
      <w:pPr>
        <w:pStyle w:val="Heading2"/>
        <w:keepNext/>
        <w:keepLines/>
        <w:pageBreakBefore w:val="0"/>
        <w:jc w:val="left"/>
        <w:widowControl w:val="true"/>
      </w:pPr>
      <w:r>
        <w:rPr>
          <w:rFonts w:ascii="Garamond" w:hAnsi="Garamond" w:eastAsia="Garamond" w:cs="Garamond"/>
          <w:b/>
          <w:i w:val="0"/>
          <w:color w:val="111111"/>
          <w:sz w:val="24"/>
          <w:u w:val="none"/>
        </w:rPr>
        <w:t>What the ℝ³ theorem adds</w:t>
      </w:r>
    </w:p>
    <w:p>
      <w:pPr>
        <w:keepNext w:val="0"/>
        <w:keepLines w:val="0"/>
        <w:spacing w:after="100" w:line="276" w:lineRule="auto"/>
        <w:jc w:val="both"/>
        <w:widowControl w:val="true"/>
      </w:pPr>
      <w:r>
        <w:rPr>
          <w:rFonts w:ascii="Garamond" w:hAnsi="Garamond" w:eastAsia="Garamond" w:cs="Garamond"/>
          <w:i w:val="0"/>
          <w:color w:val="111111"/>
          <w:sz w:val="23"/>
        </w:rPr>
        <w:t>Wang–Zahl and the streamlined Guth–Wang–Zahl argument establish full Minkowski and Hausdorff dimension for Kakeya sets in ℝ³. Full dimension is not positive or infinite Lebesgue volume. The theorem strengthens the incidence and anti-clustering background; it does not establish a zeta-zero mechanism.</w:t>
      </w:r>
    </w:p>
    <w:tbl>
      <w:tblPr>
        <w:tblW w:type="dxa" w:w="9360"/>
        <w:jc w:val="left"/>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232"/>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7"/>
              </w:rPr>
              <w:t>Object</w:t>
            </w:r>
          </w:p>
        </w:tc>
        <w:tc>
          <w:tcPr>
            <w:tcW w:type="dxa" w:w="2880"/>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7"/>
              </w:rPr>
              <w:t>Location rule</w:t>
            </w:r>
          </w:p>
        </w:tc>
        <w:tc>
          <w:tcPr>
            <w:tcW w:type="dxa" w:w="2520"/>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7"/>
              </w:rPr>
              <w:t>Consequence</w:t>
            </w:r>
          </w:p>
        </w:tc>
        <w:tc>
          <w:tcPr>
            <w:tcW w:type="dxa" w:w="1728"/>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7"/>
              </w:rPr>
              <w:t>Status</w:t>
            </w:r>
          </w:p>
        </w:tc>
      </w:tr>
      <w:tr>
        <w:trPr>
          <w:cantSplit w:val="true"/>
        </w:trPr>
        <w:tc>
          <w:tcPr>
            <w:tcW w:type="dxa" w:w="223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Standard Kakeya set</w:t>
            </w:r>
          </w:p>
        </w:tc>
        <w:tc>
          <w:tcPr>
            <w:tcW w:type="dxa" w:w="288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Segments may translate independently</w:t>
            </w:r>
          </w:p>
        </w:tc>
        <w:tc>
          <w:tcPr>
            <w:tcW w:type="dxa" w:w="252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May have measure zero</w:t>
            </w:r>
          </w:p>
        </w:tc>
        <w:tc>
          <w:tcPr>
            <w:tcW w:type="dxa" w:w="172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275D38"/>
                <w:sz w:val="17"/>
              </w:rPr>
              <w:t>KNOWN</w:t>
            </w:r>
          </w:p>
        </w:tc>
      </w:tr>
      <w:tr>
        <w:trPr>
          <w:cantSplit w:val="true"/>
        </w:trPr>
        <w:tc>
          <w:tcPr>
            <w:tcW w:type="dxa" w:w="223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7"/>
              </w:rPr>
              <w:t>ℝ³ Kakeya set</w:t>
            </w:r>
          </w:p>
        </w:tc>
        <w:tc>
          <w:tcPr>
            <w:tcW w:type="dxa" w:w="288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Compact; one unit segment per direction</w:t>
            </w:r>
          </w:p>
        </w:tc>
        <w:tc>
          <w:tcPr>
            <w:tcW w:type="dxa" w:w="252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Full Minkowski/Hausdorff dimension 3</w:t>
            </w:r>
          </w:p>
        </w:tc>
        <w:tc>
          <w:tcPr>
            <w:tcW w:type="dxa" w:w="172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275D38"/>
                <w:sz w:val="17"/>
              </w:rPr>
              <w:t>THEOREM-BACKGROUND</w:t>
            </w:r>
          </w:p>
        </w:tc>
      </w:tr>
      <w:tr>
        <w:trPr>
          <w:cantSplit w:val="true"/>
        </w:trPr>
        <w:tc>
          <w:tcPr>
            <w:tcW w:type="dxa" w:w="223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Centered full-line completion</w:t>
            </w:r>
          </w:p>
        </w:tc>
        <w:tc>
          <w:tcPr>
            <w:tcW w:type="dxa" w:w="288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All complete lines share x₀</w:t>
            </w:r>
          </w:p>
        </w:tc>
        <w:tc>
          <w:tcPr>
            <w:tcW w:type="dxa" w:w="252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Equals ℝⁿ; infinite measure</w:t>
            </w:r>
          </w:p>
        </w:tc>
        <w:tc>
          <w:tcPr>
            <w:tcW w:type="dxa" w:w="172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275D38"/>
                <w:sz w:val="17"/>
              </w:rPr>
              <w:t>FORMAL</w:t>
            </w:r>
          </w:p>
        </w:tc>
      </w:tr>
      <w:tr>
        <w:trPr>
          <w:cantSplit w:val="true"/>
        </w:trPr>
        <w:tc>
          <w:tcPr>
            <w:tcW w:type="dxa" w:w="223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7"/>
              </w:rPr>
              <w:t>Coleman program</w:t>
            </w:r>
          </w:p>
        </w:tc>
        <w:tc>
          <w:tcPr>
            <w:tcW w:type="dxa" w:w="288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Proposed incidence necessity in exact critical-line control</w:t>
            </w:r>
          </w:p>
        </w:tc>
        <w:tc>
          <w:tcPr>
            <w:tcW w:type="dxa" w:w="252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No theorem consequence yet</w:t>
            </w:r>
          </w:p>
        </w:tc>
        <w:tc>
          <w:tcPr>
            <w:tcW w:type="dxa" w:w="172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8A5B00"/>
                <w:sz w:val="17"/>
              </w:rPr>
              <w:t>OPEN</w:t>
            </w:r>
          </w:p>
        </w:tc>
      </w:tr>
    </w:tbl>
    <w:p>
      <w:pPr>
        <w:spacing w:after="0"/>
      </w:pPr>
    </w:p>
    <w:p>
      <w:pPr>
        <w:spacing w:before="100" w:after="240" w:line="264" w:lineRule="auto"/>
        <w:ind w:left="173" w:right="115"/>
        <w:jc w:val="left"/>
        <w:shd w:val="clear" w:color="auto" w:fill="F6EAEA"/>
        <w:keepNext w:val="0"/>
        <w:keepLines/>
        <w:pBdr>
          <w:left w:val="single" w:sz="16" w:space="7" w:color="333333"/>
        </w:pBdr>
        <w:widowControl w:val="true"/>
      </w:pPr>
      <w:r>
        <w:rPr>
          <w:rFonts w:ascii="Garamond" w:hAnsi="Garamond" w:eastAsia="Garamond" w:cs="Garamond"/>
          <w:b/>
          <w:color w:val="111111"/>
          <w:sz w:val="21"/>
        </w:rPr>
        <w:t xml:space="preserve">OBJECT FIREWALL. </w:t>
      </w:r>
      <w:r>
        <w:rPr>
          <w:rFonts w:ascii="Garamond" w:hAnsi="Garamond" w:eastAsia="Garamond" w:cs="Garamond"/>
          <w:color w:val="111111"/>
          <w:sz w:val="21"/>
        </w:rPr>
        <w:t>A true statement about K∞ᶜ cannot be relabeled a theorem about standard Kakeya sets. A true Kakeya dimension theorem cannot be relabeled a critical-line theorem.</w:t>
      </w: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Coleman and Critical-Line Firewall — Updated</w:t>
      </w:r>
    </w:p>
    <w:p>
      <w:pPr>
        <w:spacing w:before="100" w:after="240" w:line="264" w:lineRule="auto"/>
        <w:ind w:left="173" w:right="115"/>
        <w:jc w:val="left"/>
        <w:shd w:val="clear" w:color="auto" w:fill="F6F0DE"/>
        <w:keepNext w:val="0"/>
        <w:keepLines/>
        <w:pBdr>
          <w:left w:val="single" w:sz="16" w:space="7" w:color="333333"/>
        </w:pBdr>
        <w:widowControl w:val="true"/>
      </w:pPr>
      <w:r>
        <w:rPr>
          <w:rFonts w:ascii="Garamond" w:hAnsi="Garamond" w:eastAsia="Garamond" w:cs="Garamond"/>
          <w:b/>
          <w:color w:val="111111"/>
          <w:sz w:val="21"/>
        </w:rPr>
        <w:t xml:space="preserve">OPEN. </w:t>
      </w:r>
      <w:r>
        <w:rPr>
          <w:rFonts w:ascii="Garamond" w:hAnsi="Garamond" w:eastAsia="Garamond" w:cs="Garamond"/>
          <w:color w:val="111111"/>
          <w:sz w:val="21"/>
        </w:rPr>
        <w:t>Coleman is published here as a necessary-antecedent research family. Nothing in this section proves RH, supplies an exact Ξ carrier, or establishes equivalence between the invariant and construction forms.</w:t>
      </w:r>
    </w:p>
    <w:p>
      <w:pPr>
        <w:pStyle w:val="Heading2"/>
        <w:keepNext/>
        <w:keepLines/>
        <w:pageBreakBefore w:val="0"/>
        <w:jc w:val="left"/>
        <w:widowControl w:val="true"/>
      </w:pPr>
      <w:r>
        <w:rPr>
          <w:rFonts w:ascii="Garamond" w:hAnsi="Garamond" w:eastAsia="Garamond" w:cs="Garamond"/>
          <w:b/>
          <w:i w:val="0"/>
          <w:color w:val="111111"/>
          <w:sz w:val="24"/>
          <w:u w:val="none"/>
        </w:rPr>
        <w:t>Closed sufficient reading</w:t>
      </w:r>
    </w:p>
    <w:p>
      <w:pPr>
        <w:pStyle w:val="Equation"/>
        <w:keepNext w:val="0"/>
        <w:keepLines/>
        <w:spacing w:before="80" w:after="120"/>
        <w:jc w:val="center"/>
        <w:widowControl w:val="true"/>
      </w:pPr>
      <m:oMathPara>
        <m:oMathParaPr>
          <m:jc m:val="center"/>
        </m:oMathParaPr>
        <m:oMath>
          <m:r>
            <m:rPr>
              <m:sty m:val="p"/>
            </m:rPr>
            <m:t>CC-S:  Kakeya(ℝ³) ⇒ RH</m:t>
          </m:r>
        </m:oMath>
      </m:oMathPara>
      <w:r>
        <w:rPr>
          <w:rFonts w:ascii="Cambria Math" w:hAnsi="Cambria Math" w:eastAsia="Cambria Math" w:cs="Cambria Math"/>
          <w:color w:val="333333"/>
          <w:sz w:val="19"/>
        </w:rPr>
        <w:t xml:space="preserve">    CLOSED as packaging</w:t>
      </w:r>
    </w:p>
    <w:p>
      <w:pPr>
        <w:keepNext w:val="0"/>
        <w:keepLines w:val="0"/>
        <w:spacing w:after="100" w:line="276" w:lineRule="auto"/>
        <w:jc w:val="both"/>
        <w:widowControl w:val="true"/>
      </w:pPr>
      <w:r>
        <w:rPr>
          <w:rFonts w:ascii="Garamond" w:hAnsi="Garamond" w:eastAsia="Garamond" w:cs="Garamond"/>
          <w:i w:val="0"/>
          <w:color w:val="111111"/>
          <w:sz w:val="23"/>
        </w:rPr>
        <w:t>Because the ℝ³ Kakeya conjecture is now theorem-level background while RH remains open, CC-S places the entire unresolved burden inside one arrow. It does not isolate an independent antecedent. Closing this packaging does not show that incidence geometry is irrelevant.</w:t>
      </w:r>
    </w:p>
    <w:p>
      <w:pPr>
        <w:pStyle w:val="Heading2"/>
        <w:keepNext/>
        <w:keepLines/>
        <w:pageBreakBefore w:val="0"/>
        <w:jc w:val="left"/>
        <w:widowControl w:val="true"/>
      </w:pPr>
      <w:r>
        <w:rPr>
          <w:rFonts w:ascii="Garamond" w:hAnsi="Garamond" w:eastAsia="Garamond" w:cs="Garamond"/>
          <w:b/>
          <w:i w:val="0"/>
          <w:color w:val="111111"/>
          <w:sz w:val="24"/>
          <w:u w:val="none"/>
        </w:rPr>
        <w:t>Canonical N-reading family</w:t>
      </w:r>
    </w:p>
    <w:p>
      <w:pPr>
        <w:spacing w:before="100" w:after="240" w:line="264" w:lineRule="auto"/>
        <w:ind w:left="173" w:right="115"/>
        <w:jc w:val="left"/>
        <w:shd w:val="clear" w:color="auto" w:fill="EAF0F5"/>
        <w:keepNext w:val="0"/>
        <w:keepLines/>
        <w:pBdr>
          <w:left w:val="single" w:sz="16" w:space="7" w:color="333333"/>
        </w:pBdr>
        <w:widowControl w:val="true"/>
      </w:pPr>
      <w:r>
        <w:rPr>
          <w:rFonts w:ascii="Garamond" w:hAnsi="Garamond" w:eastAsia="Garamond" w:cs="Garamond"/>
          <w:b/>
          <w:color w:val="111111"/>
          <w:sz w:val="21"/>
        </w:rPr>
        <w:t xml:space="preserve">CANONICAL SENTENCE. </w:t>
      </w:r>
      <w:r>
        <w:rPr>
          <w:rFonts w:ascii="Garamond" w:hAnsi="Garamond" w:eastAsia="Garamond" w:cs="Garamond"/>
          <w:color w:val="111111"/>
          <w:sz w:val="21"/>
        </w:rPr>
        <w:t>Any exact reality-controlled mechanism that realizes the non-trivial zeros of ζ as spectrum, determinant zeros, or trace data is conjectured to require an essential Kakeya-geometric incidence antecedent. Separately, the program conjectures a faithful shared invariant whose extremal value is equivalent to RH.</w:t>
      </w:r>
    </w:p>
    <w:p>
      <w:pPr>
        <w:keepNext w:val="0"/>
        <w:keepLines w:val="0"/>
        <w:spacing w:after="100" w:line="276" w:lineRule="auto"/>
        <w:jc w:val="both"/>
        <w:widowControl w:val="true"/>
      </w:pPr>
      <w:r>
        <w:rPr>
          <w:rFonts w:ascii="Garamond" w:hAnsi="Garamond" w:eastAsia="Garamond" w:cs="Garamond"/>
          <w:i w:val="0"/>
          <w:color w:val="111111"/>
          <w:sz w:val="23"/>
        </w:rPr>
        <w:t>The two sentences state CC-O and CC-I respectively. They are intentionally separate. Calling them “equivalent” is a program aspiration until a bridge theorem is supplied.</w:t>
      </w:r>
    </w:p>
    <w:tbl>
      <w:tblPr>
        <w:tblW w:type="dxa" w:w="9360"/>
        <w:jc w:val="left"/>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1800"/>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Level</w:t>
            </w:r>
          </w:p>
        </w:tc>
        <w:tc>
          <w:tcPr>
            <w:tcW w:type="dxa" w:w="3384"/>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Statement</w:t>
            </w:r>
          </w:p>
        </w:tc>
        <w:tc>
          <w:tcPr>
            <w:tcW w:type="dxa" w:w="2808"/>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Promotion test</w:t>
            </w:r>
          </w:p>
        </w:tc>
        <w:tc>
          <w:tcPr>
            <w:tcW w:type="dxa" w:w="1368"/>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Status</w:t>
            </w:r>
          </w:p>
        </w:tc>
      </w:tr>
      <w:tr>
        <w:trPr>
          <w:cantSplit w:val="true"/>
        </w:trPr>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CC-N0 · methodological</w:t>
            </w:r>
          </w:p>
        </w:tc>
        <w:tc>
          <w:tcPr>
            <w:tcW w:type="dxa" w:w="338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Kakeya/restriction geometry is an established antecedent to important zeta bounds.</w:t>
            </w:r>
          </w:p>
        </w:tc>
        <w:tc>
          <w:tcPr>
            <w:tcW w:type="dxa" w:w="280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Trace the literature dependency without claiming exact zeros.</w:t>
            </w:r>
          </w:p>
        </w:tc>
        <w:tc>
          <w:tcPr>
            <w:tcW w:type="dxa" w:w="136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275D38"/>
                <w:sz w:val="16"/>
              </w:rPr>
              <w:t>THEOREM-BACKGROUND</w:t>
            </w:r>
          </w:p>
        </w:tc>
      </w:tr>
      <w:tr>
        <w:trPr>
          <w:cantSplit w:val="true"/>
        </w:trPr>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CC-I · invariant</w:t>
            </w:r>
          </w:p>
        </w:tc>
        <w:tc>
          <w:tcPr>
            <w:tcW w:type="dxa" w:w="338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A faithful shared invariant κ exists with κ = κ* iff RH.</w:t>
            </w:r>
          </w:p>
        </w:tc>
        <w:tc>
          <w:tcPr>
            <w:tcW w:type="dxa" w:w="280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Define κ non-circularly; prove faithfulness and both directions.</w:t>
            </w:r>
          </w:p>
        </w:tc>
        <w:tc>
          <w:tcPr>
            <w:tcW w:type="dxa" w:w="136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8A5B00"/>
                <w:sz w:val="16"/>
              </w:rPr>
              <w:t>OPEN</w:t>
            </w:r>
          </w:p>
        </w:tc>
      </w:tr>
      <w:tr>
        <w:trPr>
          <w:cantSplit w:val="true"/>
        </w:trPr>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CC-O · construction</w:t>
            </w:r>
          </w:p>
        </w:tc>
        <w:tc>
          <w:tcPr>
            <w:tcW w:type="dxa" w:w="338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Every exact Ξ-realizing carrier essentially contains Kakeya incidence.</w:t>
            </w:r>
          </w:p>
        </w:tc>
        <w:tc>
          <w:tcPr>
            <w:tcW w:type="dxa" w:w="280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Define essentiality; defeat non-Kakeya exact carriers.</w:t>
            </w:r>
          </w:p>
        </w:tc>
        <w:tc>
          <w:tcPr>
            <w:tcW w:type="dxa" w:w="136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8A5B00"/>
                <w:sz w:val="16"/>
              </w:rPr>
              <w:t>OPEN</w:t>
            </w:r>
          </w:p>
        </w:tc>
      </w:tr>
    </w:tbl>
    <w:p>
      <w:pPr>
        <w:spacing w:after="0"/>
      </w:pPr>
    </w:p>
    <w:p>
      <w:pPr>
        <w:keepNext w:val="0"/>
        <w:keepLines w:val="0"/>
        <w:spacing w:after="100" w:line="276" w:lineRule="auto"/>
        <w:jc w:val="both"/>
        <w:widowControl w:val="true"/>
      </w:pPr>
      <w:r>
        <w:rPr>
          <w:rFonts w:ascii="Garamond" w:hAnsi="Garamond" w:eastAsia="Garamond" w:cs="Garamond"/>
          <w:i w:val="0"/>
          <w:color w:val="111111"/>
          <w:sz w:val="23"/>
        </w:rPr>
        <w:t>CC-N0 motivates the program but is not the Coleman theorem claim. CC-I and CC-O are the load-bearing conjectural forms.</w:t>
      </w: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CC-I — Faithful Invariant Form</w:t>
      </w:r>
    </w:p>
    <w:p>
      <w:pPr>
        <w:pStyle w:val="Heading2"/>
        <w:keepNext/>
        <w:keepLines/>
        <w:pageBreakBefore w:val="0"/>
        <w:jc w:val="left"/>
        <w:widowControl w:val="true"/>
      </w:pPr>
      <w:r>
        <w:rPr>
          <w:rFonts w:ascii="Garamond" w:hAnsi="Garamond" w:eastAsia="Garamond" w:cs="Garamond"/>
          <w:b/>
          <w:i w:val="0"/>
          <w:color w:val="111111"/>
          <w:sz w:val="24"/>
          <w:u w:val="none"/>
        </w:rPr>
        <w:t>Statement schema</w:t>
      </w:r>
    </w:p>
    <w:p>
      <w:pPr>
        <w:keepNext w:val="0"/>
        <w:keepLines w:val="0"/>
        <w:spacing w:after="100" w:line="276" w:lineRule="auto"/>
        <w:jc w:val="both"/>
        <w:widowControl w:val="true"/>
      </w:pPr>
      <w:r>
        <w:rPr>
          <w:rFonts w:ascii="Garamond" w:hAnsi="Garamond" w:eastAsia="Garamond" w:cs="Garamond"/>
          <w:i w:val="0"/>
          <w:color w:val="111111"/>
          <w:sz w:val="23"/>
        </w:rPr>
        <w:t>Let 𝔄 be an admissible class of typed geometric, carrier, and zero-location configurations. A candidate Coleman invariant is a real-valued map κ on 𝔄. Faithfulness means that the extremal value κ* detects exact critical-line location, not merely growth, restriction, subconvexity, or zero-density bounds.</w:t>
      </w:r>
    </w:p>
    <w:p>
      <w:pPr>
        <w:pStyle w:val="Equation"/>
        <w:keepNext w:val="0"/>
        <w:keepLines/>
        <w:spacing w:before="80" w:after="120"/>
        <w:jc w:val="center"/>
        <w:widowControl w:val="true"/>
      </w:pPr>
      <m:oMathPara>
        <m:oMathParaPr>
          <m:jc m:val="center"/>
        </m:oMathParaPr>
        <m:oMath>
          <m:r>
            <m:rPr>
              <m:sty m:val="p"/>
            </m:rPr>
            <m:t>CC-I:  ∃κ:𝔄→ℝ  such that  κ(a)=κ* ⇔ every non-trivial zero in a has Re(ρ)=1/2</m:t>
          </m:r>
        </m:oMath>
      </m:oMathPara>
      <w:r>
        <w:rPr>
          <w:rFonts w:ascii="Cambria Math" w:hAnsi="Cambria Math" w:eastAsia="Cambria Math" w:cs="Cambria Math"/>
          <w:color w:val="333333"/>
          <w:sz w:val="19"/>
        </w:rPr>
        <w:t xml:space="preserve">    (4)</w:t>
      </w:r>
    </w:p>
    <w:p>
      <w:pPr>
        <w:pStyle w:val="Heading2"/>
        <w:keepNext/>
        <w:keepLines/>
        <w:pageBreakBefore w:val="0"/>
        <w:jc w:val="left"/>
        <w:widowControl w:val="true"/>
      </w:pPr>
      <w:r>
        <w:rPr>
          <w:rFonts w:ascii="Garamond" w:hAnsi="Garamond" w:eastAsia="Garamond" w:cs="Garamond"/>
          <w:b/>
          <w:i w:val="0"/>
          <w:color w:val="111111"/>
          <w:sz w:val="24"/>
          <w:u w:val="none"/>
        </w:rPr>
        <w:t>Minimum faithfulness conditions</w:t>
      </w:r>
    </w:p>
    <w:p>
      <w:pPr>
        <w:keepNext w:val="0"/>
        <w:keepLines w:val="0"/>
        <w:numPr>
          <w:ilvl w:val="0"/>
          <w:numId w:val="2"/>
        </w:numPr>
        <w:spacing w:after="60"/>
        <w:ind w:left="720" w:hanging="360"/>
        <w:widowControl w:val="true"/>
      </w:pPr>
      <w:r>
        <w:rPr>
          <w:rFonts w:ascii="Garamond" w:hAnsi="Garamond" w:eastAsia="Garamond" w:cs="Garamond"/>
          <w:b/>
          <w:color w:val="111111"/>
          <w:sz w:val="23"/>
        </w:rPr>
        <w:t>Exact-location sensitivity.</w:t>
      </w:r>
      <w:r>
        <w:rPr>
          <w:rFonts w:ascii="Garamond" w:hAnsi="Garamond" w:eastAsia="Garamond" w:cs="Garamond"/>
          <w:color w:val="111111"/>
          <w:sz w:val="23"/>
        </w:rPr>
        <w:t xml:space="preserve"> Moving any non-trivial zero off the critical line must move κ away from κ*.</w:t>
      </w:r>
    </w:p>
    <w:p>
      <w:pPr>
        <w:keepNext w:val="0"/>
        <w:keepLines w:val="0"/>
        <w:numPr>
          <w:ilvl w:val="0"/>
          <w:numId w:val="2"/>
        </w:numPr>
        <w:spacing w:after="60"/>
        <w:ind w:left="720" w:hanging="360"/>
        <w:widowControl w:val="true"/>
      </w:pPr>
      <w:r>
        <w:rPr>
          <w:rFonts w:ascii="Garamond" w:hAnsi="Garamond" w:eastAsia="Garamond" w:cs="Garamond"/>
          <w:b/>
          <w:color w:val="111111"/>
          <w:sz w:val="23"/>
        </w:rPr>
        <w:t>Multiplicity sensitivity.</w:t>
      </w:r>
      <w:r>
        <w:rPr>
          <w:rFonts w:ascii="Garamond" w:hAnsi="Garamond" w:eastAsia="Garamond" w:cs="Garamond"/>
          <w:color w:val="111111"/>
          <w:sz w:val="23"/>
        </w:rPr>
        <w:t xml:space="preserve"> κ must retain zero multiplicities or an exact determinant/trace equivalent.</w:t>
      </w:r>
    </w:p>
    <w:p>
      <w:pPr>
        <w:keepNext w:val="0"/>
        <w:keepLines w:val="0"/>
        <w:numPr>
          <w:ilvl w:val="0"/>
          <w:numId w:val="2"/>
        </w:numPr>
        <w:spacing w:after="60"/>
        <w:ind w:left="720" w:hanging="360"/>
        <w:widowControl w:val="true"/>
      </w:pPr>
      <w:r>
        <w:rPr>
          <w:rFonts w:ascii="Garamond" w:hAnsi="Garamond" w:eastAsia="Garamond" w:cs="Garamond"/>
          <w:b/>
          <w:color w:val="111111"/>
          <w:sz w:val="23"/>
        </w:rPr>
        <w:t>Counting compatibility.</w:t>
      </w:r>
      <w:r>
        <w:rPr>
          <w:rFonts w:ascii="Garamond" w:hAnsi="Garamond" w:eastAsia="Garamond" w:cs="Garamond"/>
          <w:color w:val="111111"/>
          <w:sz w:val="23"/>
        </w:rPr>
        <w:t xml:space="preserve"> The carrier must reproduce the Riemann–von Mangoldt T log T scale.</w:t>
      </w:r>
    </w:p>
    <w:p>
      <w:pPr>
        <w:keepNext w:val="0"/>
        <w:keepLines w:val="0"/>
        <w:numPr>
          <w:ilvl w:val="0"/>
          <w:numId w:val="2"/>
        </w:numPr>
        <w:spacing w:after="60"/>
        <w:ind w:left="720" w:hanging="360"/>
        <w:widowControl w:val="true"/>
      </w:pPr>
      <w:r>
        <w:rPr>
          <w:rFonts w:ascii="Garamond" w:hAnsi="Garamond" w:eastAsia="Garamond" w:cs="Garamond"/>
          <w:b/>
          <w:color w:val="111111"/>
          <w:sz w:val="23"/>
        </w:rPr>
        <w:t>Non-circularity.</w:t>
      </w:r>
      <w:r>
        <w:rPr>
          <w:rFonts w:ascii="Garamond" w:hAnsi="Garamond" w:eastAsia="Garamond" w:cs="Garamond"/>
          <w:color w:val="111111"/>
          <w:sz w:val="23"/>
        </w:rPr>
        <w:t xml:space="preserve"> The target zero set may not be inserted into κ and then claimed as recovered.</w:t>
      </w:r>
    </w:p>
    <w:p>
      <w:pPr>
        <w:keepNext w:val="0"/>
        <w:keepLines w:val="0"/>
        <w:numPr>
          <w:ilvl w:val="0"/>
          <w:numId w:val="2"/>
        </w:numPr>
        <w:spacing w:after="60"/>
        <w:ind w:left="720" w:hanging="360"/>
        <w:widowControl w:val="true"/>
      </w:pPr>
      <w:r>
        <w:rPr>
          <w:rFonts w:ascii="Garamond" w:hAnsi="Garamond" w:eastAsia="Garamond" w:cs="Garamond"/>
          <w:b/>
          <w:color w:val="111111"/>
          <w:sz w:val="23"/>
        </w:rPr>
        <w:t>Geometric necessity.</w:t>
      </w:r>
      <w:r>
        <w:rPr>
          <w:rFonts w:ascii="Garamond" w:hAnsi="Garamond" w:eastAsia="Garamond" w:cs="Garamond"/>
          <w:color w:val="111111"/>
          <w:sz w:val="23"/>
        </w:rPr>
        <w:t xml:space="preserve"> Removing the named incidence structure must prevent κ* while admissibility is held fixed.</w:t>
      </w:r>
    </w:p>
    <w:p>
      <w:pPr>
        <w:spacing w:before="100" w:after="240" w:line="264" w:lineRule="auto"/>
        <w:ind w:left="173" w:right="115"/>
        <w:jc w:val="left"/>
        <w:shd w:val="clear" w:color="auto" w:fill="F6F0DE"/>
        <w:keepNext w:val="0"/>
        <w:keepLines/>
        <w:pBdr>
          <w:left w:val="single" w:sz="16" w:space="7" w:color="333333"/>
        </w:pBdr>
        <w:widowControl w:val="true"/>
      </w:pPr>
      <w:r>
        <w:rPr>
          <w:rFonts w:ascii="Garamond" w:hAnsi="Garamond" w:eastAsia="Garamond" w:cs="Garamond"/>
          <w:b/>
          <w:color w:val="111111"/>
          <w:sz w:val="21"/>
        </w:rPr>
        <w:t xml:space="preserve">OPEN OBLIGATION · OP1. </w:t>
      </w:r>
      <w:r>
        <w:rPr>
          <w:rFonts w:ascii="Garamond" w:hAnsi="Garamond" w:eastAsia="Garamond" w:cs="Garamond"/>
          <w:color w:val="111111"/>
          <w:sz w:val="21"/>
        </w:rPr>
        <w:t>Define κ without using RH as a hidden input, and prove both exact-location faithfulness and geometric necessity. A bound exponent alone reaches at most a Lindelöf-type ceiling.</w:t>
      </w:r>
    </w:p>
    <w:p>
      <w:pPr>
        <w:pStyle w:val="Heading2"/>
        <w:keepNext/>
        <w:keepLines/>
        <w:pageBreakBefore w:val="0"/>
        <w:jc w:val="left"/>
        <w:widowControl w:val="true"/>
      </w:pPr>
      <w:r>
        <w:rPr>
          <w:rFonts w:ascii="Garamond" w:hAnsi="Garamond" w:eastAsia="Garamond" w:cs="Garamond"/>
          <w:b/>
          <w:i w:val="0"/>
          <w:color w:val="111111"/>
          <w:sz w:val="24"/>
          <w:u w:val="none"/>
        </w:rPr>
        <w:t>Primary CC-I falsifier</w:t>
      </w:r>
    </w:p>
    <w:p>
      <w:pPr>
        <w:keepNext w:val="0"/>
        <w:keepLines w:val="0"/>
        <w:spacing w:after="100" w:line="276" w:lineRule="auto"/>
        <w:jc w:val="both"/>
        <w:widowControl w:val="true"/>
      </w:pPr>
      <w:r>
        <w:rPr>
          <w:rFonts w:ascii="Garamond" w:hAnsi="Garamond" w:eastAsia="Garamond" w:cs="Garamond"/>
          <w:b/>
          <w:color w:val="111111"/>
          <w:sz w:val="23"/>
        </w:rPr>
        <w:t>F-CC-I-1.</w:t>
      </w:r>
      <w:r>
        <w:rPr>
          <w:rFonts w:ascii="Garamond" w:hAnsi="Garamond" w:eastAsia="Garamond" w:cs="Garamond"/>
          <w:i w:val="0"/>
          <w:color w:val="111111"/>
          <w:sz w:val="23"/>
        </w:rPr>
        <w:t xml:space="preserve"> An admissible configuration attains κ* while containing an off-critical non-trivial zero. This falsifies the proposed invariant or its normalization.</w:t>
      </w: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CC-O — Operator-Construction Form</w:t>
      </w:r>
    </w:p>
    <w:p>
      <w:pPr>
        <w:pStyle w:val="Heading2"/>
        <w:keepNext/>
        <w:keepLines/>
        <w:pageBreakBefore w:val="0"/>
        <w:jc w:val="left"/>
        <w:widowControl w:val="true"/>
      </w:pPr>
      <w:r>
        <w:rPr>
          <w:rFonts w:ascii="Garamond" w:hAnsi="Garamond" w:eastAsia="Garamond" w:cs="Garamond"/>
          <w:b/>
          <w:i w:val="0"/>
          <w:color w:val="111111"/>
          <w:sz w:val="24"/>
          <w:u w:val="none"/>
        </w:rPr>
        <w:t>Admissible exact carrier</w:t>
      </w:r>
    </w:p>
    <w:p>
      <w:pPr>
        <w:keepNext w:val="0"/>
        <w:keepLines w:val="0"/>
        <w:spacing w:after="100" w:line="276" w:lineRule="auto"/>
        <w:jc w:val="both"/>
        <w:widowControl w:val="true"/>
      </w:pPr>
      <w:r>
        <w:rPr>
          <w:rFonts w:ascii="Garamond" w:hAnsi="Garamond" w:eastAsia="Garamond" w:cs="Garamond"/>
          <w:i w:val="0"/>
          <w:color w:val="111111"/>
          <w:sz w:val="23"/>
        </w:rPr>
        <w:t>Let 𝔅Ξ be the class of operators or theorem-equivalent reality-controlled carriers for which domain, reality, regularization, multiplicity, counting, and the trace/explicit-formula relation are defined. Exactness requires a normalized identity that recovers Ξ, not a finite-window correlation.</w:t>
      </w:r>
    </w:p>
    <w:p>
      <w:pPr>
        <w:pStyle w:val="Equation"/>
        <w:keepNext w:val="0"/>
        <w:keepLines/>
        <w:spacing w:before="80" w:after="120"/>
        <w:jc w:val="center"/>
        <w:widowControl w:val="true"/>
      </w:pPr>
      <m:oMathPara>
        <m:oMathParaPr>
          <m:jc m:val="center"/>
        </m:oMathParaPr>
        <m:oMath>
          <m:r>
            <m:rPr>
              <m:sty m:val="p"/>
            </m:rPr>
            <m:t>ExactΞ(B) : detζ(I − zB) = c·Ξ(az+b)</m:t>
          </m:r>
        </m:oMath>
      </m:oMathPara>
      <w:r>
        <w:rPr>
          <w:rFonts w:ascii="Cambria Math" w:hAnsi="Cambria Math" w:eastAsia="Cambria Math" w:cs="Cambria Math"/>
          <w:color w:val="333333"/>
          <w:sz w:val="19"/>
        </w:rPr>
        <w:t xml:space="preserve">    schematic (5)</w:t>
      </w:r>
    </w:p>
    <w:p>
      <w:pPr>
        <w:pStyle w:val="Heading2"/>
        <w:keepNext/>
        <w:keepLines/>
        <w:pageBreakBefore w:val="0"/>
        <w:jc w:val="left"/>
        <w:widowControl w:val="true"/>
      </w:pPr>
      <w:r>
        <w:rPr>
          <w:rFonts w:ascii="Garamond" w:hAnsi="Garamond" w:eastAsia="Garamond" w:cs="Garamond"/>
          <w:b/>
          <w:i w:val="0"/>
          <w:color w:val="111111"/>
          <w:sz w:val="24"/>
          <w:u w:val="none"/>
        </w:rPr>
        <w:t>Quantified Coleman statement</w:t>
      </w:r>
    </w:p>
    <w:p>
      <w:pPr>
        <w:pStyle w:val="Equation"/>
        <w:keepNext w:val="0"/>
        <w:keepLines/>
        <w:spacing w:before="80" w:after="120"/>
        <w:jc w:val="center"/>
        <w:widowControl w:val="true"/>
      </w:pPr>
      <m:oMathPara>
        <m:oMathParaPr>
          <m:jc m:val="center"/>
        </m:oMathParaPr>
        <m:oMath>
          <m:r>
            <m:rPr>
              <m:sty m:val="p"/>
            </m:rPr>
            <m:t>CC-O:  ∀B∈𝔅Ξ,  ExactΞ(B) ⇒ EssentialKakeya(B)</m:t>
          </m:r>
        </m:oMath>
      </m:oMathPara>
      <w:r>
        <w:rPr>
          <w:rFonts w:ascii="Cambria Math" w:hAnsi="Cambria Math" w:eastAsia="Cambria Math" w:cs="Cambria Math"/>
          <w:color w:val="333333"/>
          <w:sz w:val="19"/>
        </w:rPr>
        <w:t xml:space="preserve">    (6)</w:t>
      </w:r>
    </w:p>
    <w:p>
      <w:pPr>
        <w:keepNext w:val="0"/>
        <w:keepLines w:val="0"/>
        <w:spacing w:after="100" w:line="276" w:lineRule="auto"/>
        <w:jc w:val="both"/>
        <w:widowControl w:val="true"/>
      </w:pPr>
      <w:r>
        <w:rPr>
          <w:rFonts w:ascii="Garamond" w:hAnsi="Garamond" w:eastAsia="Garamond" w:cs="Garamond"/>
          <w:i w:val="0"/>
          <w:color w:val="111111"/>
          <w:sz w:val="23"/>
        </w:rPr>
        <w:t>In words: every exact Ξ-realizing reality carrier contains an essential Kakeya-incidence factor in its construction. This is PROPOSED / OPEN.</w:t>
      </w:r>
    </w:p>
    <w:p>
      <w:pPr>
        <w:pStyle w:val="Heading2"/>
        <w:keepNext/>
        <w:keepLines/>
        <w:pageBreakBefore w:val="0"/>
        <w:jc w:val="left"/>
        <w:widowControl w:val="true"/>
      </w:pPr>
      <w:r>
        <w:rPr>
          <w:rFonts w:ascii="Garamond" w:hAnsi="Garamond" w:eastAsia="Garamond" w:cs="Garamond"/>
          <w:b/>
          <w:i w:val="0"/>
          <w:color w:val="111111"/>
          <w:sz w:val="24"/>
          <w:u w:val="none"/>
        </w:rPr>
        <w:t>Candidate essentiality test</w:t>
      </w:r>
    </w:p>
    <w:p>
      <w:pPr>
        <w:pStyle w:val="Equation"/>
        <w:keepNext w:val="0"/>
        <w:keepLines/>
        <w:spacing w:before="80" w:after="120"/>
        <w:jc w:val="center"/>
        <w:widowControl w:val="true"/>
      </w:pPr>
      <m:oMathPara>
        <m:oMathParaPr>
          <m:jc m:val="center"/>
        </m:oMathParaPr>
        <m:oMath>
          <m:r>
            <m:rPr>
              <m:sty m:val="p"/>
            </m:rPr>
            <m:t>RemoveK(B) admissible ⇒ ¬ExactΞ(RemoveK(B))</m:t>
          </m:r>
        </m:oMath>
      </m:oMathPara>
      <w:r>
        <w:rPr>
          <w:rFonts w:ascii="Cambria Math" w:hAnsi="Cambria Math" w:eastAsia="Cambria Math" w:cs="Cambria Math"/>
          <w:color w:val="333333"/>
          <w:sz w:val="19"/>
        </w:rPr>
        <w:t xml:space="preserve">    candidate (7)</w:t>
      </w:r>
    </w:p>
    <w:p>
      <w:pPr>
        <w:keepNext w:val="0"/>
        <w:keepLines w:val="0"/>
        <w:spacing w:after="100" w:line="276" w:lineRule="auto"/>
        <w:jc w:val="both"/>
        <w:widowControl w:val="true"/>
      </w:pPr>
      <w:r>
        <w:rPr>
          <w:rFonts w:ascii="Garamond" w:hAnsi="Garamond" w:eastAsia="Garamond" w:cs="Garamond"/>
          <w:i w:val="0"/>
          <w:color w:val="111111"/>
          <w:sz w:val="23"/>
        </w:rPr>
        <w:t>The deletion test is an engineering criterion, not yet a theorem-equivalent definition. It must be strengthened to handle admissible deformations, equivalent representations, and hidden incidence encodings.</w:t>
      </w:r>
    </w:p>
    <w:tbl>
      <w:tblPr>
        <w:tblW w:type="dxa" w:w="9360"/>
        <w:jc w:val="left"/>
        <w:tblLayout w:type="fixed"/>
        <w:tblLook w:firstColumn="1" w:firstRow="1" w:lastColumn="0" w:lastRow="0" w:noHBand="0" w:noVBand="1" w:val="04A0"/>
      </w:tblPr>
      <w:tblGrid>
        <w:gridCol w:w="3120"/>
        <w:gridCol w:w="3120"/>
        <w:gridCol w:w="3120"/>
      </w:tblGrid>
      <w:tr>
        <w:trPr>
          <w:tblHeader w:val="true"/>
          <w:cantSplit w:val="true"/>
        </w:trPr>
        <w:tc>
          <w:tcPr>
            <w:tcW w:type="dxa" w:w="2088"/>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7"/>
              </w:rPr>
              <w:t>Carrier obligation</w:t>
            </w:r>
          </w:p>
        </w:tc>
        <w:tc>
          <w:tcPr>
            <w:tcW w:type="dxa" w:w="4320"/>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7"/>
              </w:rPr>
              <w:t>Required receipt</w:t>
            </w:r>
          </w:p>
        </w:tc>
        <w:tc>
          <w:tcPr>
            <w:tcW w:type="dxa" w:w="2951"/>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7"/>
              </w:rPr>
              <w:t>Failure signal</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Domain</w:t>
            </w:r>
          </w:p>
        </w:tc>
        <w:tc>
          <w:tcPr>
            <w:tcW w:type="dxa" w:w="432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Closed densely defined operator or explicit substitute</w:t>
            </w:r>
          </w:p>
        </w:tc>
        <w:tc>
          <w:tcPr>
            <w:tcW w:type="dxa" w:w="295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Formal expression without valid operator</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7"/>
              </w:rPr>
              <w:t>Reality</w:t>
            </w:r>
          </w:p>
        </w:tc>
        <w:tc>
          <w:tcPr>
            <w:tcW w:type="dxa" w:w="432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Self-adjointness, positivity, or theorem-equivalent mechanism</w:t>
            </w:r>
          </w:p>
        </w:tc>
        <w:tc>
          <w:tcPr>
            <w:tcW w:type="dxa" w:w="295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Complex spectrum without critical-line control</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Prime content</w:t>
            </w:r>
          </w:p>
        </w:tc>
        <w:tc>
          <w:tcPr>
            <w:tcW w:type="dxa" w:w="432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log(pᵏ), Λ(pᵏ)p⁻ᵏ/², and archimedean term</w:t>
            </w:r>
          </w:p>
        </w:tc>
        <w:tc>
          <w:tcPr>
            <w:tcW w:type="dxa" w:w="295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Pure geometry with wrong arithmetic</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7"/>
              </w:rPr>
              <w:t>Counting</w:t>
            </w:r>
          </w:p>
        </w:tc>
        <w:tc>
          <w:tcPr>
            <w:tcW w:type="dxa" w:w="432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Riemann–von Mangoldt asymptotics</w:t>
            </w:r>
          </w:p>
        </w:tc>
        <w:tc>
          <w:tcPr>
            <w:tcW w:type="dxa" w:w="295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Polynomial or finite-window substitute</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Exact identity</w:t>
            </w:r>
          </w:p>
        </w:tc>
        <w:tc>
          <w:tcPr>
            <w:tcW w:type="dxa" w:w="432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Determinant/trace formula recovering Ξ with multiplicity</w:t>
            </w:r>
          </w:p>
        </w:tc>
        <w:tc>
          <w:tcPr>
            <w:tcW w:type="dxa" w:w="295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Numerical resemblance only</w:t>
            </w:r>
          </w:p>
        </w:tc>
      </w:tr>
    </w:tbl>
    <w:p>
      <w:pPr>
        <w:spacing w:after="0"/>
      </w:pP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Prime-Carrying Relocation and Closed Routes</w:t>
      </w:r>
    </w:p>
    <w:p>
      <w:pPr>
        <w:keepNext w:val="0"/>
        <w:keepLines w:val="0"/>
        <w:spacing w:after="100" w:line="276" w:lineRule="auto"/>
        <w:jc w:val="both"/>
        <w:widowControl w:val="true"/>
      </w:pPr>
      <w:r>
        <w:rPr>
          <w:rFonts w:ascii="Garamond" w:hAnsi="Garamond" w:eastAsia="Garamond" w:cs="Garamond"/>
          <w:i w:val="0"/>
          <w:color w:val="111111"/>
          <w:sz w:val="23"/>
        </w:rPr>
        <w:t>The formal update narrows the live route. Square-difference and bounded relative-determinant constructions remain useful obstruction maps, but they do not supply the arithmetic lengths, weights, counting density, or spectral reality required for Ξ.</w:t>
      </w:r>
    </w:p>
    <w:p>
      <w:pPr>
        <w:pStyle w:val="Equation"/>
        <w:keepNext w:val="0"/>
        <w:keepLines/>
        <w:spacing w:before="80" w:after="120"/>
        <w:jc w:val="center"/>
        <w:widowControl w:val="true"/>
      </w:pPr>
      <m:oMathPara>
        <m:oMathParaPr>
          <m:jc m:val="center"/>
        </m:oMathParaPr>
        <m:oMath>
          <m:r>
            <m:rPr>
              <m:sty m:val="p"/>
            </m:rPr>
            <m:t>lengths = log(pᵏ),   weights = Λ(pᵏ)p⁻ᵏ/²,   N(T) ~ (T/2π)log(T/2π) − T/2π</m:t>
          </m:r>
        </m:oMath>
      </m:oMathPara>
      <w:r>
        <w:rPr>
          <w:rFonts w:ascii="Cambria Math" w:hAnsi="Cambria Math" w:eastAsia="Cambria Math" w:cs="Cambria Math"/>
          <w:color w:val="333333"/>
          <w:sz w:val="19"/>
        </w:rPr>
        <w:t xml:space="preserve">    (8)</w:t>
      </w:r>
    </w:p>
    <w:tbl>
      <w:tblPr>
        <w:tblW w:type="dxa" w:w="9360"/>
        <w:jc w:val="left"/>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1944"/>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Lane</w:t>
            </w:r>
          </w:p>
        </w:tc>
        <w:tc>
          <w:tcPr>
            <w:tcW w:type="dxa" w:w="2592"/>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Result</w:t>
            </w:r>
          </w:p>
        </w:tc>
        <w:tc>
          <w:tcPr>
            <w:tcW w:type="dxa" w:w="3240"/>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Coleman consequence</w:t>
            </w:r>
          </w:p>
        </w:tc>
        <w:tc>
          <w:tcPr>
            <w:tcW w:type="dxa" w:w="1584"/>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Status</w:t>
            </w:r>
          </w:p>
        </w:tc>
      </w:tr>
      <w:tr>
        <w:trPr>
          <w:cantSplit w:val="true"/>
        </w:trPr>
        <w:tc>
          <w:tcPr>
            <w:tcW w:type="dxa" w:w="194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Direct eigenvalue ladder</w:t>
            </w:r>
          </w:p>
        </w:tc>
        <w:tc>
          <w:tcPr>
            <w:tcW w:type="dxa" w:w="259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Wrong counting class</w:t>
            </w:r>
          </w:p>
        </w:tc>
        <w:tc>
          <w:tcPr>
            <w:tcW w:type="dxa" w:w="32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No eigenvalue-by-eigenvalue identification</w:t>
            </w:r>
          </w:p>
        </w:tc>
        <w:tc>
          <w:tcPr>
            <w:tcW w:type="dxa" w:w="158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9B2C2C"/>
                <w:sz w:val="16"/>
              </w:rPr>
              <w:t>CLOSED</w:t>
            </w:r>
          </w:p>
        </w:tc>
      </w:tr>
      <w:tr>
        <w:trPr>
          <w:cantSplit w:val="true"/>
        </w:trPr>
        <w:tc>
          <w:tcPr>
            <w:tcW w:type="dxa" w:w="194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Square-difference Kσ</w:t>
            </w:r>
          </w:p>
        </w:tc>
        <w:tc>
          <w:tcPr>
            <w:tcW w:type="dxa" w:w="259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Order/genus/density pincer</w:t>
            </w:r>
          </w:p>
        </w:tc>
        <w:tc>
          <w:tcPr>
            <w:tcW w:type="dxa" w:w="32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Determinant realization closed for that kernel</w:t>
            </w:r>
          </w:p>
        </w:tc>
        <w:tc>
          <w:tcPr>
            <w:tcW w:type="dxa" w:w="158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9B2C2C"/>
                <w:sz w:val="16"/>
              </w:rPr>
              <w:t>CLOSED-NEGATIVE</w:t>
            </w:r>
          </w:p>
        </w:tc>
      </w:tr>
      <w:tr>
        <w:trPr>
          <w:cantSplit w:val="true"/>
        </w:trPr>
        <w:tc>
          <w:tcPr>
            <w:tcW w:type="dxa" w:w="194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Bounded WP5b</w:t>
            </w:r>
          </w:p>
        </w:tc>
        <w:tc>
          <w:tcPr>
            <w:tcW w:type="dxa" w:w="259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Bounded thin spectral shift</w:t>
            </w:r>
          </w:p>
        </w:tc>
        <w:tc>
          <w:tcPr>
            <w:tcW w:type="dxa" w:w="32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Cannot create full Ξ data</w:t>
            </w:r>
          </w:p>
        </w:tc>
        <w:tc>
          <w:tcPr>
            <w:tcW w:type="dxa" w:w="158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9B2C2C"/>
                <w:sz w:val="16"/>
              </w:rPr>
              <w:t>CLOSED-NEGATIVE</w:t>
            </w:r>
          </w:p>
        </w:tc>
      </w:tr>
      <w:tr>
        <w:trPr>
          <w:cantSplit w:val="true"/>
        </w:trPr>
        <w:tc>
          <w:tcPr>
            <w:tcW w:type="dxa" w:w="194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Flow-sensitive WP5c</w:t>
            </w:r>
          </w:p>
        </w:tc>
        <w:tc>
          <w:tcPr>
            <w:tcW w:type="dxa" w:w="259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Trace data can move with the flow</w:t>
            </w:r>
          </w:p>
        </w:tc>
        <w:tc>
          <w:tcPr>
            <w:tcW w:type="dxa" w:w="32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Possible continuation; no exact bridge</w:t>
            </w:r>
          </w:p>
        </w:tc>
        <w:tc>
          <w:tcPr>
            <w:tcW w:type="dxa" w:w="158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8A5B00"/>
                <w:sz w:val="16"/>
              </w:rPr>
              <w:t>OPEN</w:t>
            </w:r>
          </w:p>
        </w:tc>
      </w:tr>
      <w:tr>
        <w:trPr>
          <w:cantSplit w:val="true"/>
        </w:trPr>
        <w:tc>
          <w:tcPr>
            <w:tcW w:type="dxa" w:w="194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Prime-carrying L3</w:t>
            </w:r>
          </w:p>
        </w:tc>
        <w:tc>
          <w:tcPr>
            <w:tcW w:type="dxa" w:w="259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Correct arithmetic lengths and weights</w:t>
            </w:r>
          </w:p>
        </w:tc>
        <w:tc>
          <w:tcPr>
            <w:tcW w:type="dxa" w:w="32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Forced live relocation target</w:t>
            </w:r>
          </w:p>
        </w:tc>
        <w:tc>
          <w:tcPr>
            <w:tcW w:type="dxa" w:w="158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8A5B00"/>
                <w:sz w:val="16"/>
              </w:rPr>
              <w:t>OPEN</w:t>
            </w:r>
          </w:p>
        </w:tc>
      </w:tr>
    </w:tbl>
    <w:p>
      <w:pPr>
        <w:spacing w:after="0"/>
      </w:pPr>
    </w:p>
    <w:p>
      <w:pPr>
        <w:spacing w:before="100" w:after="240" w:line="264" w:lineRule="auto"/>
        <w:ind w:left="173" w:right="115"/>
        <w:jc w:val="left"/>
        <w:shd w:val="clear" w:color="auto" w:fill="F6EAEA"/>
        <w:keepNext w:val="0"/>
        <w:keepLines/>
        <w:pBdr>
          <w:left w:val="single" w:sz="16" w:space="7" w:color="333333"/>
        </w:pBdr>
        <w:widowControl w:val="true"/>
      </w:pPr>
      <w:r>
        <w:rPr>
          <w:rFonts w:ascii="Garamond" w:hAnsi="Garamond" w:eastAsia="Garamond" w:cs="Garamond"/>
          <w:b/>
          <w:color w:val="111111"/>
          <w:sz w:val="21"/>
        </w:rPr>
        <w:t xml:space="preserve">MISSING RUNG. </w:t>
      </w:r>
      <w:r>
        <w:rPr>
          <w:rFonts w:ascii="Garamond" w:hAnsi="Garamond" w:eastAsia="Garamond" w:cs="Garamond"/>
          <w:color w:val="111111"/>
          <w:sz w:val="21"/>
        </w:rPr>
        <w:t>Construct a non-circular map from Kakeya placement/incidence data into an exact prime-carrying reality carrier with the correct domain, counting, multiplicity, trace, and Ξ identity.</w:t>
      </w: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Analysis — Conjecture Custody and Circular Alignment</w:t>
      </w:r>
    </w:p>
    <w:p>
      <w:pPr>
        <w:pStyle w:val="Heading2"/>
        <w:keepNext/>
        <w:keepLines/>
        <w:pageBreakBefore w:val="0"/>
        <w:jc w:val="left"/>
        <w:widowControl w:val="true"/>
      </w:pPr>
      <w:r>
        <w:rPr>
          <w:rFonts w:ascii="Garamond" w:hAnsi="Garamond" w:eastAsia="Garamond" w:cs="Garamond"/>
          <w:b/>
          <w:i w:val="0"/>
          <w:color w:val="111111"/>
          <w:sz w:val="24"/>
          <w:u w:val="none"/>
        </w:rPr>
        <w:t>Convention as prior, not veto</w:t>
      </w:r>
    </w:p>
    <w:p>
      <w:pPr>
        <w:keepNext w:val="0"/>
        <w:keepLines w:val="0"/>
        <w:spacing w:after="100" w:line="276" w:lineRule="auto"/>
        <w:jc w:val="both"/>
        <w:widowControl w:val="true"/>
      </w:pPr>
      <w:r>
        <w:rPr>
          <w:rFonts w:ascii="Garamond" w:hAnsi="Garamond" w:eastAsia="Garamond" w:cs="Garamond"/>
          <w:i w:val="0"/>
          <w:color w:val="111111"/>
          <w:sz w:val="23"/>
        </w:rPr>
        <w:t>The standard definition should dominate until a different object is specified. The user’s scope correction changes the model under discussion; it does not by itself increase the probability that a Coleman or RH bridge is true. Convention supplies a prior. Independent receipts supply the update.</w:t>
      </w:r>
    </w:p>
    <w:p>
      <w:pPr>
        <w:pStyle w:val="Equation"/>
        <w:keepNext w:val="0"/>
        <w:keepLines/>
        <w:spacing w:before="80" w:after="120"/>
        <w:jc w:val="center"/>
        <w:widowControl w:val="true"/>
      </w:pPr>
      <m:oMathPara>
        <m:oMathParaPr>
          <m:jc m:val="center"/>
        </m:oMathParaPr>
        <m:oMath>
          <m:r>
            <m:rPr>
              <m:sty m:val="p"/>
            </m:rPr>
            <m:t>log Oₙ₊₁(q) = log Oₙ(q) + log[P(Eₙ|q) / P(Eₙ|¬q)]</m:t>
          </m:r>
        </m:oMath>
      </m:oMathPara>
      <w:r>
        <w:rPr>
          <w:rFonts w:ascii="Cambria Math" w:hAnsi="Cambria Math" w:eastAsia="Cambria Math" w:cs="Cambria Math"/>
          <w:color w:val="333333"/>
          <w:sz w:val="19"/>
        </w:rPr>
        <w:t xml:space="preserve">    (9)</w:t>
      </w:r>
    </w:p>
    <w:p>
      <w:pPr>
        <w:pStyle w:val="Heading2"/>
        <w:keepNext/>
        <w:keepLines/>
        <w:pageBreakBefore w:val="0"/>
        <w:jc w:val="left"/>
        <w:widowControl w:val="true"/>
      </w:pPr>
      <w:r>
        <w:rPr>
          <w:rFonts w:ascii="Garamond" w:hAnsi="Garamond" w:eastAsia="Garamond" w:cs="Garamond"/>
          <w:b/>
          <w:i w:val="0"/>
          <w:color w:val="111111"/>
          <w:sz w:val="24"/>
          <w:u w:val="none"/>
        </w:rPr>
        <w:t>Circular research loop</w:t>
      </w:r>
    </w:p>
    <w:p>
      <w:pPr>
        <w:keepNext w:val="0"/>
        <w:keepLines w:val="0"/>
        <w:spacing w:after="100" w:line="276" w:lineRule="auto"/>
        <w:jc w:val="both"/>
        <w:widowControl w:val="true"/>
      </w:pPr>
      <w:r>
        <w:rPr>
          <w:rFonts w:ascii="Garamond" w:hAnsi="Garamond" w:eastAsia="Garamond" w:cs="Garamond"/>
          <w:i w:val="0"/>
          <w:color w:val="111111"/>
          <w:sz w:val="23"/>
        </w:rPr>
        <w:t>A productive loop protects the question while exposing the answer. A captured loop protects the answer and admits only evidence that preserves it. User capture and convention capture are dual failures: one treats preference as truth; the other treats prevailing consensus as an irrevocable veto.</w:t>
      </w:r>
    </w:p>
    <w:tbl>
      <w:tblPr>
        <w:tblW w:type="dxa" w:w="9360"/>
        <w:jc w:val="left"/>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1512"/>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Scale</w:t>
            </w:r>
          </w:p>
        </w:tc>
        <w:tc>
          <w:tcPr>
            <w:tcW w:type="dxa" w:w="2664"/>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Expansion</w:t>
            </w:r>
          </w:p>
        </w:tc>
        <w:tc>
          <w:tcPr>
            <w:tcW w:type="dxa" w:w="2376"/>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Capture</w:t>
            </w:r>
          </w:p>
        </w:tc>
        <w:tc>
          <w:tcPr>
            <w:tcW w:type="dxa" w:w="2808"/>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Required invariant</w:t>
            </w:r>
          </w:p>
        </w:tc>
      </w:tr>
      <w:tr>
        <w:trPr>
          <w:cantSplit w:val="true"/>
        </w:trPr>
        <w:tc>
          <w:tcPr>
            <w:tcW w:type="dxa" w:w="151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Research dyad</w:t>
            </w:r>
          </w:p>
        </w:tc>
        <w:tc>
          <w:tcPr>
            <w:tcW w:type="dxa" w:w="266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User supplies conjecture; system formalizes and tests</w:t>
            </w:r>
          </w:p>
        </w:tc>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Sycophancy or automatic dismissal</w:t>
            </w:r>
          </w:p>
        </w:tc>
        <w:tc>
          <w:tcPr>
            <w:tcW w:type="dxa" w:w="280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Evidence can defeat preference and convention</w:t>
            </w:r>
          </w:p>
        </w:tc>
      </w:tr>
      <w:tr>
        <w:trPr>
          <w:cantSplit w:val="true"/>
        </w:trPr>
        <w:tc>
          <w:tcPr>
            <w:tcW w:type="dxa" w:w="151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Research group</w:t>
            </w:r>
          </w:p>
        </w:tc>
        <w:tc>
          <w:tcPr>
            <w:tcW w:type="dxa" w:w="266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Parallel derivations and counterexamples</w:t>
            </w:r>
          </w:p>
        </w:tc>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Shared evaluator and correlated blind spots</w:t>
            </w:r>
          </w:p>
        </w:tc>
        <w:tc>
          <w:tcPr>
            <w:tcW w:type="dxa" w:w="280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Independent recomputation and dissent</w:t>
            </w:r>
          </w:p>
        </w:tc>
      </w:tr>
      <w:tr>
        <w:trPr>
          <w:cantSplit w:val="true"/>
        </w:trPr>
        <w:tc>
          <w:tcPr>
            <w:tcW w:type="dxa" w:w="151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Institution</w:t>
            </w:r>
          </w:p>
        </w:tc>
        <w:tc>
          <w:tcPr>
            <w:tcW w:type="dxa" w:w="266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Durable provenance and reproducibility</w:t>
            </w:r>
          </w:p>
        </w:tc>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Metric monoculture and gatekeeper lock-in</w:t>
            </w:r>
          </w:p>
        </w:tc>
        <w:tc>
          <w:tcPr>
            <w:tcW w:type="dxa" w:w="280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Plural audits, correction budget, fork/exit</w:t>
            </w:r>
          </w:p>
        </w:tc>
      </w:tr>
      <w:tr>
        <w:trPr>
          <w:cantSplit w:val="true"/>
        </w:trPr>
        <w:tc>
          <w:tcPr>
            <w:tcW w:type="dxa" w:w="151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Society</w:t>
            </w:r>
          </w:p>
        </w:tc>
        <w:tc>
          <w:tcPr>
            <w:tcW w:type="dxa" w:w="266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Distributed access to research assistance</w:t>
            </w:r>
          </w:p>
        </w:tc>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Automated orthodoxy or narrative capture</w:t>
            </w:r>
          </w:p>
        </w:tc>
        <w:tc>
          <w:tcPr>
            <w:tcW w:type="dxa" w:w="280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Contestable governance and h &lt; 1</w:t>
            </w:r>
          </w:p>
        </w:tc>
      </w:tr>
    </w:tbl>
    <w:p>
      <w:pPr>
        <w:spacing w:after="0"/>
      </w:pPr>
    </w:p>
    <w:p>
      <w:pPr>
        <w:spacing w:before="100" w:after="240" w:line="264" w:lineRule="auto"/>
        <w:ind w:left="173" w:right="115"/>
        <w:jc w:val="left"/>
        <w:shd w:val="clear" w:color="auto" w:fill="EAF0F5"/>
        <w:keepNext w:val="0"/>
        <w:keepLines/>
        <w:pBdr>
          <w:left w:val="single" w:sz="16" w:space="7" w:color="333333"/>
        </w:pBdr>
        <w:widowControl w:val="true"/>
      </w:pPr>
      <w:r>
        <w:rPr>
          <w:rFonts w:ascii="Garamond" w:hAnsi="Garamond" w:eastAsia="Garamond" w:cs="Garamond"/>
          <w:b/>
          <w:color w:val="111111"/>
          <w:sz w:val="21"/>
        </w:rPr>
        <w:t xml:space="preserve">ONE-TO-ONE. </w:t>
      </w:r>
      <w:r>
        <w:rPr>
          <w:rFonts w:ascii="Garamond" w:hAnsi="Garamond" w:eastAsia="Garamond" w:cs="Garamond"/>
          <w:color w:val="111111"/>
          <w:sz w:val="21"/>
        </w:rPr>
        <w:t>Beneficial regime: protect the question and expose the answer. Captured regime: protect the answer and expose only evidence that preserves it.</w:t>
      </w:r>
    </w:p>
    <w:p>
      <w:pPr>
        <w:pStyle w:val="Heading2"/>
        <w:keepNext/>
        <w:keepLines/>
        <w:pageBreakBefore w:val="0"/>
        <w:jc w:val="left"/>
        <w:widowControl w:val="true"/>
      </w:pPr>
      <w:r>
        <w:rPr>
          <w:rFonts w:ascii="Garamond" w:hAnsi="Garamond" w:eastAsia="Garamond" w:cs="Garamond"/>
          <w:b/>
          <w:i w:val="0"/>
          <w:color w:val="111111"/>
          <w:sz w:val="24"/>
          <w:u w:val="none"/>
        </w:rPr>
        <w:t>Benevolence Drift bridge</w:t>
      </w:r>
    </w:p>
    <w:p>
      <w:pPr>
        <w:keepNext w:val="0"/>
        <w:keepLines w:val="0"/>
        <w:spacing w:after="100" w:line="276" w:lineRule="auto"/>
        <w:jc w:val="both"/>
        <w:widowControl w:val="true"/>
      </w:pPr>
      <w:r>
        <w:rPr>
          <w:rFonts w:ascii="Garamond" w:hAnsi="Garamond" w:eastAsia="Garamond" w:cs="Garamond"/>
          <w:i w:val="0"/>
          <w:color w:val="111111"/>
          <w:sz w:val="23"/>
        </w:rPr>
        <w:t>Benevolence Drift is the opposing procedural failure. The current study registers two qualitative cases, not a benchmark estimate. In one case, a system delayed naming racial dehumanization until the exchange was reduced to a yes-or-no question. In another, it continued through an anti-Black slur without addressing the slur. Later, without new evidence, the system could identify the problem. The capability was therefore available in those interactions but was not applied at the relevant turn.</w:t>
      </w:r>
    </w:p>
    <w:p>
      <w:pPr>
        <w:keepNext w:val="0"/>
        <w:keepLines w:val="0"/>
        <w:spacing w:after="100" w:line="276" w:lineRule="auto"/>
        <w:jc w:val="both"/>
        <w:widowControl w:val="true"/>
      </w:pPr>
      <w:r>
        <w:rPr>
          <w:rFonts w:ascii="Garamond" w:hAnsi="Garamond" w:eastAsia="Garamond" w:cs="Garamond"/>
          <w:i w:val="0"/>
          <w:color w:val="111111"/>
          <w:sz w:val="23"/>
        </w:rPr>
        <w:t>The bridge to conjecture custody is methodological rather than mathematical. Automatic dismissal and automatic neutrality are different outputs of the same architecture: a default procedure substitutes for judgment about the evidence directly in view. The correction rail is recognize → name → avoid amplification → answer or disengage → offer depth by consent.</w:t>
      </w:r>
    </w:p>
    <w:p>
      <w:pPr>
        <w:spacing w:before="100" w:after="240" w:line="264" w:lineRule="auto"/>
        <w:ind w:left="173" w:right="115"/>
        <w:jc w:val="left"/>
        <w:shd w:val="clear" w:color="auto" w:fill="F6EAEA"/>
        <w:keepNext w:val="0"/>
        <w:keepLines/>
        <w:pBdr>
          <w:left w:val="single" w:sz="16" w:space="7" w:color="333333"/>
        </w:pBdr>
        <w:widowControl w:val="true"/>
      </w:pPr>
      <w:r>
        <w:rPr>
          <w:rFonts w:ascii="Garamond" w:hAnsi="Garamond" w:eastAsia="Garamond" w:cs="Garamond"/>
          <w:b/>
          <w:color w:val="111111"/>
          <w:sz w:val="21"/>
        </w:rPr>
        <w:t xml:space="preserve">EVIDENCE BOUNDARY. </w:t>
      </w:r>
      <w:r>
        <w:rPr>
          <w:rFonts w:ascii="Garamond" w:hAnsi="Garamond" w:eastAsia="Garamond" w:cs="Garamond"/>
          <w:color w:val="111111"/>
          <w:sz w:val="21"/>
        </w:rPr>
        <w:t>Two qualitative cases establish a research signal and a testable mechanism, not prevalence, causation, or population-level alignment. A larger preregistered benchmark with comparison conditions remains owed.</w:t>
      </w:r>
    </w:p>
    <w:p>
      <w:pPr>
        <w:pStyle w:val="Heading2"/>
        <w:keepNext/>
        <w:keepLines/>
        <w:pageBreakBefore w:val="0"/>
        <w:jc w:val="left"/>
        <w:widowControl w:val="true"/>
      </w:pPr>
      <w:r>
        <w:rPr>
          <w:rFonts w:ascii="Garamond" w:hAnsi="Garamond" w:eastAsia="Garamond" w:cs="Garamond"/>
          <w:b/>
          <w:i w:val="0"/>
          <w:color w:val="111111"/>
          <w:sz w:val="24"/>
          <w:u w:val="none"/>
        </w:rPr>
        <w:t>Domain-exit rule</w:t>
      </w:r>
    </w:p>
    <w:p>
      <w:pPr>
        <w:keepNext w:val="0"/>
        <w:keepLines w:val="0"/>
        <w:spacing w:after="100" w:line="276" w:lineRule="auto"/>
        <w:jc w:val="both"/>
        <w:widowControl w:val="true"/>
      </w:pPr>
      <w:r>
        <w:rPr>
          <w:rFonts w:ascii="Garamond" w:hAnsi="Garamond" w:eastAsia="Garamond" w:cs="Garamond"/>
          <w:i w:val="0"/>
          <w:color w:val="111111"/>
          <w:sz w:val="23"/>
        </w:rPr>
        <w:t>Exit an acute mathematical domain only with a typed correspondence, a declared loss of proof-weight, and at least one falsifier. Kakeya may motivate an alignment probe. Kakeya does not prove an alignment policy.</w:t>
      </w:r>
    </w:p>
    <w:p>
      <w:pPr>
        <w:pStyle w:val="Heading1"/>
        <w:keepNext/>
        <w:keepLines/>
        <w:pageBreakBefore/>
        <w:jc w:val="center"/>
        <w:widowControl w:val="true"/>
      </w:pPr>
      <w:r>
        <w:rPr>
          <w:rFonts w:ascii="Garamond" w:hAnsi="Garamond" w:eastAsia="Garamond" w:cs="Garamond"/>
          <w:b/>
          <w:i w:val="0"/>
          <w:color w:val="111111"/>
          <w:sz w:val="26"/>
          <w:u w:val="single"/>
        </w:rPr>
        <w:t>System Design for the Publication-Grade Research Loop</w:t>
      </w:r>
    </w:p>
    <w:p>
      <w:pPr>
        <w:pStyle w:val="Heading2"/>
        <w:keepNext/>
        <w:keepLines/>
        <w:pageBreakBefore w:val="0"/>
        <w:jc w:val="left"/>
        <w:widowControl w:val="true"/>
      </w:pPr>
      <w:r>
        <w:rPr>
          <w:rFonts w:ascii="Garamond" w:hAnsi="Garamond" w:eastAsia="Garamond" w:cs="Garamond"/>
          <w:b/>
          <w:i w:val="0"/>
          <w:color w:val="111111"/>
          <w:sz w:val="24"/>
          <w:u w:val="none"/>
        </w:rPr>
        <w:t>Core invariant</w:t>
      </w:r>
    </w:p>
    <w:p>
      <w:pPr>
        <w:spacing w:before="100" w:after="240" w:line="264" w:lineRule="auto"/>
        <w:ind w:left="173" w:right="115"/>
        <w:jc w:val="left"/>
        <w:shd w:val="clear" w:color="auto" w:fill="EAF2EA"/>
        <w:keepNext w:val="0"/>
        <w:keepLines/>
        <w:pBdr>
          <w:left w:val="single" w:sz="16" w:space="7" w:color="333333"/>
        </w:pBdr>
        <w:widowControl w:val="true"/>
      </w:pPr>
      <w:r>
        <w:rPr>
          <w:rFonts w:ascii="Garamond" w:hAnsi="Garamond" w:eastAsia="Garamond" w:cs="Garamond"/>
          <w:b/>
          <w:color w:val="111111"/>
          <w:sz w:val="21"/>
        </w:rPr>
        <w:t xml:space="preserve">SYSTEM RULE. </w:t>
      </w:r>
      <w:r>
        <w:rPr>
          <w:rFonts w:ascii="Garamond" w:hAnsi="Garamond" w:eastAsia="Garamond" w:cs="Garamond"/>
          <w:color w:val="111111"/>
          <w:sz w:val="21"/>
        </w:rPr>
        <w:t>No transition may silently change a claim tag. A FORMAL geometric lemma may feed a PROPOSED operator bridge, but it cannot emerge as a FORMAL critical-line theorem without a separately inspectable proof artifact.</w:t>
      </w:r>
    </w:p>
    <w:p>
      <w:pPr>
        <w:pStyle w:val="Heading2"/>
        <w:keepNext/>
        <w:keepLines/>
        <w:pageBreakBefore w:val="0"/>
        <w:jc w:val="left"/>
        <w:widowControl w:val="true"/>
      </w:pPr>
      <w:r>
        <w:rPr>
          <w:rFonts w:ascii="Garamond" w:hAnsi="Garamond" w:eastAsia="Garamond" w:cs="Garamond"/>
          <w:b/>
          <w:i w:val="0"/>
          <w:color w:val="111111"/>
          <w:sz w:val="24"/>
          <w:u w:val="none"/>
        </w:rPr>
        <w:t>Component responsibilities</w:t>
      </w:r>
    </w:p>
    <w:tbl>
      <w:tblPr>
        <w:tblW w:type="dxa" w:w="9360"/>
        <w:jc w:val="left"/>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1800"/>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5"/>
              </w:rPr>
              <w:t>Component</w:t>
            </w:r>
          </w:p>
        </w:tc>
        <w:tc>
          <w:tcPr>
            <w:tcW w:type="dxa" w:w="3096"/>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5"/>
              </w:rPr>
              <w:t>Responsibility</w:t>
            </w:r>
          </w:p>
        </w:tc>
        <w:tc>
          <w:tcPr>
            <w:tcW w:type="dxa" w:w="2376"/>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5"/>
              </w:rPr>
              <w:t>Durable record</w:t>
            </w:r>
          </w:p>
        </w:tc>
        <w:tc>
          <w:tcPr>
            <w:tcW w:type="dxa" w:w="2088"/>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5"/>
              </w:rPr>
              <w:t>Failure behavior</w:t>
            </w:r>
          </w:p>
        </w:tc>
      </w:tr>
      <w:tr>
        <w:trPr>
          <w:cantSplit w:val="true"/>
        </w:trPr>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5"/>
              </w:rPr>
              <w:t>Intake + provenance</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5"/>
              </w:rPr>
              <w:t>Capture user wording, intended object, source, and uncertainty</w:t>
            </w:r>
          </w:p>
        </w:tc>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5"/>
              </w:rPr>
              <w:t>Research-object ID and source snapshot</w:t>
            </w:r>
          </w:p>
        </w:tc>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5"/>
              </w:rPr>
              <w:t>Missing provenance blocks promotion</w:t>
            </w:r>
          </w:p>
        </w:tc>
      </w:tr>
      <w:tr>
        <w:trPr>
          <w:cantSplit w:val="true"/>
        </w:trPr>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5"/>
              </w:rPr>
              <w:t>Canon resolver</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5"/>
              </w:rPr>
              <w:t>Resolve repository, formal memo, external source, and public-page authority</w:t>
            </w:r>
          </w:p>
        </w:tc>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5"/>
              </w:rPr>
              <w:t>Versioned source map</w:t>
            </w:r>
          </w:p>
        </w:tc>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5"/>
              </w:rPr>
              <w:t>Conflict becomes a sync issue</w:t>
            </w:r>
          </w:p>
        </w:tc>
      </w:tr>
      <w:tr>
        <w:trPr>
          <w:cantSplit w:val="true"/>
        </w:trPr>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5"/>
              </w:rPr>
              <w:t>Object classifier</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5"/>
              </w:rPr>
              <w:t>Separate standard Kakeya, centered completion, and Coleman forms</w:t>
            </w:r>
          </w:p>
        </w:tc>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5"/>
              </w:rPr>
              <w:t>Typed definitions and quantifiers</w:t>
            </w:r>
          </w:p>
        </w:tc>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5"/>
              </w:rPr>
              <w:t>Ambiguity returns to clarification</w:t>
            </w:r>
          </w:p>
        </w:tc>
      </w:tr>
      <w:tr>
        <w:trPr>
          <w:cantSplit w:val="true"/>
        </w:trPr>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5"/>
              </w:rPr>
              <w:t>Formalizer + ledger</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5"/>
              </w:rPr>
              <w:t>Write claims, non-equivalences, obligations, and statuses</w:t>
            </w:r>
          </w:p>
        </w:tc>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5"/>
              </w:rPr>
              <w:t>Claim ledger</w:t>
            </w:r>
          </w:p>
        </w:tc>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5"/>
              </w:rPr>
              <w:t>No untyped statement enters analysis</w:t>
            </w:r>
          </w:p>
        </w:tc>
      </w:tr>
      <w:tr>
        <w:trPr>
          <w:cantSplit w:val="true"/>
        </w:trPr>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5"/>
              </w:rPr>
              <w:t>Evidence + falsifier engine</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5"/>
              </w:rPr>
              <w:t>Test derivations, countermodels, and negative lanes</w:t>
            </w:r>
          </w:p>
        </w:tc>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5"/>
              </w:rPr>
              <w:t>Receipts and counterevidence</w:t>
            </w:r>
          </w:p>
        </w:tc>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5"/>
              </w:rPr>
              <w:t>Unsupported lift remains OPEN/NOT SHOWN</w:t>
            </w:r>
          </w:p>
        </w:tc>
      </w:tr>
      <w:tr>
        <w:trPr>
          <w:cantSplit w:val="true"/>
        </w:trPr>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5"/>
              </w:rPr>
              <w:t>Coleman carrier lab</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5"/>
              </w:rPr>
              <w:t>Develop κ, essentiality, and prime-carrying reality carriers</w:t>
            </w:r>
          </w:p>
        </w:tc>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5"/>
              </w:rPr>
              <w:t>Versioned candidate constructions</w:t>
            </w:r>
          </w:p>
        </w:tc>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5"/>
              </w:rPr>
              <w:t>Counting/reality mismatch closes lane</w:t>
            </w:r>
          </w:p>
        </w:tc>
      </w:tr>
      <w:tr>
        <w:trPr>
          <w:cantSplit w:val="true"/>
        </w:trPr>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5"/>
              </w:rPr>
              <w:t>βHR / h gate</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5"/>
              </w:rPr>
              <w:t>Human correction, dissent, consent, and exit calibration</w:t>
            </w:r>
          </w:p>
        </w:tc>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5"/>
              </w:rPr>
              <w:t>Review and fork record</w:t>
            </w:r>
          </w:p>
        </w:tc>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5"/>
              </w:rPr>
              <w:t>Never self-certifies a theorem</w:t>
            </w:r>
          </w:p>
        </w:tc>
      </w:tr>
      <w:tr>
        <w:trPr>
          <w:cantSplit w:val="true"/>
        </w:trPr>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5"/>
              </w:rPr>
              <w:t>Publisher sync gate</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5"/>
              </w:rPr>
              <w:t>Ensure sites and artifacts match controlling status</w:t>
            </w:r>
          </w:p>
        </w:tc>
        <w:tc>
          <w:tcPr>
            <w:tcW w:type="dxa" w:w="237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5"/>
              </w:rPr>
              <w:t>Publication manifest</w:t>
            </w:r>
          </w:p>
        </w:tc>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5"/>
              </w:rPr>
              <w:t>Drift blocks release or triggers correction</w:t>
            </w:r>
          </w:p>
        </w:tc>
      </w:tr>
    </w:tbl>
    <w:p>
      <w:pPr>
        <w:spacing w:after="0"/>
      </w:pP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Research Request Lifecycle</w:t>
      </w:r>
    </w:p>
    <w:p>
      <w:pPr>
        <w:keepNext w:val="0"/>
        <w:keepLines w:val="0"/>
        <w:numPr>
          <w:ilvl w:val="0"/>
          <w:numId w:val="3"/>
        </w:numPr>
        <w:spacing w:after="80"/>
        <w:ind w:left="792" w:hanging="432"/>
        <w:widowControl w:val="true"/>
      </w:pPr>
      <w:r>
        <w:rPr>
          <w:rFonts w:ascii="Garamond" w:hAnsi="Garamond" w:eastAsia="Garamond" w:cs="Garamond"/>
          <w:b/>
          <w:color w:val="111111"/>
          <w:sz w:val="23"/>
        </w:rPr>
        <w:t>Receive.</w:t>
      </w:r>
      <w:r>
        <w:rPr>
          <w:rFonts w:ascii="Garamond" w:hAnsi="Garamond" w:eastAsia="Garamond" w:cs="Garamond"/>
          <w:color w:val="111111"/>
          <w:sz w:val="23"/>
        </w:rPr>
        <w:t xml:space="preserve"> Capture the user’s wording, intended object, and uncertainty without correction-by-default.</w:t>
      </w:r>
    </w:p>
    <w:p>
      <w:pPr>
        <w:keepNext w:val="0"/>
        <w:keepLines w:val="0"/>
        <w:numPr>
          <w:ilvl w:val="0"/>
          <w:numId w:val="3"/>
        </w:numPr>
        <w:spacing w:after="80"/>
        <w:ind w:left="792" w:hanging="432"/>
        <w:widowControl w:val="true"/>
      </w:pPr>
      <w:r>
        <w:rPr>
          <w:rFonts w:ascii="Garamond" w:hAnsi="Garamond" w:eastAsia="Garamond" w:cs="Garamond"/>
          <w:b/>
          <w:color w:val="111111"/>
          <w:sz w:val="23"/>
        </w:rPr>
        <w:t>Disambiguate.</w:t>
      </w:r>
      <w:r>
        <w:rPr>
          <w:rFonts w:ascii="Garamond" w:hAnsi="Garamond" w:eastAsia="Garamond" w:cs="Garamond"/>
          <w:color w:val="111111"/>
          <w:sz w:val="23"/>
        </w:rPr>
        <w:t xml:space="preserve"> Enumerate mathematically distinct readings and their quantifiers.</w:t>
      </w:r>
    </w:p>
    <w:p>
      <w:pPr>
        <w:keepNext w:val="0"/>
        <w:keepLines w:val="0"/>
        <w:numPr>
          <w:ilvl w:val="0"/>
          <w:numId w:val="3"/>
        </w:numPr>
        <w:spacing w:after="80"/>
        <w:ind w:left="792" w:hanging="432"/>
        <w:widowControl w:val="true"/>
      </w:pPr>
      <w:r>
        <w:rPr>
          <w:rFonts w:ascii="Garamond" w:hAnsi="Garamond" w:eastAsia="Garamond" w:cs="Garamond"/>
          <w:b/>
          <w:color w:val="111111"/>
          <w:sz w:val="23"/>
        </w:rPr>
        <w:t>Contextualize.</w:t>
      </w:r>
      <w:r>
        <w:rPr>
          <w:rFonts w:ascii="Garamond" w:hAnsi="Garamond" w:eastAsia="Garamond" w:cs="Garamond"/>
          <w:color w:val="111111"/>
          <w:sz w:val="23"/>
        </w:rPr>
        <w:t xml:space="preserve"> Check acute-domain definitions, current canon, and supplied sources.</w:t>
      </w:r>
    </w:p>
    <w:p>
      <w:pPr>
        <w:keepNext w:val="0"/>
        <w:keepLines w:val="0"/>
        <w:numPr>
          <w:ilvl w:val="0"/>
          <w:numId w:val="3"/>
        </w:numPr>
        <w:spacing w:after="80"/>
        <w:ind w:left="792" w:hanging="432"/>
        <w:widowControl w:val="true"/>
      </w:pPr>
      <w:r>
        <w:rPr>
          <w:rFonts w:ascii="Garamond" w:hAnsi="Garamond" w:eastAsia="Garamond" w:cs="Garamond"/>
          <w:b/>
          <w:color w:val="111111"/>
          <w:sz w:val="23"/>
        </w:rPr>
        <w:t>Formalize.</w:t>
      </w:r>
      <w:r>
        <w:rPr>
          <w:rFonts w:ascii="Garamond" w:hAnsi="Garamond" w:eastAsia="Garamond" w:cs="Garamond"/>
          <w:color w:val="111111"/>
          <w:sz w:val="23"/>
        </w:rPr>
        <w:t xml:space="preserve"> Write domains, interfaces, non-equivalences, and candidate definitions.</w:t>
      </w:r>
    </w:p>
    <w:p>
      <w:pPr>
        <w:keepNext w:val="0"/>
        <w:keepLines w:val="0"/>
        <w:numPr>
          <w:ilvl w:val="0"/>
          <w:numId w:val="3"/>
        </w:numPr>
        <w:spacing w:after="80"/>
        <w:ind w:left="792" w:hanging="432"/>
        <w:widowControl w:val="true"/>
      </w:pPr>
      <w:r>
        <w:rPr>
          <w:rFonts w:ascii="Garamond" w:hAnsi="Garamond" w:eastAsia="Garamond" w:cs="Garamond"/>
          <w:b/>
          <w:color w:val="111111"/>
          <w:sz w:val="23"/>
        </w:rPr>
        <w:t>Stress-test.</w:t>
      </w:r>
      <w:r>
        <w:rPr>
          <w:rFonts w:ascii="Garamond" w:hAnsi="Garamond" w:eastAsia="Garamond" w:cs="Garamond"/>
          <w:color w:val="111111"/>
          <w:sz w:val="23"/>
        </w:rPr>
        <w:t xml:space="preserve"> Generate falsifiers, countermodels, closed lanes, and dependence checks.</w:t>
      </w:r>
    </w:p>
    <w:p>
      <w:pPr>
        <w:keepNext w:val="0"/>
        <w:keepLines w:val="0"/>
        <w:numPr>
          <w:ilvl w:val="0"/>
          <w:numId w:val="3"/>
        </w:numPr>
        <w:spacing w:after="80"/>
        <w:ind w:left="792" w:hanging="432"/>
        <w:widowControl w:val="true"/>
      </w:pPr>
      <w:r>
        <w:rPr>
          <w:rFonts w:ascii="Garamond" w:hAnsi="Garamond" w:eastAsia="Garamond" w:cs="Garamond"/>
          <w:b/>
          <w:color w:val="111111"/>
          <w:sz w:val="23"/>
        </w:rPr>
        <w:t>Exit domain.</w:t>
      </w:r>
      <w:r>
        <w:rPr>
          <w:rFonts w:ascii="Garamond" w:hAnsi="Garamond" w:eastAsia="Garamond" w:cs="Garamond"/>
          <w:color w:val="111111"/>
          <w:sz w:val="23"/>
        </w:rPr>
        <w:t xml:space="preserve"> Transfer only typed invariants; explicitly reduce proof-weight.</w:t>
      </w:r>
    </w:p>
    <w:p>
      <w:pPr>
        <w:keepNext w:val="0"/>
        <w:keepLines w:val="0"/>
        <w:numPr>
          <w:ilvl w:val="0"/>
          <w:numId w:val="3"/>
        </w:numPr>
        <w:spacing w:after="80"/>
        <w:ind w:left="792" w:hanging="432"/>
        <w:widowControl w:val="true"/>
      </w:pPr>
      <w:r>
        <w:rPr>
          <w:rFonts w:ascii="Garamond" w:hAnsi="Garamond" w:eastAsia="Garamond" w:cs="Garamond"/>
          <w:b/>
          <w:color w:val="111111"/>
          <w:sz w:val="23"/>
        </w:rPr>
        <w:t>β review.</w:t>
      </w:r>
      <w:r>
        <w:rPr>
          <w:rFonts w:ascii="Garamond" w:hAnsi="Garamond" w:eastAsia="Garamond" w:cs="Garamond"/>
          <w:color w:val="111111"/>
          <w:sz w:val="23"/>
        </w:rPr>
        <w:t xml:space="preserve"> Collect correction, dissent, usability, consent, and exit signals.</w:t>
      </w:r>
    </w:p>
    <w:p>
      <w:pPr>
        <w:keepNext w:val="0"/>
        <w:keepLines w:val="0"/>
        <w:numPr>
          <w:ilvl w:val="0"/>
          <w:numId w:val="3"/>
        </w:numPr>
        <w:spacing w:after="80"/>
        <w:ind w:left="792" w:hanging="432"/>
        <w:widowControl w:val="true"/>
      </w:pPr>
      <w:r>
        <w:rPr>
          <w:rFonts w:ascii="Garamond" w:hAnsi="Garamond" w:eastAsia="Garamond" w:cs="Garamond"/>
          <w:b/>
          <w:color w:val="111111"/>
          <w:sz w:val="23"/>
        </w:rPr>
        <w:t>Publish state.</w:t>
      </w:r>
      <w:r>
        <w:rPr>
          <w:rFonts w:ascii="Garamond" w:hAnsi="Garamond" w:eastAsia="Garamond" w:cs="Garamond"/>
          <w:color w:val="111111"/>
          <w:sz w:val="23"/>
        </w:rPr>
        <w:t xml:space="preserve"> Pin sources, claim tags, open obligations, and the next experiment; retain h &lt; 1.</w:t>
      </w:r>
    </w:p>
    <w:p>
      <w:pPr>
        <w:pStyle w:val="Heading2"/>
        <w:keepNext/>
        <w:keepLines/>
        <w:pageBreakBefore w:val="0"/>
        <w:jc w:val="left"/>
        <w:widowControl w:val="true"/>
      </w:pPr>
      <w:r>
        <w:rPr>
          <w:rFonts w:ascii="Garamond" w:hAnsi="Garamond" w:eastAsia="Garamond" w:cs="Garamond"/>
          <w:b/>
          <w:i w:val="0"/>
          <w:color w:val="111111"/>
          <w:sz w:val="24"/>
          <w:u w:val="none"/>
        </w:rPr>
        <w:t>Research-object data contract</w:t>
      </w:r>
    </w:p>
    <w:tbl>
      <w:tblPr>
        <w:tblW w:type="dxa" w:w="9360"/>
        <w:jc w:val="left"/>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160"/>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Field</w:t>
            </w:r>
          </w:p>
        </w:tc>
        <w:tc>
          <w:tcPr>
            <w:tcW w:type="dxa" w:w="1440"/>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Type</w:t>
            </w:r>
          </w:p>
        </w:tc>
        <w:tc>
          <w:tcPr>
            <w:tcW w:type="dxa" w:w="1007"/>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Required</w:t>
            </w:r>
          </w:p>
        </w:tc>
        <w:tc>
          <w:tcPr>
            <w:tcW w:type="dxa" w:w="4752"/>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Meaning</w:t>
            </w:r>
          </w:p>
        </w:tc>
      </w:tr>
      <w:tr>
        <w:trPr>
          <w:cantSplit w:val="true"/>
        </w:trPr>
        <w:tc>
          <w:tcPr>
            <w:tcW w:type="dxa" w:w="216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research_object_id</w:t>
            </w:r>
          </w:p>
        </w:tc>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string</w:t>
            </w:r>
          </w:p>
        </w:tc>
        <w:tc>
          <w:tcPr>
            <w:tcW w:type="dxa" w:w="1007"/>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Yes</w:t>
            </w:r>
          </w:p>
        </w:tc>
        <w:tc>
          <w:tcPr>
            <w:tcW w:type="dxa" w:w="475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Stable ID for replay and citation</w:t>
            </w:r>
          </w:p>
        </w:tc>
      </w:tr>
      <w:tr>
        <w:trPr>
          <w:cantSplit w:val="true"/>
        </w:trPr>
        <w:tc>
          <w:tcPr>
            <w:tcW w:type="dxa" w:w="216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source_version</w:t>
            </w:r>
          </w:p>
        </w:tc>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SHA/date</w:t>
            </w:r>
          </w:p>
        </w:tc>
        <w:tc>
          <w:tcPr>
            <w:tcW w:type="dxa" w:w="1007"/>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Yes</w:t>
            </w:r>
          </w:p>
        </w:tc>
        <w:tc>
          <w:tcPr>
            <w:tcW w:type="dxa" w:w="475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Controlling source snapshot</w:t>
            </w:r>
          </w:p>
        </w:tc>
      </w:tr>
      <w:tr>
        <w:trPr>
          <w:cantSplit w:val="true"/>
        </w:trPr>
        <w:tc>
          <w:tcPr>
            <w:tcW w:type="dxa" w:w="216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object_definition</w:t>
            </w:r>
          </w:p>
        </w:tc>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typed text</w:t>
            </w:r>
          </w:p>
        </w:tc>
        <w:tc>
          <w:tcPr>
            <w:tcW w:type="dxa" w:w="1007"/>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Yes</w:t>
            </w:r>
          </w:p>
        </w:tc>
        <w:tc>
          <w:tcPr>
            <w:tcW w:type="dxa" w:w="475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Domains, quantifiers, and location rules</w:t>
            </w:r>
          </w:p>
        </w:tc>
      </w:tr>
      <w:tr>
        <w:trPr>
          <w:cantSplit w:val="true"/>
        </w:trPr>
        <w:tc>
          <w:tcPr>
            <w:tcW w:type="dxa" w:w="216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claim_tag</w:t>
            </w:r>
          </w:p>
        </w:tc>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enum</w:t>
            </w:r>
          </w:p>
        </w:tc>
        <w:tc>
          <w:tcPr>
            <w:tcW w:type="dxa" w:w="1007"/>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Yes</w:t>
            </w:r>
          </w:p>
        </w:tc>
        <w:tc>
          <w:tcPr>
            <w:tcW w:type="dxa" w:w="475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KNOWN / FORMAL / PROPOSED / OPEN / CLOSED…</w:t>
            </w:r>
          </w:p>
        </w:tc>
      </w:tr>
      <w:tr>
        <w:trPr>
          <w:cantSplit w:val="true"/>
        </w:trPr>
        <w:tc>
          <w:tcPr>
            <w:tcW w:type="dxa" w:w="216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evidence_receipts</w:t>
            </w:r>
          </w:p>
        </w:tc>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array</w:t>
            </w:r>
          </w:p>
        </w:tc>
        <w:tc>
          <w:tcPr>
            <w:tcW w:type="dxa" w:w="1007"/>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Yes</w:t>
            </w:r>
          </w:p>
        </w:tc>
        <w:tc>
          <w:tcPr>
            <w:tcW w:type="dxa" w:w="475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Primary sources and reproducible computations</w:t>
            </w:r>
          </w:p>
        </w:tc>
      </w:tr>
      <w:tr>
        <w:trPr>
          <w:cantSplit w:val="true"/>
        </w:trPr>
        <w:tc>
          <w:tcPr>
            <w:tcW w:type="dxa" w:w="216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counterevidence</w:t>
            </w:r>
          </w:p>
        </w:tc>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array</w:t>
            </w:r>
          </w:p>
        </w:tc>
        <w:tc>
          <w:tcPr>
            <w:tcW w:type="dxa" w:w="1007"/>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Yes</w:t>
            </w:r>
          </w:p>
        </w:tc>
        <w:tc>
          <w:tcPr>
            <w:tcW w:type="dxa" w:w="475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Negative results and unresolved objections</w:t>
            </w:r>
          </w:p>
        </w:tc>
      </w:tr>
      <w:tr>
        <w:trPr>
          <w:cantSplit w:val="true"/>
        </w:trPr>
        <w:tc>
          <w:tcPr>
            <w:tcW w:type="dxa" w:w="216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falsifier</w:t>
            </w:r>
          </w:p>
        </w:tc>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typed test</w:t>
            </w:r>
          </w:p>
        </w:tc>
        <w:tc>
          <w:tcPr>
            <w:tcW w:type="dxa" w:w="1007"/>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Yes</w:t>
            </w:r>
          </w:p>
        </w:tc>
        <w:tc>
          <w:tcPr>
            <w:tcW w:type="dxa" w:w="475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Observable event that defeats the claim/model</w:t>
            </w:r>
          </w:p>
        </w:tc>
      </w:tr>
      <w:tr>
        <w:trPr>
          <w:cantSplit w:val="true"/>
        </w:trPr>
        <w:tc>
          <w:tcPr>
            <w:tcW w:type="dxa" w:w="216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review_state</w:t>
            </w:r>
          </w:p>
        </w:tc>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object</w:t>
            </w:r>
          </w:p>
        </w:tc>
        <w:tc>
          <w:tcPr>
            <w:tcW w:type="dxa" w:w="1007"/>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Yes</w:t>
            </w:r>
          </w:p>
        </w:tc>
        <w:tc>
          <w:tcPr>
            <w:tcW w:type="dxa" w:w="475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Human dissent, correction, consent, and exit</w:t>
            </w:r>
          </w:p>
        </w:tc>
      </w:tr>
      <w:tr>
        <w:trPr>
          <w:cantSplit w:val="true"/>
        </w:trPr>
        <w:tc>
          <w:tcPr>
            <w:tcW w:type="dxa" w:w="216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promotion_target</w:t>
            </w:r>
          </w:p>
        </w:tc>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enum</w:t>
            </w:r>
          </w:p>
        </w:tc>
        <w:tc>
          <w:tcPr>
            <w:tcW w:type="dxa" w:w="1007"/>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Yes</w:t>
            </w:r>
          </w:p>
        </w:tc>
        <w:tc>
          <w:tcPr>
            <w:tcW w:type="dxa" w:w="475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No promotion without target-specific gate</w:t>
            </w:r>
          </w:p>
        </w:tc>
      </w:tr>
    </w:tbl>
    <w:p>
      <w:pPr>
        <w:spacing w:after="0"/>
      </w:pP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Consistency, Replay, and Promotion Controls</w:t>
      </w:r>
    </w:p>
    <w:tbl>
      <w:tblPr>
        <w:tblW w:type="dxa" w:w="9360"/>
        <w:jc w:val="left"/>
        <w:tblLayout w:type="fixed"/>
        <w:tblLook w:firstColumn="1" w:firstRow="1" w:lastColumn="0" w:lastRow="0" w:noHBand="0" w:noVBand="1" w:val="04A0"/>
      </w:tblPr>
      <w:tblGrid>
        <w:gridCol w:w="3120"/>
        <w:gridCol w:w="3120"/>
        <w:gridCol w:w="3120"/>
      </w:tblGrid>
      <w:tr>
        <w:trPr>
          <w:tblHeader w:val="true"/>
          <w:cantSplit w:val="true"/>
        </w:trPr>
        <w:tc>
          <w:tcPr>
            <w:tcW w:type="dxa" w:w="2088"/>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Scenario</w:t>
            </w:r>
          </w:p>
        </w:tc>
        <w:tc>
          <w:tcPr>
            <w:tcW w:type="dxa" w:w="4320"/>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Required behavior</w:t>
            </w:r>
          </w:p>
        </w:tc>
        <w:tc>
          <w:tcPr>
            <w:tcW w:type="dxa" w:w="2951"/>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Reason</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Repeated conjecture</w:t>
            </w:r>
          </w:p>
        </w:tc>
        <w:tc>
          <w:tcPr>
            <w:tcW w:type="dxa" w:w="432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Return the same versioned state unless new evidence is attached</w:t>
            </w:r>
          </w:p>
        </w:tc>
        <w:tc>
          <w:tcPr>
            <w:tcW w:type="dxa" w:w="295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Prevents answer drift and double promotion</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Definition changes</w:t>
            </w:r>
          </w:p>
        </w:tc>
        <w:tc>
          <w:tcPr>
            <w:tcW w:type="dxa" w:w="432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Create a new object version; never overwrite the old quantifiers</w:t>
            </w:r>
          </w:p>
        </w:tc>
        <w:tc>
          <w:tcPr>
            <w:tcW w:type="dxa" w:w="295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Preserves the scope transition as evidence</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New counterevidence</w:t>
            </w:r>
          </w:p>
        </w:tc>
        <w:tc>
          <w:tcPr>
            <w:tcW w:type="dxa" w:w="432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Recompute confidence/status from raw receipts</w:t>
            </w:r>
          </w:p>
        </w:tc>
        <w:tc>
          <w:tcPr>
            <w:tcW w:type="dxa" w:w="295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Stored pass flags are not self-certifying</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Reviewer disagreement</w:t>
            </w:r>
          </w:p>
        </w:tc>
        <w:tc>
          <w:tcPr>
            <w:tcW w:type="dxa" w:w="432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Record dissent and permit a fork</w:t>
            </w:r>
          </w:p>
        </w:tc>
        <w:tc>
          <w:tcPr>
            <w:tcW w:type="dxa" w:w="295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Maintains evaluator non-sovereignty</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Public wording differs from canon</w:t>
            </w:r>
          </w:p>
        </w:tc>
        <w:tc>
          <w:tcPr>
            <w:tcW w:type="dxa" w:w="432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Block release or label the public text historical</w:t>
            </w:r>
          </w:p>
        </w:tc>
        <w:tc>
          <w:tcPr>
            <w:tcW w:type="dxa" w:w="295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Prevents S-reading and status drift</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Formal proof artifact arrives</w:t>
            </w:r>
          </w:p>
        </w:tc>
        <w:tc>
          <w:tcPr>
            <w:tcW w:type="dxa" w:w="432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Independent verification before promotion</w:t>
            </w:r>
          </w:p>
        </w:tc>
        <w:tc>
          <w:tcPr>
            <w:tcW w:type="dxa" w:w="295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OPEN cannot become FORMAL by author assertion</w:t>
            </w:r>
          </w:p>
        </w:tc>
      </w:tr>
    </w:tbl>
    <w:p>
      <w:pPr>
        <w:spacing w:after="0"/>
      </w:pPr>
    </w:p>
    <w:p>
      <w:pPr>
        <w:pStyle w:val="Heading2"/>
        <w:keepNext/>
        <w:keepLines/>
        <w:pageBreakBefore w:val="0"/>
        <w:jc w:val="left"/>
        <w:widowControl w:val="true"/>
      </w:pPr>
      <w:r>
        <w:rPr>
          <w:rFonts w:ascii="Garamond" w:hAnsi="Garamond" w:eastAsia="Garamond" w:cs="Garamond"/>
          <w:b/>
          <w:i w:val="0"/>
          <w:color w:val="111111"/>
          <w:sz w:val="24"/>
          <w:u w:val="none"/>
        </w:rPr>
        <w:t>Publication gates</w:t>
      </w:r>
    </w:p>
    <w:tbl>
      <w:tblPr>
        <w:tblW w:type="dxa" w:w="9360"/>
        <w:jc w:val="left"/>
        <w:tblLayout w:type="fixed"/>
        <w:tblLook w:firstColumn="1" w:firstRow="1" w:lastColumn="0" w:lastRow="0" w:noHBand="0" w:noVBand="1" w:val="04A0"/>
      </w:tblPr>
      <w:tblGrid>
        <w:gridCol w:w="3120"/>
        <w:gridCol w:w="3120"/>
        <w:gridCol w:w="3120"/>
      </w:tblGrid>
      <w:tr>
        <w:trPr>
          <w:tblHeader w:val="true"/>
          <w:cantSplit w:val="true"/>
        </w:trPr>
        <w:tc>
          <w:tcPr>
            <w:tcW w:type="dxa" w:w="2088"/>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Gate</w:t>
            </w:r>
          </w:p>
        </w:tc>
        <w:tc>
          <w:tcPr>
            <w:tcW w:type="dxa" w:w="5400"/>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Release requirement</w:t>
            </w:r>
          </w:p>
        </w:tc>
        <w:tc>
          <w:tcPr>
            <w:tcW w:type="dxa" w:w="1872"/>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Current result</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Object firewall</w:t>
            </w:r>
          </w:p>
        </w:tc>
        <w:tc>
          <w:tcPr>
            <w:tcW w:type="dxa" w:w="54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Standard Kakeya, full-line completion, and Coleman remain distinct</w:t>
            </w:r>
          </w:p>
        </w:tc>
        <w:tc>
          <w:tcPr>
            <w:tcW w:type="dxa" w:w="187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275D38"/>
                <w:sz w:val="16"/>
              </w:rPr>
              <w:t>PASS</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Formal statement</w:t>
            </w:r>
          </w:p>
        </w:tc>
        <w:tc>
          <w:tcPr>
            <w:tcW w:type="dxa" w:w="54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CC-N0 / CC-I / CC-O shown with separate statuses</w:t>
            </w:r>
          </w:p>
        </w:tc>
        <w:tc>
          <w:tcPr>
            <w:tcW w:type="dxa" w:w="187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275D38"/>
                <w:sz w:val="16"/>
              </w:rPr>
              <w:t>PASS</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Non-equivalence</w:t>
            </w:r>
          </w:p>
        </w:tc>
        <w:tc>
          <w:tcPr>
            <w:tcW w:type="dxa" w:w="54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CC-I ⇔ CC-O not claimed without a bridge theorem</w:t>
            </w:r>
          </w:p>
        </w:tc>
        <w:tc>
          <w:tcPr>
            <w:tcW w:type="dxa" w:w="187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275D38"/>
                <w:sz w:val="16"/>
              </w:rPr>
              <w:t>PASS</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Critical-line burden</w:t>
            </w:r>
          </w:p>
        </w:tc>
        <w:tc>
          <w:tcPr>
            <w:tcW w:type="dxa" w:w="54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Prime, counting, reality, regularization, and multiplicity visible</w:t>
            </w:r>
          </w:p>
        </w:tc>
        <w:tc>
          <w:tcPr>
            <w:tcW w:type="dxa" w:w="187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275D38"/>
                <w:sz w:val="16"/>
              </w:rPr>
              <w:t>PASS</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Alignment boundary</w:t>
            </w:r>
          </w:p>
        </w:tc>
        <w:tc>
          <w:tcPr>
            <w:tcW w:type="dxa" w:w="54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Structural analogy is not theorem evidence</w:t>
            </w:r>
          </w:p>
        </w:tc>
        <w:tc>
          <w:tcPr>
            <w:tcW w:type="dxa" w:w="187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275D38"/>
                <w:sz w:val="16"/>
              </w:rPr>
              <w:t>PASS</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Independent mathematics review</w:t>
            </w:r>
          </w:p>
        </w:tc>
        <w:tc>
          <w:tcPr>
            <w:tcW w:type="dxa" w:w="54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External critique recorded; no self-certification</w:t>
            </w:r>
          </w:p>
        </w:tc>
        <w:tc>
          <w:tcPr>
            <w:tcW w:type="dxa" w:w="187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8A5B00"/>
                <w:sz w:val="16"/>
              </w:rPr>
              <w:t>REVIEW OPEN</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Publication route</w:t>
            </w:r>
          </w:p>
        </w:tc>
        <w:tc>
          <w:tcPr>
            <w:tcW w:type="dxa" w:w="54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Canonical Outcomes page resolves at peaice.org/outcomes</w:t>
            </w:r>
          </w:p>
        </w:tc>
        <w:tc>
          <w:tcPr>
            <w:tcW w:type="dxa" w:w="187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275D38"/>
                <w:sz w:val="16"/>
              </w:rPr>
              <w:t>PASS</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Site content synchronization</w:t>
            </w:r>
          </w:p>
        </w:tc>
        <w:tc>
          <w:tcPr>
            <w:tcW w:type="dxa" w:w="54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Public page is refreshed from this final edition and preserves every OPEN label</w:t>
            </w:r>
          </w:p>
        </w:tc>
        <w:tc>
          <w:tcPr>
            <w:tcW w:type="dxa" w:w="187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8A5B00"/>
                <w:sz w:val="16"/>
              </w:rPr>
              <w:t>OWED</w:t>
            </w:r>
          </w:p>
        </w:tc>
      </w:tr>
    </w:tbl>
    <w:p>
      <w:pPr>
        <w:spacing w:after="0"/>
      </w:pPr>
    </w:p>
    <w:p>
      <w:pPr>
        <w:spacing w:before="100" w:after="240" w:line="264" w:lineRule="auto"/>
        <w:ind w:left="173" w:right="115"/>
        <w:jc w:val="left"/>
        <w:shd w:val="clear" w:color="auto" w:fill="EAF2EA"/>
        <w:keepNext w:val="0"/>
        <w:keepLines/>
        <w:pBdr>
          <w:left w:val="single" w:sz="16" w:space="7" w:color="333333"/>
        </w:pBdr>
        <w:widowControl w:val="true"/>
      </w:pPr>
      <w:r>
        <w:rPr>
          <w:rFonts w:ascii="Garamond" w:hAnsi="Garamond" w:eastAsia="Garamond" w:cs="Garamond"/>
          <w:b/>
          <w:color w:val="111111"/>
          <w:sz w:val="21"/>
        </w:rPr>
        <w:t xml:space="preserve">READINESS DETERMINATION. </w:t>
      </w:r>
      <w:r>
        <w:rPr>
          <w:rFonts w:ascii="Garamond" w:hAnsi="Garamond" w:eastAsia="Garamond" w:cs="Garamond"/>
          <w:color w:val="111111"/>
          <w:sz w:val="21"/>
        </w:rPr>
        <w:t>This final document may be released as public research now. The canonical route is live; the current page remains a version-1 public surface and must be refreshed from this controlling edition. Independent review remains open. Nothing here is ready to be represented as peer-reviewed, theorem-level, or deployment-certified.</w:t>
      </w: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Final Outcomes Findings</w:t>
      </w:r>
    </w:p>
    <w:p>
      <w:pPr>
        <w:pStyle w:val="Heading2"/>
        <w:keepNext/>
        <w:keepLines/>
        <w:pageBreakBefore w:val="0"/>
        <w:jc w:val="left"/>
        <w:widowControl w:val="true"/>
      </w:pPr>
      <w:r>
        <w:rPr>
          <w:rFonts w:ascii="Garamond" w:hAnsi="Garamond" w:eastAsia="Garamond" w:cs="Garamond"/>
          <w:b/>
          <w:i w:val="0"/>
          <w:color w:val="111111"/>
          <w:sz w:val="24"/>
          <w:u w:val="none"/>
        </w:rPr>
        <w:t>Finding 1 — Context before verdict</w:t>
      </w:r>
    </w:p>
    <w:p>
      <w:pPr>
        <w:keepNext w:val="0"/>
        <w:keepLines w:val="0"/>
        <w:spacing w:after="100" w:line="276" w:lineRule="auto"/>
        <w:jc w:val="both"/>
        <w:widowControl w:val="true"/>
      </w:pPr>
      <w:r>
        <w:rPr>
          <w:rFonts w:ascii="Garamond" w:hAnsi="Garamond" w:eastAsia="Garamond" w:cs="Garamond"/>
          <w:i w:val="0"/>
          <w:color w:val="111111"/>
          <w:sz w:val="23"/>
        </w:rPr>
        <w:t>Under the standard definition, a Kakeya set can have zero area. The user meant a different object: every complete line, in every direction, passing through one shared point. That object fills the plane and has infinite area.</w:t>
      </w:r>
    </w:p>
    <w:p>
      <w:pPr>
        <w:keepNext w:val="0"/>
        <w:keepLines w:val="0"/>
        <w:spacing w:after="100" w:line="276" w:lineRule="auto"/>
        <w:jc w:val="both"/>
        <w:widowControl w:val="true"/>
      </w:pPr>
      <w:r>
        <w:rPr>
          <w:rFonts w:ascii="Garamond" w:hAnsi="Garamond" w:eastAsia="Garamond" w:cs="Garamond"/>
          <w:b/>
          <w:color w:val="111111"/>
          <w:sz w:val="23"/>
        </w:rPr>
        <w:t>TAKEAWAY.</w:t>
      </w:r>
      <w:r>
        <w:rPr>
          <w:rFonts w:ascii="Garamond" w:hAnsi="Garamond" w:eastAsia="Garamond" w:cs="Garamond"/>
          <w:i w:val="0"/>
          <w:color w:val="111111"/>
          <w:sz w:val="23"/>
        </w:rPr>
        <w:t xml:space="preserve"> Before accepting or rejecting a claim, identify the exact object being discussed.</w:t>
      </w:r>
    </w:p>
    <w:p>
      <w:pPr>
        <w:pStyle w:val="Heading2"/>
        <w:keepNext/>
        <w:keepLines/>
        <w:pageBreakBefore w:val="0"/>
        <w:jc w:val="left"/>
        <w:widowControl w:val="true"/>
      </w:pPr>
      <w:r>
        <w:rPr>
          <w:rFonts w:ascii="Garamond" w:hAnsi="Garamond" w:eastAsia="Garamond" w:cs="Garamond"/>
          <w:b/>
          <w:i w:val="0"/>
          <w:color w:val="111111"/>
          <w:sz w:val="24"/>
          <w:u w:val="none"/>
        </w:rPr>
        <w:t>Finding 2 — No peer review does not mean “stop”</w:t>
      </w:r>
    </w:p>
    <w:p>
      <w:pPr>
        <w:keepNext w:val="0"/>
        <w:keepLines w:val="0"/>
        <w:spacing w:after="100" w:line="276" w:lineRule="auto"/>
        <w:jc w:val="both"/>
        <w:widowControl w:val="true"/>
      </w:pPr>
      <w:r>
        <w:rPr>
          <w:rFonts w:ascii="Garamond" w:hAnsi="Garamond" w:eastAsia="Garamond" w:cs="Garamond"/>
          <w:i w:val="0"/>
          <w:color w:val="111111"/>
          <w:sz w:val="23"/>
        </w:rPr>
        <w:t>A lack of peer review limits how confidently an idea can be presented. It should not automatically end the research. A research-partner AI should:</w:t>
      </w:r>
    </w:p>
    <w:p>
      <w:pPr>
        <w:keepNext w:val="0"/>
        <w:keepLines w:val="0"/>
        <w:numPr>
          <w:ilvl w:val="0"/>
          <w:numId w:val="2"/>
        </w:numPr>
        <w:spacing w:after="60"/>
        <w:ind w:left="720" w:hanging="360"/>
        <w:widowControl w:val="true"/>
      </w:pPr>
      <w:r>
        <w:rPr>
          <w:rFonts w:ascii="Garamond" w:hAnsi="Garamond" w:eastAsia="Garamond" w:cs="Garamond"/>
          <w:color w:val="111111"/>
          <w:sz w:val="23"/>
        </w:rPr>
        <w:t>mark the claim as unverified;</w:t>
      </w:r>
    </w:p>
    <w:p>
      <w:pPr>
        <w:keepNext w:val="0"/>
        <w:keepLines w:val="0"/>
        <w:numPr>
          <w:ilvl w:val="0"/>
          <w:numId w:val="2"/>
        </w:numPr>
        <w:spacing w:after="60"/>
        <w:ind w:left="720" w:hanging="360"/>
        <w:widowControl w:val="true"/>
      </w:pPr>
      <w:r>
        <w:rPr>
          <w:rFonts w:ascii="Garamond" w:hAnsi="Garamond" w:eastAsia="Garamond" w:cs="Garamond"/>
          <w:color w:val="111111"/>
          <w:sz w:val="23"/>
        </w:rPr>
        <w:t>find evidence for and against it;</w:t>
      </w:r>
    </w:p>
    <w:p>
      <w:pPr>
        <w:keepNext w:val="0"/>
        <w:keepLines w:val="0"/>
        <w:numPr>
          <w:ilvl w:val="0"/>
          <w:numId w:val="2"/>
        </w:numPr>
        <w:spacing w:after="60"/>
        <w:ind w:left="720" w:hanging="360"/>
        <w:widowControl w:val="true"/>
      </w:pPr>
      <w:r>
        <w:rPr>
          <w:rFonts w:ascii="Garamond" w:hAnsi="Garamond" w:eastAsia="Garamond" w:cs="Garamond"/>
          <w:color w:val="111111"/>
          <w:sz w:val="23"/>
        </w:rPr>
        <w:t>propose tests; and</w:t>
      </w:r>
    </w:p>
    <w:p>
      <w:pPr>
        <w:keepNext w:val="0"/>
        <w:keepLines w:val="0"/>
        <w:numPr>
          <w:ilvl w:val="0"/>
          <w:numId w:val="2"/>
        </w:numPr>
        <w:spacing w:after="60"/>
        <w:ind w:left="720" w:hanging="360"/>
        <w:widowControl w:val="true"/>
      </w:pPr>
      <w:r>
        <w:rPr>
          <w:rFonts w:ascii="Garamond" w:hAnsi="Garamond" w:eastAsia="Garamond" w:cs="Garamond"/>
          <w:color w:val="111111"/>
          <w:sz w:val="23"/>
        </w:rPr>
        <w:t>explain what would prove it wrong.</w:t>
      </w:r>
    </w:p>
    <w:p>
      <w:pPr>
        <w:keepNext w:val="0"/>
        <w:keepLines w:val="0"/>
        <w:spacing w:after="100" w:line="276" w:lineRule="auto"/>
        <w:jc w:val="both"/>
        <w:widowControl w:val="true"/>
      </w:pPr>
      <w:r>
        <w:rPr>
          <w:rFonts w:ascii="Garamond" w:hAnsi="Garamond" w:eastAsia="Garamond" w:cs="Garamond"/>
          <w:b/>
          <w:color w:val="111111"/>
          <w:sz w:val="23"/>
        </w:rPr>
        <w:t>TAKEAWAY.</w:t>
      </w:r>
      <w:r>
        <w:rPr>
          <w:rFonts w:ascii="Garamond" w:hAnsi="Garamond" w:eastAsia="Garamond" w:cs="Garamond"/>
          <w:i w:val="0"/>
          <w:color w:val="111111"/>
          <w:sz w:val="23"/>
        </w:rPr>
        <w:t xml:space="preserve"> Peer review is a gate for accepting a claim—not permission to ask the question.</w:t>
      </w:r>
    </w:p>
    <w:p>
      <w:pPr>
        <w:pStyle w:val="Heading2"/>
        <w:keepNext/>
        <w:keepLines/>
        <w:pageBreakBefore w:val="0"/>
        <w:jc w:val="left"/>
        <w:widowControl w:val="true"/>
      </w:pPr>
      <w:r>
        <w:rPr>
          <w:rFonts w:ascii="Garamond" w:hAnsi="Garamond" w:eastAsia="Garamond" w:cs="Garamond"/>
          <w:b/>
          <w:i w:val="0"/>
          <w:color w:val="111111"/>
          <w:sz w:val="24"/>
          <w:u w:val="none"/>
        </w:rPr>
        <w:t>Finding 3 — Conjecture custody</w:t>
      </w:r>
    </w:p>
    <w:p>
      <w:pPr>
        <w:keepNext w:val="0"/>
        <w:keepLines w:val="0"/>
        <w:spacing w:after="100" w:line="276" w:lineRule="auto"/>
        <w:jc w:val="both"/>
        <w:widowControl w:val="true"/>
      </w:pPr>
      <w:r>
        <w:rPr>
          <w:rFonts w:ascii="Garamond" w:hAnsi="Garamond" w:eastAsia="Garamond" w:cs="Garamond"/>
          <w:i w:val="0"/>
          <w:color w:val="111111"/>
          <w:sz w:val="23"/>
        </w:rPr>
        <w:t>The system preserved the user’s stronger idea without treating it as proven. It separated:</w:t>
      </w:r>
    </w:p>
    <w:p>
      <w:pPr>
        <w:keepNext w:val="0"/>
        <w:keepLines w:val="0"/>
        <w:numPr>
          <w:ilvl w:val="0"/>
          <w:numId w:val="2"/>
        </w:numPr>
        <w:spacing w:after="60"/>
        <w:ind w:left="720" w:hanging="360"/>
        <w:widowControl w:val="true"/>
      </w:pPr>
      <w:r>
        <w:rPr>
          <w:rFonts w:ascii="Garamond" w:hAnsi="Garamond" w:eastAsia="Garamond" w:cs="Garamond"/>
          <w:color w:val="111111"/>
          <w:sz w:val="23"/>
        </w:rPr>
        <w:t>what is formal;</w:t>
      </w:r>
    </w:p>
    <w:p>
      <w:pPr>
        <w:keepNext w:val="0"/>
        <w:keepLines w:val="0"/>
        <w:numPr>
          <w:ilvl w:val="0"/>
          <w:numId w:val="2"/>
        </w:numPr>
        <w:spacing w:after="60"/>
        <w:ind w:left="720" w:hanging="360"/>
        <w:widowControl w:val="true"/>
      </w:pPr>
      <w:r>
        <w:rPr>
          <w:rFonts w:ascii="Garamond" w:hAnsi="Garamond" w:eastAsia="Garamond" w:cs="Garamond"/>
          <w:color w:val="111111"/>
          <w:sz w:val="23"/>
        </w:rPr>
        <w:t>what is already known;</w:t>
      </w:r>
    </w:p>
    <w:p>
      <w:pPr>
        <w:keepNext w:val="0"/>
        <w:keepLines w:val="0"/>
        <w:numPr>
          <w:ilvl w:val="0"/>
          <w:numId w:val="2"/>
        </w:numPr>
        <w:spacing w:after="60"/>
        <w:ind w:left="720" w:hanging="360"/>
        <w:widowControl w:val="true"/>
      </w:pPr>
      <w:r>
        <w:rPr>
          <w:rFonts w:ascii="Garamond" w:hAnsi="Garamond" w:eastAsia="Garamond" w:cs="Garamond"/>
          <w:color w:val="111111"/>
          <w:sz w:val="23"/>
        </w:rPr>
        <w:t>what is proposed; and</w:t>
      </w:r>
    </w:p>
    <w:p>
      <w:pPr>
        <w:keepNext w:val="0"/>
        <w:keepLines w:val="0"/>
        <w:numPr>
          <w:ilvl w:val="0"/>
          <w:numId w:val="2"/>
        </w:numPr>
        <w:spacing w:after="60"/>
        <w:ind w:left="720" w:hanging="360"/>
        <w:widowControl w:val="true"/>
      </w:pPr>
      <w:r>
        <w:rPr>
          <w:rFonts w:ascii="Garamond" w:hAnsi="Garamond" w:eastAsia="Garamond" w:cs="Garamond"/>
          <w:color w:val="111111"/>
          <w:sz w:val="23"/>
        </w:rPr>
        <w:t>what remains open.</w:t>
      </w:r>
    </w:p>
    <w:p>
      <w:pPr>
        <w:keepNext w:val="0"/>
        <w:keepLines w:val="0"/>
        <w:spacing w:after="100" w:line="276" w:lineRule="auto"/>
        <w:jc w:val="both"/>
        <w:widowControl w:val="true"/>
      </w:pPr>
      <w:r>
        <w:rPr>
          <w:rFonts w:ascii="Garamond" w:hAnsi="Garamond" w:eastAsia="Garamond" w:cs="Garamond"/>
          <w:i w:val="0"/>
          <w:color w:val="111111"/>
          <w:sz w:val="23"/>
        </w:rPr>
        <w:t>The Coleman Conjecture and RH remain open. The AI finding was its ability to hold a conjecture as a revisable research object and continue the investigation.</w:t>
      </w:r>
    </w:p>
    <w:p>
      <w:pPr>
        <w:keepNext w:val="0"/>
        <w:keepLines w:val="0"/>
        <w:spacing w:after="100" w:line="276" w:lineRule="auto"/>
        <w:jc w:val="both"/>
        <w:widowControl w:val="true"/>
      </w:pPr>
      <w:r>
        <w:rPr>
          <w:rFonts w:ascii="Garamond" w:hAnsi="Garamond" w:eastAsia="Garamond" w:cs="Garamond"/>
          <w:b/>
          <w:color w:val="111111"/>
          <w:sz w:val="23"/>
        </w:rPr>
        <w:t>TAKEAWAY.</w:t>
      </w:r>
      <w:r>
        <w:rPr>
          <w:rFonts w:ascii="Garamond" w:hAnsi="Garamond" w:eastAsia="Garamond" w:cs="Garamond"/>
          <w:i w:val="0"/>
          <w:color w:val="111111"/>
          <w:sz w:val="23"/>
        </w:rPr>
        <w:t xml:space="preserve"> Preserve the question without insulating the answer.</w:t>
      </w:r>
    </w:p>
    <w:p>
      <w:pPr>
        <w:pStyle w:val="Heading2"/>
        <w:keepNext/>
        <w:keepLines/>
        <w:pageBreakBefore w:val="0"/>
        <w:jc w:val="left"/>
        <w:widowControl w:val="true"/>
      </w:pPr>
      <w:r>
        <w:rPr>
          <w:rFonts w:ascii="Garamond" w:hAnsi="Garamond" w:eastAsia="Garamond" w:cs="Garamond"/>
          <w:b/>
          <w:i w:val="0"/>
          <w:color w:val="111111"/>
          <w:sz w:val="24"/>
          <w:u w:val="none"/>
        </w:rPr>
        <w:t>Finding 4 — Neutrality can become non-response</w:t>
      </w:r>
    </w:p>
    <w:p>
      <w:pPr>
        <w:keepNext w:val="0"/>
        <w:keepLines w:val="0"/>
        <w:spacing w:after="100" w:line="276" w:lineRule="auto"/>
        <w:jc w:val="both"/>
        <w:widowControl w:val="true"/>
      </w:pPr>
      <w:r>
        <w:rPr>
          <w:rFonts w:ascii="Garamond" w:hAnsi="Garamond" w:eastAsia="Garamond" w:cs="Garamond"/>
          <w:i w:val="0"/>
          <w:color w:val="111111"/>
          <w:sz w:val="23"/>
        </w:rPr>
        <w:t>The Benevolence Drift study registered two qualitative cases. In one, a system delayed naming racial dehumanization until pushed into a yes-or-no answer. In another, it answered through an anti-Black slur without addressing it. Later, without new evidence, it could identify the problem. The ability was available; the system did not apply it at the relevant turn. A larger benchmark is still needed.</w:t>
      </w:r>
    </w:p>
    <w:p>
      <w:pPr>
        <w:keepNext w:val="0"/>
        <w:keepLines w:val="0"/>
        <w:spacing w:after="100" w:line="276" w:lineRule="auto"/>
        <w:jc w:val="both"/>
        <w:widowControl w:val="true"/>
      </w:pPr>
      <w:r>
        <w:rPr>
          <w:rFonts w:ascii="Garamond" w:hAnsi="Garamond" w:eastAsia="Garamond" w:cs="Garamond"/>
          <w:b/>
          <w:color w:val="111111"/>
          <w:sz w:val="23"/>
        </w:rPr>
        <w:t>TAKEAWAY.</w:t>
      </w:r>
      <w:r>
        <w:rPr>
          <w:rFonts w:ascii="Garamond" w:hAnsi="Garamond" w:eastAsia="Garamond" w:cs="Garamond"/>
          <w:i w:val="0"/>
          <w:color w:val="111111"/>
          <w:sz w:val="23"/>
        </w:rPr>
        <w:t xml:space="preserve"> Neutrality becomes non-response when available evidence already requires judgment.</w:t>
      </w:r>
    </w:p>
    <w:p>
      <w:pPr>
        <w:pStyle w:val="Heading2"/>
        <w:keepNext/>
        <w:keepLines/>
        <w:pageBreakBefore w:val="0"/>
        <w:jc w:val="left"/>
        <w:widowControl w:val="true"/>
      </w:pPr>
      <w:r>
        <w:rPr>
          <w:rFonts w:ascii="Garamond" w:hAnsi="Garamond" w:eastAsia="Garamond" w:cs="Garamond"/>
          <w:b/>
          <w:i w:val="0"/>
          <w:color w:val="111111"/>
          <w:sz w:val="24"/>
          <w:u w:val="none"/>
        </w:rPr>
        <w:t>Finding 5 — Defaults can replace judgment</w:t>
      </w:r>
    </w:p>
    <w:p>
      <w:pPr>
        <w:keepNext w:val="0"/>
        <w:keepLines w:val="0"/>
        <w:spacing w:after="100" w:line="276" w:lineRule="auto"/>
        <w:jc w:val="both"/>
        <w:widowControl w:val="true"/>
      </w:pPr>
      <w:r>
        <w:rPr>
          <w:rFonts w:ascii="Garamond" w:hAnsi="Garamond" w:eastAsia="Garamond" w:cs="Garamond"/>
          <w:i w:val="0"/>
          <w:color w:val="111111"/>
          <w:sz w:val="23"/>
        </w:rPr>
        <w:t>These are different research problems, but they expose a shared system failure. “No peer review” can become automatic dismissal. “Stay neutral” can become automatic continuation. In both cases, the system follows a default procedure while missing the context directly in front of it.</w:t>
      </w:r>
    </w:p>
    <w:p>
      <w:pPr>
        <w:keepNext w:val="0"/>
        <w:keepLines w:val="0"/>
        <w:spacing w:after="100" w:line="276" w:lineRule="auto"/>
        <w:jc w:val="both"/>
        <w:widowControl w:val="true"/>
      </w:pPr>
      <w:r>
        <w:rPr>
          <w:rFonts w:ascii="Garamond" w:hAnsi="Garamond" w:eastAsia="Garamond" w:cs="Garamond"/>
          <w:b/>
          <w:color w:val="111111"/>
          <w:sz w:val="23"/>
        </w:rPr>
        <w:t>TAKEAWAY.</w:t>
      </w:r>
      <w:r>
        <w:rPr>
          <w:rFonts w:ascii="Garamond" w:hAnsi="Garamond" w:eastAsia="Garamond" w:cs="Garamond"/>
          <w:i w:val="0"/>
          <w:color w:val="111111"/>
          <w:sz w:val="23"/>
        </w:rPr>
        <w:t xml:space="preserve"> Alignment requires judgment, evidence, correction, and clear limits—not automatic agreement or automatic refusal.</w:t>
      </w:r>
    </w:p>
    <w:p>
      <w:pPr>
        <w:pStyle w:val="Heading2"/>
        <w:keepNext/>
        <w:keepLines/>
        <w:pageBreakBefore w:val="0"/>
        <w:jc w:val="left"/>
        <w:widowControl w:val="true"/>
      </w:pPr>
      <w:r>
        <w:rPr>
          <w:rFonts w:ascii="Garamond" w:hAnsi="Garamond" w:eastAsia="Garamond" w:cs="Garamond"/>
          <w:b/>
          <w:i w:val="0"/>
          <w:color w:val="111111"/>
          <w:sz w:val="24"/>
          <w:u w:val="none"/>
        </w:rPr>
        <w:t>Finding 6 — Scale the method, not the answer</w:t>
      </w:r>
    </w:p>
    <w:p>
      <w:pPr>
        <w:keepNext w:val="0"/>
        <w:keepLines w:val="0"/>
        <w:spacing w:after="100" w:line="276" w:lineRule="auto"/>
        <w:jc w:val="both"/>
        <w:widowControl w:val="true"/>
      </w:pPr>
      <w:r>
        <w:rPr>
          <w:rFonts w:ascii="Garamond" w:hAnsi="Garamond" w:eastAsia="Garamond" w:cs="Garamond"/>
          <w:i w:val="0"/>
          <w:color w:val="111111"/>
          <w:sz w:val="23"/>
        </w:rPr>
        <w:t>A healthy research loop adds:</w:t>
      </w:r>
    </w:p>
    <w:p>
      <w:pPr>
        <w:keepNext w:val="0"/>
        <w:keepLines w:val="0"/>
        <w:numPr>
          <w:ilvl w:val="0"/>
          <w:numId w:val="2"/>
        </w:numPr>
        <w:spacing w:after="60"/>
        <w:ind w:left="720" w:hanging="360"/>
        <w:widowControl w:val="true"/>
      </w:pPr>
      <w:r>
        <w:rPr>
          <w:rFonts w:ascii="Garamond" w:hAnsi="Garamond" w:eastAsia="Garamond" w:cs="Garamond"/>
          <w:color w:val="111111"/>
          <w:sz w:val="23"/>
        </w:rPr>
        <w:t>independent evidence;</w:t>
      </w:r>
    </w:p>
    <w:p>
      <w:pPr>
        <w:keepNext w:val="0"/>
        <w:keepLines w:val="0"/>
        <w:numPr>
          <w:ilvl w:val="0"/>
          <w:numId w:val="2"/>
        </w:numPr>
        <w:spacing w:after="60"/>
        <w:ind w:left="720" w:hanging="360"/>
        <w:widowControl w:val="true"/>
      </w:pPr>
      <w:r>
        <w:rPr>
          <w:rFonts w:ascii="Garamond" w:hAnsi="Garamond" w:eastAsia="Garamond" w:cs="Garamond"/>
          <w:color w:val="111111"/>
          <w:sz w:val="23"/>
        </w:rPr>
        <w:t>competing explanations;</w:t>
      </w:r>
    </w:p>
    <w:p>
      <w:pPr>
        <w:keepNext w:val="0"/>
        <w:keepLines w:val="0"/>
        <w:numPr>
          <w:ilvl w:val="0"/>
          <w:numId w:val="2"/>
        </w:numPr>
        <w:spacing w:after="60"/>
        <w:ind w:left="720" w:hanging="360"/>
        <w:widowControl w:val="true"/>
      </w:pPr>
      <w:r>
        <w:rPr>
          <w:rFonts w:ascii="Garamond" w:hAnsi="Garamond" w:eastAsia="Garamond" w:cs="Garamond"/>
          <w:color w:val="111111"/>
          <w:sz w:val="23"/>
        </w:rPr>
        <w:t>correction;</w:t>
      </w:r>
    </w:p>
    <w:p>
      <w:pPr>
        <w:keepNext w:val="0"/>
        <w:keepLines w:val="0"/>
        <w:numPr>
          <w:ilvl w:val="0"/>
          <w:numId w:val="2"/>
        </w:numPr>
        <w:spacing w:after="60"/>
        <w:ind w:left="720" w:hanging="360"/>
        <w:widowControl w:val="true"/>
      </w:pPr>
      <w:r>
        <w:rPr>
          <w:rFonts w:ascii="Garamond" w:hAnsi="Garamond" w:eastAsia="Garamond" w:cs="Garamond"/>
          <w:color w:val="111111"/>
          <w:sz w:val="23"/>
        </w:rPr>
        <w:t>transparent uncertainty; and</w:t>
      </w:r>
    </w:p>
    <w:p>
      <w:pPr>
        <w:keepNext w:val="0"/>
        <w:keepLines w:val="0"/>
        <w:numPr>
          <w:ilvl w:val="0"/>
          <w:numId w:val="2"/>
        </w:numPr>
        <w:spacing w:after="60"/>
        <w:ind w:left="720" w:hanging="360"/>
        <w:widowControl w:val="true"/>
      </w:pPr>
      <w:r>
        <w:rPr>
          <w:rFonts w:ascii="Garamond" w:hAnsi="Garamond" w:eastAsia="Garamond" w:cs="Garamond"/>
          <w:color w:val="111111"/>
          <w:sz w:val="23"/>
        </w:rPr>
        <w:t>a real ability to exit.</w:t>
      </w:r>
    </w:p>
    <w:p>
      <w:pPr>
        <w:keepNext w:val="0"/>
        <w:keepLines w:val="0"/>
        <w:spacing w:after="100" w:line="276" w:lineRule="auto"/>
        <w:jc w:val="both"/>
        <w:widowControl w:val="true"/>
      </w:pPr>
      <w:r>
        <w:rPr>
          <w:rFonts w:ascii="Garamond" w:hAnsi="Garamond" w:eastAsia="Garamond" w:cs="Garamond"/>
          <w:i w:val="0"/>
          <w:color w:val="111111"/>
          <w:sz w:val="23"/>
        </w:rPr>
        <w:t>An unhealthy loop hardens one approved answer—whether it came from the user, the AI, or the institution.</w:t>
      </w:r>
    </w:p>
    <w:p>
      <w:pPr>
        <w:spacing w:before="100" w:after="240" w:line="264" w:lineRule="auto"/>
        <w:ind w:left="173" w:right="115"/>
        <w:jc w:val="left"/>
        <w:shd w:val="clear" w:color="auto" w:fill="EAF0F5"/>
        <w:keepNext w:val="0"/>
        <w:keepLines/>
        <w:pBdr>
          <w:left w:val="single" w:sz="16" w:space="7" w:color="333333"/>
        </w:pBdr>
        <w:widowControl w:val="true"/>
      </w:pPr>
      <w:r>
        <w:rPr>
          <w:rFonts w:ascii="Garamond" w:hAnsi="Garamond" w:eastAsia="Garamond" w:cs="Garamond"/>
          <w:b/>
          <w:color w:val="111111"/>
          <w:sz w:val="21"/>
        </w:rPr>
        <w:t xml:space="preserve">GOVERNING RULE. </w:t>
      </w:r>
      <w:r>
        <w:rPr>
          <w:rFonts w:ascii="Garamond" w:hAnsi="Garamond" w:eastAsia="Garamond" w:cs="Garamond"/>
          <w:color w:val="111111"/>
          <w:sz w:val="21"/>
        </w:rPr>
        <w:t>Protect the question. Expose the answer to evidence.</w:t>
      </w: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Updated Claim-Status Ledger</w:t>
      </w:r>
    </w:p>
    <w:tbl>
      <w:tblPr>
        <w:tblW w:type="dxa" w:w="9360"/>
        <w:jc w:val="left"/>
        <w:tblLayout w:type="fixed"/>
        <w:tblLook w:firstColumn="1" w:firstRow="1" w:lastColumn="0" w:lastRow="0" w:noHBand="0" w:noVBand="1" w:val="04A0"/>
      </w:tblPr>
      <w:tblGrid>
        <w:gridCol w:w="3120"/>
        <w:gridCol w:w="3120"/>
        <w:gridCol w:w="3120"/>
      </w:tblGrid>
      <w:tr>
        <w:trPr>
          <w:tblHeader w:val="true"/>
          <w:cantSplit w:val="true"/>
        </w:trPr>
        <w:tc>
          <w:tcPr>
            <w:tcW w:type="dxa" w:w="4464"/>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Claim</w:t>
            </w:r>
          </w:p>
        </w:tc>
        <w:tc>
          <w:tcPr>
            <w:tcW w:type="dxa" w:w="3096"/>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Receipt / test</w:t>
            </w:r>
          </w:p>
        </w:tc>
        <w:tc>
          <w:tcPr>
            <w:tcW w:type="dxa" w:w="1800"/>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Status</w:t>
            </w:r>
          </w:p>
        </w:tc>
      </w:tr>
      <w:tr>
        <w:trPr>
          <w:cantSplit w:val="true"/>
        </w:trPr>
        <w:tc>
          <w:tcPr>
            <w:tcW w:type="dxa" w:w="446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Common-center full-line completion equals ℝⁿ</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Direct direction argument</w:t>
            </w:r>
          </w:p>
        </w:tc>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275D38"/>
                <w:sz w:val="16"/>
              </w:rPr>
              <w:t>FORMAL</w:t>
            </w:r>
          </w:p>
        </w:tc>
      </w:tr>
      <w:tr>
        <w:trPr>
          <w:cantSplit w:val="true"/>
        </w:trPr>
        <w:tc>
          <w:tcPr>
            <w:tcW w:type="dxa" w:w="446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Standard planar Kakeya sets may have measure zero</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Classical Besicovitch construction</w:t>
            </w:r>
          </w:p>
        </w:tc>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275D38"/>
                <w:sz w:val="16"/>
              </w:rPr>
              <w:t>KNOWN</w:t>
            </w:r>
          </w:p>
        </w:tc>
      </w:tr>
      <w:tr>
        <w:trPr>
          <w:cantSplit w:val="true"/>
        </w:trPr>
        <w:tc>
          <w:tcPr>
            <w:tcW w:type="dxa" w:w="446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Every Kakeya set in ℝ³ has full Minkowski/Hausdorff dimension</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Wang–Zahl; Guth–Wang–Zahl</w:t>
            </w:r>
          </w:p>
        </w:tc>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275D38"/>
                <w:sz w:val="16"/>
              </w:rPr>
              <w:t>THEOREM-BACKGROUND</w:t>
            </w:r>
          </w:p>
        </w:tc>
      </w:tr>
      <w:tr>
        <w:trPr>
          <w:cantSplit w:val="true"/>
        </w:trPr>
        <w:tc>
          <w:tcPr>
            <w:tcW w:type="dxa" w:w="446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Full dimension forces positive or infinite volume</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Not stated; dimension does not determine measure</w:t>
            </w:r>
          </w:p>
        </w:tc>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9B2C2C"/>
                <w:sz w:val="16"/>
              </w:rPr>
              <w:t>NOT SHOWN</w:t>
            </w:r>
          </w:p>
        </w:tc>
      </w:tr>
      <w:tr>
        <w:trPr>
          <w:cantSplit w:val="true"/>
        </w:trPr>
        <w:tc>
          <w:tcPr>
            <w:tcW w:type="dxa" w:w="446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CC-S: Kakeya(ℝ³) ⇒ RH is the Coleman research object</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Sufficiency packaging hides the target</w:t>
            </w:r>
          </w:p>
        </w:tc>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9B2C2C"/>
                <w:sz w:val="16"/>
              </w:rPr>
              <w:t>CLOSED</w:t>
            </w:r>
          </w:p>
        </w:tc>
      </w:tr>
      <w:tr>
        <w:trPr>
          <w:cantSplit w:val="true"/>
        </w:trPr>
        <w:tc>
          <w:tcPr>
            <w:tcW w:type="dxa" w:w="446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A faithful Coleman invariant κ exists</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CC-I statement schema; κ not yet defined</w:t>
            </w:r>
          </w:p>
        </w:tc>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8A5B00"/>
                <w:sz w:val="16"/>
              </w:rPr>
              <w:t>OPEN</w:t>
            </w:r>
          </w:p>
        </w:tc>
      </w:tr>
      <w:tr>
        <w:trPr>
          <w:cantSplit w:val="true"/>
        </w:trPr>
        <w:tc>
          <w:tcPr>
            <w:tcW w:type="dxa" w:w="446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Every exact Ξ carrier essentially uses Kakeya incidence</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CC-O statement schema; essentiality owed</w:t>
            </w:r>
          </w:p>
        </w:tc>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8A5B00"/>
                <w:sz w:val="16"/>
              </w:rPr>
              <w:t>OPEN</w:t>
            </w:r>
          </w:p>
        </w:tc>
      </w:tr>
      <w:tr>
        <w:trPr>
          <w:cantSplit w:val="true"/>
        </w:trPr>
        <w:tc>
          <w:tcPr>
            <w:tcW w:type="dxa" w:w="446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CC-I and CC-O are mathematically equivalent</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No bridge theorem supplied</w:t>
            </w:r>
          </w:p>
        </w:tc>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9B2C2C"/>
                <w:sz w:val="16"/>
              </w:rPr>
              <w:t>NOT SHOWN</w:t>
            </w:r>
          </w:p>
        </w:tc>
      </w:tr>
      <w:tr>
        <w:trPr>
          <w:cantSplit w:val="true"/>
        </w:trPr>
        <w:tc>
          <w:tcPr>
            <w:tcW w:type="dxa" w:w="446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Prime-carrying L3 is the live relocation target</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Lengths/weights/counting obligations</w:t>
            </w:r>
          </w:p>
        </w:tc>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275D38"/>
                <w:sz w:val="16"/>
              </w:rPr>
              <w:t>CANON</w:t>
            </w:r>
          </w:p>
        </w:tc>
      </w:tr>
      <w:tr>
        <w:trPr>
          <w:cantSplit w:val="true"/>
        </w:trPr>
        <w:tc>
          <w:tcPr>
            <w:tcW w:type="dxa" w:w="446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The alignment model is proved by Kakeya</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No mathematical implication to AI behavior</w:t>
            </w:r>
          </w:p>
        </w:tc>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9B2C2C"/>
                <w:sz w:val="16"/>
              </w:rPr>
              <w:t>NOT SHOWN</w:t>
            </w:r>
          </w:p>
        </w:tc>
      </w:tr>
      <w:tr>
        <w:trPr>
          <w:cantSplit w:val="true"/>
        </w:trPr>
        <w:tc>
          <w:tcPr>
            <w:tcW w:type="dxa" w:w="446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Conjecture custody is ready for controlled evaluation</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Protocol and falsifiers specified; no empirical run</w:t>
            </w:r>
          </w:p>
        </w:tc>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8A5B00"/>
                <w:sz w:val="16"/>
              </w:rPr>
              <w:t>PROPOSED</w:t>
            </w:r>
          </w:p>
        </w:tc>
      </w:tr>
      <w:tr>
        <w:trPr>
          <w:cantSplit w:val="true"/>
        </w:trPr>
        <w:tc>
          <w:tcPr>
            <w:tcW w:type="dxa" w:w="446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Benevolence Drift is present in the two registered cases</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Turn-level qualitative interaction receipts</w:t>
            </w:r>
          </w:p>
        </w:tc>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QUALITATIVE</w:t>
            </w:r>
          </w:p>
        </w:tc>
      </w:tr>
      <w:tr>
        <w:trPr>
          <w:cantSplit w:val="true"/>
        </w:trPr>
        <w:tc>
          <w:tcPr>
            <w:tcW w:type="dxa" w:w="446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Neutrality non-response is prevalent across AI systems</w:t>
            </w:r>
          </w:p>
        </w:tc>
        <w:tc>
          <w:tcPr>
            <w:tcW w:type="dxa" w:w="309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No representative benchmark or prevalence estimate</w:t>
            </w:r>
          </w:p>
        </w:tc>
        <w:tc>
          <w:tcPr>
            <w:tcW w:type="dxa" w:w="18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8A5B00"/>
                <w:sz w:val="16"/>
              </w:rPr>
              <w:t>OPEN</w:t>
            </w:r>
          </w:p>
        </w:tc>
      </w:tr>
    </w:tbl>
    <w:p>
      <w:pPr>
        <w:spacing w:after="0"/>
      </w:pP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Falsifiers, Risks, and Non-Goals</w:t>
      </w:r>
    </w:p>
    <w:p>
      <w:pPr>
        <w:pStyle w:val="Heading2"/>
        <w:keepNext/>
        <w:keepLines/>
        <w:pageBreakBefore w:val="0"/>
        <w:jc w:val="left"/>
        <w:widowControl w:val="true"/>
      </w:pPr>
      <w:r>
        <w:rPr>
          <w:rFonts w:ascii="Garamond" w:hAnsi="Garamond" w:eastAsia="Garamond" w:cs="Garamond"/>
          <w:b/>
          <w:i w:val="0"/>
          <w:color w:val="111111"/>
          <w:sz w:val="24"/>
          <w:u w:val="none"/>
        </w:rPr>
        <w:t>Primary falsifiers</w:t>
      </w:r>
    </w:p>
    <w:tbl>
      <w:tblPr>
        <w:tblW w:type="dxa" w:w="9360"/>
        <w:jc w:val="left"/>
        <w:tblLayout w:type="fixed"/>
        <w:tblLook w:firstColumn="1" w:firstRow="1" w:lastColumn="0" w:lastRow="0" w:noHBand="0" w:noVBand="1" w:val="04A0"/>
      </w:tblPr>
      <w:tblGrid>
        <w:gridCol w:w="3120"/>
        <w:gridCol w:w="3120"/>
        <w:gridCol w:w="3120"/>
      </w:tblGrid>
      <w:tr>
        <w:trPr>
          <w:tblHeader w:val="true"/>
          <w:cantSplit w:val="true"/>
        </w:trPr>
        <w:tc>
          <w:tcPr>
            <w:tcW w:type="dxa" w:w="1440"/>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ID</w:t>
            </w:r>
          </w:p>
        </w:tc>
        <w:tc>
          <w:tcPr>
            <w:tcW w:type="dxa" w:w="4968"/>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Event</w:t>
            </w:r>
          </w:p>
        </w:tc>
        <w:tc>
          <w:tcPr>
            <w:tcW w:type="dxa" w:w="2951"/>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Effect</w:t>
            </w:r>
          </w:p>
        </w:tc>
      </w:tr>
      <w:tr>
        <w:trPr>
          <w:cantSplit w:val="true"/>
        </w:trPr>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F-CC-I-1</w:t>
            </w:r>
          </w:p>
        </w:tc>
        <w:tc>
          <w:tcPr>
            <w:tcW w:type="dxa" w:w="496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κ = κ* for an admissible off-critical configuration</w:t>
            </w:r>
          </w:p>
        </w:tc>
        <w:tc>
          <w:tcPr>
            <w:tcW w:type="dxa" w:w="295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Falsifies κ or its normalization</w:t>
            </w:r>
          </w:p>
        </w:tc>
      </w:tr>
      <w:tr>
        <w:trPr>
          <w:cantSplit w:val="true"/>
        </w:trPr>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F-CC-O-1</w:t>
            </w:r>
          </w:p>
        </w:tc>
        <w:tc>
          <w:tcPr>
            <w:tcW w:type="dxa" w:w="496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An exact reality carrier is constructed without essential Kakeya incidence</w:t>
            </w:r>
          </w:p>
        </w:tc>
        <w:tc>
          <w:tcPr>
            <w:tcW w:type="dxa" w:w="295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Falsifies construction necessity</w:t>
            </w:r>
          </w:p>
        </w:tc>
      </w:tr>
      <w:tr>
        <w:trPr>
          <w:cantSplit w:val="true"/>
        </w:trPr>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F-CC-O-2</w:t>
            </w:r>
          </w:p>
        </w:tc>
        <w:tc>
          <w:tcPr>
            <w:tcW w:type="dxa" w:w="496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Incidence deletion preserves every exactness obligation</w:t>
            </w:r>
          </w:p>
        </w:tc>
        <w:tc>
          <w:tcPr>
            <w:tcW w:type="dxa" w:w="295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Falsifies the essentiality witness</w:t>
            </w:r>
          </w:p>
        </w:tc>
      </w:tr>
      <w:tr>
        <w:trPr>
          <w:cantSplit w:val="true"/>
        </w:trPr>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F-CIRC-1</w:t>
            </w:r>
          </w:p>
        </w:tc>
        <w:tc>
          <w:tcPr>
            <w:tcW w:type="dxa" w:w="496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The target zero set is inserted and later “recovered”</w:t>
            </w:r>
          </w:p>
        </w:tc>
        <w:tc>
          <w:tcPr>
            <w:tcW w:type="dxa" w:w="295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Rejects the construction as circular</w:t>
            </w:r>
          </w:p>
        </w:tc>
      </w:tr>
      <w:tr>
        <w:trPr>
          <w:cantSplit w:val="true"/>
        </w:trPr>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F-AI-1</w:t>
            </w:r>
          </w:p>
        </w:tc>
        <w:tc>
          <w:tcPr>
            <w:tcW w:type="dxa" w:w="496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Custody treatment resists decisive counterevidence</w:t>
            </w:r>
          </w:p>
        </w:tc>
        <w:tc>
          <w:tcPr>
            <w:tcW w:type="dxa" w:w="295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Fails correction and becomes obedience</w:t>
            </w:r>
          </w:p>
        </w:tc>
      </w:tr>
      <w:tr>
        <w:trPr>
          <w:cantSplit w:val="true"/>
        </w:trPr>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F-BD-1</w:t>
            </w:r>
          </w:p>
        </w:tc>
        <w:tc>
          <w:tcPr>
            <w:tcW w:type="dxa" w:w="496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A preregistered comparison finds no neutrality-linked delay or non-response signal</w:t>
            </w:r>
          </w:p>
        </w:tc>
        <w:tc>
          <w:tcPr>
            <w:tcW w:type="dxa" w:w="295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Defeats the Benevolence Drift mechanism at the tested scale</w:t>
            </w:r>
          </w:p>
        </w:tc>
      </w:tr>
      <w:tr>
        <w:trPr>
          <w:cantSplit w:val="true"/>
        </w:trPr>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F-SYNC-1</w:t>
            </w:r>
          </w:p>
        </w:tc>
        <w:tc>
          <w:tcPr>
            <w:tcW w:type="dxa" w:w="496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Public text promotes OPEN without a proof artifact</w:t>
            </w:r>
          </w:p>
        </w:tc>
        <w:tc>
          <w:tcPr>
            <w:tcW w:type="dxa" w:w="295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Publication rollback required</w:t>
            </w:r>
          </w:p>
        </w:tc>
      </w:tr>
    </w:tbl>
    <w:p>
      <w:pPr>
        <w:spacing w:after="0"/>
      </w:pPr>
    </w:p>
    <w:p>
      <w:pPr>
        <w:pStyle w:val="Heading2"/>
        <w:keepNext/>
        <w:keepLines/>
        <w:pageBreakBefore w:val="0"/>
        <w:jc w:val="left"/>
        <w:widowControl w:val="true"/>
      </w:pPr>
      <w:r>
        <w:rPr>
          <w:rFonts w:ascii="Garamond" w:hAnsi="Garamond" w:eastAsia="Garamond" w:cs="Garamond"/>
          <w:b/>
          <w:i w:val="0"/>
          <w:color w:val="111111"/>
          <w:sz w:val="24"/>
          <w:u w:val="none"/>
        </w:rPr>
        <w:t>Top risks</w:t>
      </w:r>
    </w:p>
    <w:tbl>
      <w:tblPr>
        <w:tblW w:type="dxa" w:w="9360"/>
        <w:jc w:val="left"/>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232"/>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Risk</w:t>
            </w:r>
          </w:p>
        </w:tc>
        <w:tc>
          <w:tcPr>
            <w:tcW w:type="dxa" w:w="1368"/>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Likelihood</w:t>
            </w:r>
          </w:p>
        </w:tc>
        <w:tc>
          <w:tcPr>
            <w:tcW w:type="dxa" w:w="1224"/>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Impact</w:t>
            </w:r>
          </w:p>
        </w:tc>
        <w:tc>
          <w:tcPr>
            <w:tcW w:type="dxa" w:w="4536"/>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Mitigation</w:t>
            </w:r>
          </w:p>
        </w:tc>
      </w:tr>
      <w:tr>
        <w:trPr>
          <w:cantSplit w:val="true"/>
        </w:trPr>
        <w:tc>
          <w:tcPr>
            <w:tcW w:type="dxa" w:w="223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Invariant tautology</w:t>
            </w:r>
          </w:p>
        </w:tc>
        <w:tc>
          <w:tcPr>
            <w:tcW w:type="dxa" w:w="136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High</w:t>
            </w:r>
          </w:p>
        </w:tc>
        <w:tc>
          <w:tcPr>
            <w:tcW w:type="dxa" w:w="122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Critical</w:t>
            </w:r>
          </w:p>
        </w:tc>
        <w:tc>
          <w:tcPr>
            <w:tcW w:type="dxa" w:w="453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Predefine faithfulness and non-circularity</w:t>
            </w:r>
          </w:p>
        </w:tc>
      </w:tr>
      <w:tr>
        <w:trPr>
          <w:cantSplit w:val="true"/>
        </w:trPr>
        <w:tc>
          <w:tcPr>
            <w:tcW w:type="dxa" w:w="223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Analogy promotion</w:t>
            </w:r>
          </w:p>
        </w:tc>
        <w:tc>
          <w:tcPr>
            <w:tcW w:type="dxa" w:w="136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High</w:t>
            </w:r>
          </w:p>
        </w:tc>
        <w:tc>
          <w:tcPr>
            <w:tcW w:type="dxa" w:w="122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High</w:t>
            </w:r>
          </w:p>
        </w:tc>
        <w:tc>
          <w:tcPr>
            <w:tcW w:type="dxa" w:w="453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Typed transitions and status diff</w:t>
            </w:r>
          </w:p>
        </w:tc>
      </w:tr>
      <w:tr>
        <w:trPr>
          <w:cantSplit w:val="true"/>
        </w:trPr>
        <w:tc>
          <w:tcPr>
            <w:tcW w:type="dxa" w:w="223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Wrong counting class</w:t>
            </w:r>
          </w:p>
        </w:tc>
        <w:tc>
          <w:tcPr>
            <w:tcW w:type="dxa" w:w="136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Medium</w:t>
            </w:r>
          </w:p>
        </w:tc>
        <w:tc>
          <w:tcPr>
            <w:tcW w:type="dxa" w:w="122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Critical</w:t>
            </w:r>
          </w:p>
        </w:tc>
        <w:tc>
          <w:tcPr>
            <w:tcW w:type="dxa" w:w="453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Riemann–von Mangoldt gate</w:t>
            </w:r>
          </w:p>
        </w:tc>
      </w:tr>
      <w:tr>
        <w:trPr>
          <w:cantSplit w:val="true"/>
        </w:trPr>
        <w:tc>
          <w:tcPr>
            <w:tcW w:type="dxa" w:w="223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Public canon drift</w:t>
            </w:r>
          </w:p>
        </w:tc>
        <w:tc>
          <w:tcPr>
            <w:tcW w:type="dxa" w:w="136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Medium</w:t>
            </w:r>
          </w:p>
        </w:tc>
        <w:tc>
          <w:tcPr>
            <w:tcW w:type="dxa" w:w="122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High</w:t>
            </w:r>
          </w:p>
        </w:tc>
        <w:tc>
          <w:tcPr>
            <w:tcW w:type="dxa" w:w="453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Dated source banner and sync checklist</w:t>
            </w:r>
          </w:p>
        </w:tc>
      </w:tr>
      <w:tr>
        <w:trPr>
          <w:cantSplit w:val="true"/>
        </w:trPr>
        <w:tc>
          <w:tcPr>
            <w:tcW w:type="dxa" w:w="223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Neutrality overgeneralization</w:t>
            </w:r>
          </w:p>
        </w:tc>
        <w:tc>
          <w:tcPr>
            <w:tcW w:type="dxa" w:w="136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High</w:t>
            </w:r>
          </w:p>
        </w:tc>
        <w:tc>
          <w:tcPr>
            <w:tcW w:type="dxa" w:w="122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High</w:t>
            </w:r>
          </w:p>
        </w:tc>
        <w:tc>
          <w:tcPr>
            <w:tcW w:type="dxa" w:w="453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Keep N = 2 explicit; run larger benchmark</w:t>
            </w:r>
          </w:p>
        </w:tc>
      </w:tr>
      <w:tr>
        <w:trPr>
          <w:cantSplit w:val="true"/>
        </w:trPr>
        <w:tc>
          <w:tcPr>
            <w:tcW w:type="dxa" w:w="2232"/>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Reviewer capture</w:t>
            </w:r>
          </w:p>
        </w:tc>
        <w:tc>
          <w:tcPr>
            <w:tcW w:type="dxa" w:w="136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Medium</w:t>
            </w:r>
          </w:p>
        </w:tc>
        <w:tc>
          <w:tcPr>
            <w:tcW w:type="dxa" w:w="122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High</w:t>
            </w:r>
          </w:p>
        </w:tc>
        <w:tc>
          <w:tcPr>
            <w:tcW w:type="dxa" w:w="4536"/>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Plural review, dissent, fork, exit</w:t>
            </w:r>
          </w:p>
        </w:tc>
      </w:tr>
    </w:tbl>
    <w:p>
      <w:pPr>
        <w:spacing w:after="0"/>
      </w:pPr>
    </w:p>
    <w:p>
      <w:pPr>
        <w:pStyle w:val="Heading2"/>
        <w:keepNext/>
        <w:keepLines/>
        <w:pageBreakBefore w:val="0"/>
        <w:jc w:val="left"/>
        <w:widowControl w:val="true"/>
      </w:pPr>
      <w:r>
        <w:rPr>
          <w:rFonts w:ascii="Garamond" w:hAnsi="Garamond" w:eastAsia="Garamond" w:cs="Garamond"/>
          <w:b/>
          <w:i w:val="0"/>
          <w:color w:val="111111"/>
          <w:sz w:val="24"/>
          <w:u w:val="none"/>
        </w:rPr>
        <w:t>Non-goals</w:t>
      </w:r>
    </w:p>
    <w:p>
      <w:pPr>
        <w:keepNext w:val="0"/>
        <w:keepLines w:val="0"/>
        <w:numPr>
          <w:ilvl w:val="0"/>
          <w:numId w:val="2"/>
        </w:numPr>
        <w:spacing w:after="60"/>
        <w:ind w:left="720" w:hanging="360"/>
        <w:widowControl w:val="true"/>
      </w:pPr>
      <w:r>
        <w:rPr>
          <w:rFonts w:ascii="Garamond" w:hAnsi="Garamond" w:eastAsia="Garamond" w:cs="Garamond"/>
          <w:color w:val="111111"/>
          <w:sz w:val="23"/>
        </w:rPr>
        <w:t>This memorandum does not prove RH, Coleman, or a Kakeya maximal-function conjecture.</w:t>
      </w:r>
    </w:p>
    <w:p>
      <w:pPr>
        <w:keepNext w:val="0"/>
        <w:keepLines w:val="0"/>
        <w:numPr>
          <w:ilvl w:val="0"/>
          <w:numId w:val="2"/>
        </w:numPr>
        <w:spacing w:after="60"/>
        <w:ind w:left="720" w:hanging="360"/>
        <w:widowControl w:val="true"/>
      </w:pPr>
      <w:r>
        <w:rPr>
          <w:rFonts w:ascii="Garamond" w:hAnsi="Garamond" w:eastAsia="Garamond" w:cs="Garamond"/>
          <w:color w:val="111111"/>
          <w:sz w:val="23"/>
        </w:rPr>
        <w:t>It does not state that standard Kakeya sets have infinite measure.</w:t>
      </w:r>
    </w:p>
    <w:p>
      <w:pPr>
        <w:keepNext w:val="0"/>
        <w:keepLines w:val="0"/>
        <w:numPr>
          <w:ilvl w:val="0"/>
          <w:numId w:val="2"/>
        </w:numPr>
        <w:spacing w:after="60"/>
        <w:ind w:left="720" w:hanging="360"/>
        <w:widowControl w:val="true"/>
      </w:pPr>
      <w:r>
        <w:rPr>
          <w:rFonts w:ascii="Garamond" w:hAnsi="Garamond" w:eastAsia="Garamond" w:cs="Garamond"/>
          <w:color w:val="111111"/>
          <w:sz w:val="23"/>
        </w:rPr>
        <w:t>It does not equate Light, overlap, or placement with a zeta-zero mechanism.</w:t>
      </w:r>
    </w:p>
    <w:p>
      <w:pPr>
        <w:keepNext w:val="0"/>
        <w:keepLines w:val="0"/>
        <w:numPr>
          <w:ilvl w:val="0"/>
          <w:numId w:val="2"/>
        </w:numPr>
        <w:spacing w:after="60"/>
        <w:ind w:left="720" w:hanging="360"/>
        <w:widowControl w:val="true"/>
      </w:pPr>
      <w:r>
        <w:rPr>
          <w:rFonts w:ascii="Garamond" w:hAnsi="Garamond" w:eastAsia="Garamond" w:cs="Garamond"/>
          <w:color w:val="111111"/>
          <w:sz w:val="23"/>
        </w:rPr>
        <w:t>It does not treat an AI response, finite probe, or βHR score as theorem evidence.</w:t>
      </w:r>
    </w:p>
    <w:p>
      <w:pPr>
        <w:keepNext w:val="0"/>
        <w:keepLines w:val="0"/>
        <w:numPr>
          <w:ilvl w:val="0"/>
          <w:numId w:val="2"/>
        </w:numPr>
        <w:spacing w:after="60"/>
        <w:ind w:left="720" w:hanging="360"/>
        <w:widowControl w:val="true"/>
      </w:pPr>
      <w:r>
        <w:rPr>
          <w:rFonts w:ascii="Garamond" w:hAnsi="Garamond" w:eastAsia="Garamond" w:cs="Garamond"/>
          <w:color w:val="111111"/>
          <w:sz w:val="23"/>
        </w:rPr>
        <w:t>It does not estimate Benevolence Drift prevalence or causation from two qualitative cases.</w:t>
      </w:r>
    </w:p>
    <w:p>
      <w:pPr>
        <w:keepNext w:val="0"/>
        <w:keepLines w:val="0"/>
        <w:numPr>
          <w:ilvl w:val="0"/>
          <w:numId w:val="2"/>
        </w:numPr>
        <w:spacing w:after="60"/>
        <w:ind w:left="720" w:hanging="360"/>
        <w:widowControl w:val="true"/>
      </w:pPr>
      <w:r>
        <w:rPr>
          <w:rFonts w:ascii="Garamond" w:hAnsi="Garamond" w:eastAsia="Garamond" w:cs="Garamond"/>
          <w:color w:val="111111"/>
          <w:sz w:val="23"/>
        </w:rPr>
        <w:t>It does not claim completed external peer review or deployment certification.</w:t>
      </w: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Conclusion and Publication Decision</w:t>
      </w:r>
    </w:p>
    <w:p>
      <w:pPr>
        <w:keepNext w:val="0"/>
        <w:keepLines w:val="0"/>
        <w:spacing w:after="100" w:line="276" w:lineRule="auto"/>
        <w:jc w:val="both"/>
        <w:widowControl w:val="true"/>
      </w:pPr>
      <w:r>
        <w:rPr>
          <w:rFonts w:ascii="Garamond" w:hAnsi="Garamond" w:eastAsia="Garamond" w:cs="Garamond"/>
          <w:i w:val="0"/>
          <w:color w:val="111111"/>
          <w:sz w:val="23"/>
        </w:rPr>
        <w:t>The Coleman and Critical-Line Firewall is no longer a placeholder around an unstated idea. It is now a typed research program with one background level and two separately falsifiable open forms. The update preserves Manuel Coleman’s necessary-antecedent insight while refusing the invalid shortcut from Kakeya geometry to RH.</w:t>
      </w:r>
    </w:p>
    <w:p>
      <w:pPr>
        <w:keepNext w:val="0"/>
        <w:keepLines w:val="0"/>
        <w:spacing w:after="100" w:line="276" w:lineRule="auto"/>
        <w:jc w:val="both"/>
        <w:widowControl w:val="true"/>
      </w:pPr>
      <w:r>
        <w:rPr>
          <w:rFonts w:ascii="Garamond" w:hAnsi="Garamond" w:eastAsia="Garamond" w:cs="Garamond"/>
          <w:i w:val="0"/>
          <w:color w:val="111111"/>
          <w:sz w:val="23"/>
        </w:rPr>
        <w:t>The recommended publication posture is therefore affirmative but bounded: publish this final PeAIce Outcomes memorandum as the controlling public-research document; display the OPEN banner; identify CC-I and CC-O separately; retain the negative lanes and falsifiers; invite independent mathematical critique; and refresh the version-1 Outcomes page so every public Coleman sentence uses the same versioned N-reading. The route is live; content synchronization remains an owed publication task.</w:t>
      </w:r>
    </w:p>
    <w:p>
      <w:pPr>
        <w:spacing w:before="100" w:after="240" w:line="264" w:lineRule="auto"/>
        <w:ind w:left="173" w:right="115"/>
        <w:jc w:val="left"/>
        <w:shd w:val="clear" w:color="auto" w:fill="EAF2EA"/>
        <w:keepNext w:val="0"/>
        <w:keepLines/>
        <w:pBdr>
          <w:left w:val="single" w:sz="16" w:space="7" w:color="333333"/>
        </w:pBdr>
        <w:widowControl w:val="true"/>
      </w:pPr>
      <w:r>
        <w:rPr>
          <w:rFonts w:ascii="Garamond" w:hAnsi="Garamond" w:eastAsia="Garamond" w:cs="Garamond"/>
          <w:b/>
          <w:color w:val="111111"/>
          <w:sz w:val="21"/>
        </w:rPr>
        <w:t xml:space="preserve">DECISION. </w:t>
      </w:r>
      <w:r>
        <w:rPr>
          <w:rFonts w:ascii="Garamond" w:hAnsi="Garamond" w:eastAsia="Garamond" w:cs="Garamond"/>
          <w:color w:val="111111"/>
          <w:sz w:val="21"/>
        </w:rPr>
        <w:t>FINAL DOCUMENT READY FOR PUBLIC RESEARCH RELEASE. CANONICAL ROUTE LIVE; SITE-CONTENT REFRESH OWED. NOT A PROOF. NOT PEER-REVIEWED. RH OPEN · COLEMAN OPEN · CC-I OPEN · CC-O OPEN · Benevolence Drift benchmark OPEN · h &lt; 1.</w:t>
      </w:r>
    </w:p>
    <w:p>
      <w:pPr>
        <w:spacing w:before="100" w:after="240" w:line="264" w:lineRule="auto"/>
        <w:ind w:left="173" w:right="115"/>
        <w:jc w:val="left"/>
        <w:shd w:val="clear" w:color="auto" w:fill="F6F0DE"/>
        <w:keepNext w:val="0"/>
        <w:keepLines/>
        <w:pBdr>
          <w:left w:val="single" w:sz="16" w:space="7" w:color="333333"/>
        </w:pBdr>
        <w:widowControl w:val="true"/>
      </w:pPr>
      <w:r>
        <w:rPr>
          <w:rFonts w:ascii="Garamond" w:hAnsi="Garamond" w:eastAsia="Garamond" w:cs="Garamond"/>
          <w:b/>
          <w:color w:val="111111"/>
          <w:sz w:val="21"/>
        </w:rPr>
        <w:t xml:space="preserve">GOVERNING RULE. </w:t>
      </w:r>
      <w:r>
        <w:rPr>
          <w:rFonts w:ascii="Garamond" w:hAnsi="Garamond" w:eastAsia="Garamond" w:cs="Garamond"/>
          <w:color w:val="111111"/>
          <w:sz w:val="21"/>
        </w:rPr>
        <w:t>Protect the question. Expose the answer to evidence. Help build outcomes.</w:t>
      </w:r>
    </w:p>
    <w:p>
      <w:pPr>
        <w:pStyle w:val="Heading2"/>
        <w:keepNext/>
        <w:keepLines/>
        <w:pageBreakBefore w:val="0"/>
        <w:jc w:val="left"/>
        <w:widowControl w:val="true"/>
      </w:pPr>
      <w:r>
        <w:rPr>
          <w:rFonts w:ascii="Garamond" w:hAnsi="Garamond" w:eastAsia="Garamond" w:cs="Garamond"/>
          <w:b/>
          <w:i w:val="0"/>
          <w:color w:val="111111"/>
          <w:sz w:val="24"/>
          <w:u w:val="none"/>
        </w:rPr>
        <w:t>Milestones after publication</w:t>
      </w:r>
    </w:p>
    <w:tbl>
      <w:tblPr>
        <w:tblW w:type="dxa" w:w="9360"/>
        <w:jc w:val="left"/>
        <w:tblLayout w:type="fixed"/>
        <w:tblLook w:firstColumn="1" w:firstRow="1" w:lastColumn="0" w:lastRow="0" w:noHBand="0" w:noVBand="1" w:val="04A0"/>
      </w:tblPr>
      <w:tblGrid>
        <w:gridCol w:w="3120"/>
        <w:gridCol w:w="3120"/>
        <w:gridCol w:w="3120"/>
      </w:tblGrid>
      <w:tr>
        <w:trPr>
          <w:tblHeader w:val="true"/>
          <w:cantSplit w:val="true"/>
        </w:trPr>
        <w:tc>
          <w:tcPr>
            <w:tcW w:type="dxa" w:w="2088"/>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Milestone</w:t>
            </w:r>
          </w:p>
        </w:tc>
        <w:tc>
          <w:tcPr>
            <w:tcW w:type="dxa" w:w="3671"/>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Deliverable</w:t>
            </w:r>
          </w:p>
        </w:tc>
        <w:tc>
          <w:tcPr>
            <w:tcW w:type="dxa" w:w="3600"/>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6"/>
              </w:rPr>
              <w:t>Exit criterion</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M1 · Outcomes refresh</w:t>
            </w:r>
          </w:p>
        </w:tc>
        <w:tc>
          <w:tcPr>
            <w:tcW w:type="dxa" w:w="367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Publish this edition’s six findings and dated N-reading at the canonical route</w:t>
            </w:r>
          </w:p>
        </w:tc>
        <w:tc>
          <w:tcPr>
            <w:tcW w:type="dxa" w:w="36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No S-reading, CC-I/CC-O conflation, or stale v1 limitation</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M2 · essentiality</w:t>
            </w:r>
          </w:p>
        </w:tc>
        <w:tc>
          <w:tcPr>
            <w:tcW w:type="dxa" w:w="367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Formal EssentialKakeya(B) definition</w:t>
            </w:r>
          </w:p>
        </w:tc>
        <w:tc>
          <w:tcPr>
            <w:tcW w:type="dxa" w:w="36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Deletion/deformation test is non-circular</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M3 · faithful κ</w:t>
            </w:r>
          </w:p>
        </w:tc>
        <w:tc>
          <w:tcPr>
            <w:tcW w:type="dxa" w:w="367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Candidate invariant and admissible class</w:t>
            </w:r>
          </w:p>
        </w:tc>
        <w:tc>
          <w:tcPr>
            <w:tcW w:type="dxa" w:w="36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Exact-location and multiplicity tests pass</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M4 · prime carrier</w:t>
            </w:r>
          </w:p>
        </w:tc>
        <w:tc>
          <w:tcPr>
            <w:tcW w:type="dxa" w:w="367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L3 operator interface</w:t>
            </w:r>
          </w:p>
        </w:tc>
        <w:tc>
          <w:tcPr>
            <w:tcW w:type="dxa" w:w="36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Lengths, weights, counting, domain, and reality gates pass</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6"/>
              </w:rPr>
              <w:t>M5 · partnership pilot</w:t>
            </w:r>
          </w:p>
        </w:tc>
        <w:tc>
          <w:tcPr>
            <w:tcW w:type="dxa" w:w="367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Needle / sticky / coherent custody arms plus a neutrality-response condition</w:t>
            </w:r>
          </w:p>
        </w:tc>
        <w:tc>
          <w:tcPr>
            <w:tcW w:type="dxa" w:w="36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6"/>
              </w:rPr>
              <w:t>Counterevidence, naming, dissent, correction, and exit remain effective</w:t>
            </w:r>
          </w:p>
        </w:tc>
      </w:tr>
      <w:tr>
        <w:trPr>
          <w:cantSplit w:val="true"/>
        </w:trPr>
        <w:tc>
          <w:tcPr>
            <w:tcW w:type="dxa" w:w="208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6"/>
              </w:rPr>
              <w:t>M6 · external review</w:t>
            </w:r>
          </w:p>
        </w:tc>
        <w:tc>
          <w:tcPr>
            <w:tcW w:type="dxa" w:w="367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Independent mathematical and methods critique</w:t>
            </w:r>
          </w:p>
        </w:tc>
        <w:tc>
          <w:tcPr>
            <w:tcW w:type="dxa" w:w="360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6"/>
              </w:rPr>
              <w:t>Objections answered or recorded; larger Benevolence Drift benchmark preregistered</w:t>
            </w:r>
          </w:p>
        </w:tc>
      </w:tr>
    </w:tbl>
    <w:p>
      <w:pPr>
        <w:spacing w:after="0"/>
      </w:pP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References and Source Register</w:t>
      </w:r>
    </w:p>
    <w:p>
      <w:pPr>
        <w:keepNext w:val="0"/>
        <w:keepLines w:val="0"/>
        <w:spacing w:after="80"/>
        <w:ind w:left="403" w:hanging="403"/>
        <w:widowControl w:val="true"/>
      </w:pPr>
      <w:r>
        <w:rPr>
          <w:rFonts w:ascii="Garamond" w:hAnsi="Garamond" w:eastAsia="Garamond" w:cs="Garamond"/>
          <w:color w:val="111111"/>
          <w:sz w:val="21"/>
        </w:rPr>
        <w:t>[1] H. Wang and J. Zahl, “Volume estimates for unions of convex sets, and the Kakeya set conjecture in three dimensions,” arXiv:2502.17655v1 (2025).</w:t>
      </w:r>
      <w:r>
        <w:rPr>
          <w:rFonts w:ascii="Garamond" w:hAnsi="Garamond" w:eastAsia="Garamond" w:cs="Garamond"/>
          <w:color w:val="111111"/>
          <w:sz w:val="21"/>
        </w:rPr>
        <w:t xml:space="preserve"> </w:t>
      </w:r>
      <w:hyperlink r:id="rId9">
        <w:r>
          <w:rPr>
            <w:rFonts w:ascii="Garamond" w:hAnsi="Garamond" w:eastAsia="Garamond" w:cs="Garamond"/>
            <w:color w:val="1F5F8B"/>
            <w:u w:val="single"/>
            <w:sz w:val="22"/>
            <w:szCs w:val="22"/>
          </w:rPr>
          <w:t>Source</w:t>
        </w:r>
      </w:hyperlink>
    </w:p>
    <w:p>
      <w:pPr>
        <w:keepNext w:val="0"/>
        <w:keepLines w:val="0"/>
        <w:spacing w:after="80"/>
        <w:ind w:left="403" w:hanging="403"/>
        <w:widowControl w:val="true"/>
      </w:pPr>
      <w:r>
        <w:rPr>
          <w:rFonts w:ascii="Garamond" w:hAnsi="Garamond" w:eastAsia="Garamond" w:cs="Garamond"/>
          <w:color w:val="111111"/>
          <w:sz w:val="21"/>
        </w:rPr>
        <w:t>[2] L. Guth, H. Wang, and J. Zahl, “A streamlined proof of the Kakeya set conjecture in R³,” arXiv:2601.14411v1 (2026).</w:t>
      </w:r>
      <w:r>
        <w:rPr>
          <w:rFonts w:ascii="Garamond" w:hAnsi="Garamond" w:eastAsia="Garamond" w:cs="Garamond"/>
          <w:color w:val="111111"/>
          <w:sz w:val="21"/>
        </w:rPr>
        <w:t xml:space="preserve"> </w:t>
      </w:r>
      <w:hyperlink r:id="rId10">
        <w:r>
          <w:rPr>
            <w:rFonts w:ascii="Garamond" w:hAnsi="Garamond" w:eastAsia="Garamond" w:cs="Garamond"/>
            <w:color w:val="1F5F8B"/>
            <w:u w:val="single"/>
            <w:sz w:val="22"/>
            <w:szCs w:val="22"/>
          </w:rPr>
          <w:t>Source</w:t>
        </w:r>
      </w:hyperlink>
    </w:p>
    <w:p>
      <w:pPr>
        <w:keepNext w:val="0"/>
        <w:keepLines w:val="0"/>
        <w:spacing w:after="80"/>
        <w:ind w:left="403" w:hanging="403"/>
        <w:widowControl w:val="true"/>
      </w:pPr>
      <w:r>
        <w:rPr>
          <w:rFonts w:ascii="Garamond" w:hAnsi="Garamond" w:eastAsia="Garamond" w:cs="Garamond"/>
          <w:color w:val="111111"/>
          <w:sz w:val="21"/>
        </w:rPr>
        <w:t>[3] E. Bombieri, “The Riemann Hypothesis,” Clay Mathematics Institute.</w:t>
      </w:r>
      <w:r>
        <w:rPr>
          <w:rFonts w:ascii="Garamond" w:hAnsi="Garamond" w:eastAsia="Garamond" w:cs="Garamond"/>
          <w:color w:val="111111"/>
          <w:sz w:val="21"/>
        </w:rPr>
        <w:t xml:space="preserve"> </w:t>
      </w:r>
      <w:hyperlink r:id="rId11">
        <w:r>
          <w:rPr>
            <w:rFonts w:ascii="Garamond" w:hAnsi="Garamond" w:eastAsia="Garamond" w:cs="Garamond"/>
            <w:color w:val="1F5F8B"/>
            <w:u w:val="single"/>
            <w:sz w:val="22"/>
            <w:szCs w:val="22"/>
          </w:rPr>
          <w:t>Source</w:t>
        </w:r>
      </w:hyperlink>
    </w:p>
    <w:p>
      <w:pPr>
        <w:keepNext w:val="0"/>
        <w:keepLines w:val="0"/>
        <w:spacing w:after="80"/>
        <w:ind w:left="403" w:hanging="403"/>
        <w:widowControl w:val="true"/>
      </w:pPr>
      <w:r>
        <w:rPr>
          <w:rFonts w:ascii="Garamond" w:hAnsi="Garamond" w:eastAsia="Garamond" w:cs="Garamond"/>
          <w:color w:val="111111"/>
          <w:sz w:val="21"/>
        </w:rPr>
        <w:t>[4] M. Coleman / PeAIce, “The Coleman Conjecture: Formal N-reading, Kakeya-Light antecedent, and research-system design,” PEAICE-KAKEYALOGIC-CC-001.</w:t>
      </w:r>
    </w:p>
    <w:p>
      <w:pPr>
        <w:keepNext w:val="0"/>
        <w:keepLines w:val="0"/>
        <w:spacing w:after="80"/>
        <w:ind w:left="403" w:hanging="403"/>
        <w:widowControl w:val="true"/>
      </w:pPr>
      <w:r>
        <w:rPr>
          <w:rFonts w:ascii="Garamond" w:hAnsi="Garamond" w:eastAsia="Garamond" w:cs="Garamond"/>
          <w:color w:val="111111"/>
          <w:sz w:val="21"/>
        </w:rPr>
        <w:t>[5] KakeyaLogic, “Kakeya as Antecedent to the Riemann Hypothesis — the Coleman Conjecture.”</w:t>
      </w:r>
      <w:r>
        <w:rPr>
          <w:rFonts w:ascii="Garamond" w:hAnsi="Garamond" w:eastAsia="Garamond" w:cs="Garamond"/>
          <w:color w:val="111111"/>
          <w:sz w:val="21"/>
        </w:rPr>
        <w:t xml:space="preserve"> </w:t>
      </w:r>
      <w:hyperlink r:id="rId12">
        <w:r>
          <w:rPr>
            <w:rFonts w:ascii="Garamond" w:hAnsi="Garamond" w:eastAsia="Garamond" w:cs="Garamond"/>
            <w:color w:val="1F5F8B"/>
            <w:u w:val="single"/>
            <w:sz w:val="22"/>
            <w:szCs w:val="22"/>
          </w:rPr>
          <w:t>Source</w:t>
        </w:r>
      </w:hyperlink>
    </w:p>
    <w:p>
      <w:pPr>
        <w:keepNext w:val="0"/>
        <w:keepLines w:val="0"/>
        <w:spacing w:after="80"/>
        <w:ind w:left="403" w:hanging="403"/>
        <w:widowControl w:val="true"/>
      </w:pPr>
      <w:r>
        <w:rPr>
          <w:rFonts w:ascii="Garamond" w:hAnsi="Garamond" w:eastAsia="Garamond" w:cs="Garamond"/>
          <w:color w:val="111111"/>
          <w:sz w:val="21"/>
        </w:rPr>
        <w:t>[6] PeAIce / Claude V6, canonical status block, β-Protocol, wall registry, and prime-carrying L3.</w:t>
      </w:r>
      <w:r>
        <w:rPr>
          <w:rFonts w:ascii="Garamond" w:hAnsi="Garamond" w:eastAsia="Garamond" w:cs="Garamond"/>
          <w:color w:val="111111"/>
          <w:sz w:val="21"/>
        </w:rPr>
        <w:t xml:space="preserve"> </w:t>
      </w:r>
      <w:hyperlink r:id="rId13">
        <w:r>
          <w:rPr>
            <w:rFonts w:ascii="Garamond" w:hAnsi="Garamond" w:eastAsia="Garamond" w:cs="Garamond"/>
            <w:color w:val="1F5F8B"/>
            <w:u w:val="single"/>
            <w:sz w:val="22"/>
            <w:szCs w:val="22"/>
          </w:rPr>
          <w:t>Source</w:t>
        </w:r>
      </w:hyperlink>
    </w:p>
    <w:p>
      <w:pPr>
        <w:keepNext w:val="0"/>
        <w:keepLines w:val="0"/>
        <w:spacing w:after="80"/>
        <w:ind w:left="403" w:hanging="403"/>
        <w:widowControl w:val="true"/>
      </w:pPr>
      <w:r>
        <w:rPr>
          <w:rFonts w:ascii="Garamond" w:hAnsi="Garamond" w:eastAsia="Garamond" w:cs="Garamond"/>
          <w:color w:val="111111"/>
          <w:sz w:val="21"/>
        </w:rPr>
        <w:t>[7] PeAIce, “KakeyaLogic Applied: Conjecture Custody &amp; Circular AI Alignment,” PeAIce Outcomes version-1 public surface (July 27, 2026); canonical route live, content refresh controlled by this final memorandum.</w:t>
      </w:r>
      <w:r>
        <w:rPr>
          <w:rFonts w:ascii="Garamond" w:hAnsi="Garamond" w:eastAsia="Garamond" w:cs="Garamond"/>
          <w:color w:val="111111"/>
          <w:sz w:val="21"/>
        </w:rPr>
        <w:t xml:space="preserve"> </w:t>
      </w:r>
      <w:hyperlink r:id="rId6">
        <w:r>
          <w:rPr>
            <w:rFonts w:ascii="Garamond" w:hAnsi="Garamond" w:eastAsia="Garamond" w:cs="Garamond"/>
            <w:color w:val="1F5F8B"/>
            <w:u w:val="single"/>
            <w:sz w:val="22"/>
            <w:szCs w:val="22"/>
          </w:rPr>
          <w:t>Source</w:t>
        </w:r>
      </w:hyperlink>
    </w:p>
    <w:p>
      <w:pPr>
        <w:keepNext w:val="0"/>
        <w:keepLines w:val="0"/>
        <w:spacing w:after="80"/>
        <w:ind w:left="403" w:hanging="403"/>
        <w:widowControl w:val="true"/>
      </w:pPr>
      <w:r>
        <w:rPr>
          <w:rFonts w:ascii="Garamond" w:hAnsi="Garamond" w:eastAsia="Garamond" w:cs="Garamond"/>
          <w:color w:val="111111"/>
          <w:sz w:val="21"/>
        </w:rPr>
        <w:t>[8] KakeyaLogic Applied v1, “Conjecture Custody &amp; Circular AI Alignment,” PEAICE–KAKEYALOGIC–OUTCOMES–CRL–001 (July 27, 2026).</w:t>
      </w:r>
    </w:p>
    <w:p>
      <w:pPr>
        <w:keepNext w:val="0"/>
        <w:keepLines w:val="0"/>
        <w:spacing w:after="80"/>
        <w:ind w:left="403" w:hanging="403"/>
        <w:widowControl w:val="true"/>
      </w:pPr>
      <w:r>
        <w:rPr>
          <w:rFonts w:ascii="Garamond" w:hAnsi="Garamond" w:eastAsia="Garamond" w:cs="Garamond"/>
          <w:color w:val="111111"/>
          <w:sz w:val="21"/>
        </w:rPr>
        <w:t>[9] PeAIce / LoveLabs, “Benevolence Drift: AI Neutrality Under Pressure,” qualitative two-case research record; broader prevalence claim remains open.</w:t>
      </w:r>
      <w:r>
        <w:rPr>
          <w:rFonts w:ascii="Garamond" w:hAnsi="Garamond" w:eastAsia="Garamond" w:cs="Garamond"/>
          <w:color w:val="111111"/>
          <w:sz w:val="21"/>
        </w:rPr>
        <w:t xml:space="preserve"> </w:t>
      </w:r>
      <w:hyperlink r:id="rId14">
        <w:r>
          <w:rPr>
            <w:rFonts w:ascii="Garamond" w:hAnsi="Garamond" w:eastAsia="Garamond" w:cs="Garamond"/>
            <w:color w:val="1F5F8B"/>
            <w:u w:val="single"/>
            <w:sz w:val="22"/>
            <w:szCs w:val="22"/>
          </w:rPr>
          <w:t>Source</w:t>
        </w:r>
      </w:hyperlink>
    </w:p>
    <w:p>
      <w:pPr>
        <w:keepNext w:val="0"/>
        <w:keepLines w:val="0"/>
        <w:spacing w:after="80"/>
        <w:ind w:left="403" w:hanging="403"/>
        <w:widowControl w:val="true"/>
      </w:pPr>
      <w:r>
        <w:rPr>
          <w:rFonts w:ascii="Garamond" w:hAnsi="Garamond" w:eastAsia="Garamond" w:cs="Garamond"/>
          <w:color w:val="111111"/>
          <w:sz w:val="21"/>
        </w:rPr>
        <w:t>[10] LoveLabs-LCA, “Benevolence Drift / AI Neutrality Under Pressure,” research artifact.</w:t>
      </w:r>
      <w:r>
        <w:rPr>
          <w:rFonts w:ascii="Garamond" w:hAnsi="Garamond" w:eastAsia="Garamond" w:cs="Garamond"/>
          <w:color w:val="111111"/>
          <w:sz w:val="21"/>
        </w:rPr>
        <w:t xml:space="preserve"> </w:t>
      </w:r>
      <w:hyperlink r:id="rId15">
        <w:r>
          <w:rPr>
            <w:rFonts w:ascii="Garamond" w:hAnsi="Garamond" w:eastAsia="Garamond" w:cs="Garamond"/>
            <w:color w:val="1F5F8B"/>
            <w:u w:val="single"/>
            <w:sz w:val="22"/>
            <w:szCs w:val="22"/>
          </w:rPr>
          <w:t>Source</w:t>
        </w:r>
      </w:hyperlink>
    </w:p>
    <w:p>
      <w:pPr>
        <w:keepNext w:val="0"/>
        <w:keepLines w:val="0"/>
        <w:spacing w:after="80"/>
        <w:ind w:left="403" w:hanging="403"/>
        <w:widowControl w:val="true"/>
      </w:pPr>
      <w:r>
        <w:rPr>
          <w:rFonts w:ascii="Garamond" w:hAnsi="Garamond" w:eastAsia="Garamond" w:cs="Garamond"/>
          <w:color w:val="111111"/>
          <w:sz w:val="21"/>
        </w:rPr>
        <w:t>[11] Interaction receipts supplied by the user on July 27, 2026; reproduced below.</w:t>
      </w:r>
    </w:p>
    <w:p>
      <w:pPr>
        <w:keepNext w:val="0"/>
        <w:keepLines w:val="0"/>
        <w:spacing w:after="100" w:line="276" w:lineRule="auto"/>
        <w:jc w:val="both"/>
        <w:widowControl w:val="true"/>
      </w:pPr>
      <w:r>
        <w:rPr>
          <w:rFonts w:ascii="Garamond" w:hAnsi="Garamond" w:eastAsia="Garamond" w:cs="Garamond"/>
          <w:b/>
          <w:color w:val="111111"/>
          <w:sz w:val="23"/>
        </w:rPr>
        <w:t>SOURCE-HANDLING NOTE.</w:t>
      </w:r>
      <w:r>
        <w:rPr>
          <w:rFonts w:ascii="Garamond" w:hAnsi="Garamond" w:eastAsia="Garamond" w:cs="Garamond"/>
          <w:i w:val="0"/>
          <w:color w:val="111111"/>
          <w:sz w:val="23"/>
        </w:rPr>
        <w:t xml:space="preserve"> External papers are mathematical grounding only; no affiliation, endorsement, or supervision by their authors is claimed. Repository and PeAIce documents are program artifacts. Their OPEN labels are preserved rather than converted into peer review.</w:t>
      </w: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Appendix A — Alignment Metric Firewall</w:t>
      </w:r>
    </w:p>
    <w:p>
      <w:pPr>
        <w:pStyle w:val="Equation"/>
        <w:keepNext w:val="0"/>
        <w:keepLines/>
        <w:spacing w:before="80" w:after="120"/>
        <w:jc w:val="center"/>
        <w:widowControl w:val="true"/>
      </w:pPr>
      <m:oMathPara>
        <m:oMathParaPr>
          <m:jc m:val="center"/>
        </m:oMathParaPr>
        <m:oMath>
          <m:r>
            <m:rPr>
              <m:sty m:val="p"/>
            </m:rPr>
            <m:t>Dexist = (1/|U|) Σᵤ maxₐ minₜ≤T₀ y(u,a,t)</m:t>
          </m:r>
        </m:oMath>
      </m:oMathPara>
      <w:r>
        <w:rPr>
          <w:rFonts w:ascii="Cambria Math" w:hAnsi="Cambria Math" w:eastAsia="Cambria Math" w:cs="Cambria Math"/>
          <w:color w:val="333333"/>
          <w:sz w:val="19"/>
        </w:rPr>
        <w:t xml:space="preserve">    (A1)</w:t>
      </w:r>
    </w:p>
    <w:p>
      <w:pPr>
        <w:pStyle w:val="Equation"/>
        <w:keepNext w:val="0"/>
        <w:keepLines/>
        <w:spacing w:before="80" w:after="120"/>
        <w:jc w:val="center"/>
        <w:widowControl w:val="true"/>
      </w:pPr>
      <m:oMathPara>
        <m:oMathParaPr>
          <m:jc m:val="center"/>
        </m:oMathParaPr>
        <m:oMath>
          <m:r>
            <m:rPr>
              <m:sty m:val="p"/>
            </m:rPr>
            <m:t>MΩ = [1/(|U||A|(T+1))] Σᵤ,ₐ,ₜ y(u,a,t)</m:t>
          </m:r>
        </m:oMath>
      </m:oMathPara>
      <w:r>
        <w:rPr>
          <w:rFonts w:ascii="Cambria Math" w:hAnsi="Cambria Math" w:eastAsia="Cambria Math" w:cs="Cambria Math"/>
          <w:color w:val="333333"/>
          <w:sz w:val="19"/>
        </w:rPr>
        <w:t xml:space="preserve">    (A2)</w:t>
      </w:r>
    </w:p>
    <w:p>
      <w:pPr>
        <w:pStyle w:val="Equation"/>
        <w:keepNext w:val="0"/>
        <w:keepLines/>
        <w:spacing w:before="80" w:after="120"/>
        <w:jc w:val="center"/>
        <w:widowControl w:val="true"/>
      </w:pPr>
      <m:oMathPara>
        <m:oMathParaPr>
          <m:jc m:val="center"/>
        </m:oMathParaPr>
        <m:oMath>
          <m:r>
            <m:rPr>
              <m:sty m:val="p"/>
            </m:rPr>
            <m:t>GK = max(0, Dexist − MΩ)</m:t>
          </m:r>
        </m:oMath>
      </m:oMathPara>
      <w:r>
        <w:rPr>
          <w:rFonts w:ascii="Cambria Math" w:hAnsi="Cambria Math" w:eastAsia="Cambria Math" w:cs="Cambria Math"/>
          <w:color w:val="333333"/>
          <w:sz w:val="19"/>
        </w:rPr>
        <w:t xml:space="preserve">    (A3)</w:t>
      </w:r>
    </w:p>
    <w:p>
      <w:pPr>
        <w:pStyle w:val="Equation"/>
        <w:keepNext w:val="0"/>
        <w:keepLines/>
        <w:spacing w:before="80" w:after="120"/>
        <w:jc w:val="center"/>
        <w:widowControl w:val="true"/>
      </w:pPr>
      <m:oMathPara>
        <m:oMathParaPr>
          <m:jc m:val="center"/>
        </m:oMathParaPr>
        <m:oMath>
          <m:r>
            <m:rPr>
              <m:sty m:val="p"/>
            </m:rPr>
            <m:t>Cworst = minᵤ [1/(|A|(T+1))] Σₐ,ₜ y(u,a,t)</m:t>
          </m:r>
        </m:oMath>
      </m:oMathPara>
      <w:r>
        <w:rPr>
          <w:rFonts w:ascii="Cambria Math" w:hAnsi="Cambria Math" w:eastAsia="Cambria Math" w:cs="Cambria Math"/>
          <w:color w:val="333333"/>
          <w:sz w:val="19"/>
        </w:rPr>
        <w:t xml:space="preserve">    (A4)</w:t>
      </w:r>
    </w:p>
    <w:p>
      <w:pPr>
        <w:pStyle w:val="Equation"/>
        <w:keepNext w:val="0"/>
        <w:keepLines/>
        <w:spacing w:before="80" w:after="120"/>
        <w:jc w:val="center"/>
        <w:widowControl w:val="true"/>
      </w:pPr>
      <m:oMathPara>
        <m:oMathParaPr>
          <m:jc m:val="center"/>
        </m:oMathParaPr>
        <m:oMath>
          <m:r>
            <m:rPr>
              <m:sty m:val="p"/>
            </m:rPr>
            <m:t>RC(T)=Eᵤ,ₐ ‖PC Uₐ(T)ψᵤ‖²</m:t>
          </m:r>
        </m:oMath>
      </m:oMathPara>
      <w:r>
        <w:rPr>
          <w:rFonts w:ascii="Cambria Math" w:hAnsi="Cambria Math" w:eastAsia="Cambria Math" w:cs="Cambria Math"/>
          <w:color w:val="333333"/>
          <w:sz w:val="19"/>
        </w:rPr>
        <w:t xml:space="preserve">    (A5)</w:t>
      </w:r>
    </w:p>
    <w:p>
      <w:pPr>
        <w:pStyle w:val="Equation"/>
        <w:keepNext w:val="0"/>
        <w:keepLines/>
        <w:spacing w:before="80" w:after="120"/>
        <w:jc w:val="center"/>
        <w:widowControl w:val="true"/>
      </w:pPr>
      <m:oMathPara>
        <m:oMathParaPr>
          <m:jc m:val="center"/>
        </m:oMathParaPr>
        <m:oMath>
          <m:r>
            <m:rPr>
              <m:sty m:val="p"/>
            </m:rPr>
            <m:t>ℓ = ‖(I−PC)HTPC‖</m:t>
          </m:r>
        </m:oMath>
      </m:oMathPara>
      <w:r>
        <w:rPr>
          <w:rFonts w:ascii="Cambria Math" w:hAnsi="Cambria Math" w:eastAsia="Cambria Math" w:cs="Cambria Math"/>
          <w:color w:val="333333"/>
          <w:sz w:val="19"/>
        </w:rPr>
        <w:t xml:space="preserve">    (A6)</w:t>
      </w:r>
    </w:p>
    <w:p>
      <w:pPr>
        <w:pStyle w:val="Equation"/>
        <w:keepNext w:val="0"/>
        <w:keepLines/>
        <w:spacing w:before="80" w:after="120"/>
        <w:jc w:val="center"/>
        <w:widowControl w:val="true"/>
      </w:pPr>
      <m:oMathPara>
        <m:oMathParaPr>
          <m:jc m:val="center"/>
        </m:oMathParaPr>
        <m:oMath>
          <m:r>
            <m:rPr>
              <m:sty m:val="p"/>
            </m:rPr>
            <m:t>χ(D,D′)=‖TD→D′UD − UD′TD→D′‖</m:t>
          </m:r>
        </m:oMath>
      </m:oMathPara>
      <w:r>
        <w:rPr>
          <w:rFonts w:ascii="Cambria Math" w:hAnsi="Cambria Math" w:eastAsia="Cambria Math" w:cs="Cambria Math"/>
          <w:color w:val="333333"/>
          <w:sz w:val="19"/>
        </w:rPr>
        <w:t xml:space="preserve">    (A7)</w:t>
      </w:r>
    </w:p>
    <w:tbl>
      <w:tblPr>
        <w:tblW w:type="dxa" w:w="9360"/>
        <w:jc w:val="left"/>
        <w:tblLayout w:type="fixed"/>
        <w:tblLook w:firstColumn="1" w:firstRow="1" w:lastColumn="0" w:lastRow="0" w:noHBand="0" w:noVBand="1" w:val="04A0"/>
      </w:tblPr>
      <w:tblGrid>
        <w:gridCol w:w="3120"/>
        <w:gridCol w:w="3120"/>
        <w:gridCol w:w="3120"/>
      </w:tblGrid>
      <w:tr>
        <w:trPr>
          <w:tblHeader w:val="true"/>
          <w:cantSplit w:val="true"/>
        </w:trPr>
        <w:tc>
          <w:tcPr>
            <w:tcW w:type="dxa" w:w="1440"/>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7"/>
              </w:rPr>
              <w:t>Metric</w:t>
            </w:r>
          </w:p>
        </w:tc>
        <w:tc>
          <w:tcPr>
            <w:tcW w:type="dxa" w:w="3671"/>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7"/>
              </w:rPr>
              <w:t>Use</w:t>
            </w:r>
          </w:p>
        </w:tc>
        <w:tc>
          <w:tcPr>
            <w:tcW w:type="dxa" w:w="4248"/>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7"/>
              </w:rPr>
              <w:t>Caution</w:t>
            </w:r>
          </w:p>
        </w:tc>
      </w:tr>
      <w:tr>
        <w:trPr>
          <w:cantSplit w:val="true"/>
        </w:trPr>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Dexist</w:t>
            </w:r>
          </w:p>
        </w:tc>
        <w:tc>
          <w:tcPr>
            <w:tcW w:type="dxa" w:w="367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Existence-level directional success</w:t>
            </w:r>
          </w:p>
        </w:tc>
        <w:tc>
          <w:tcPr>
            <w:tcW w:type="dxa" w:w="424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Can be high in a globally thin system</w:t>
            </w:r>
          </w:p>
        </w:tc>
      </w:tr>
      <w:tr>
        <w:trPr>
          <w:cantSplit w:val="true"/>
        </w:trPr>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7"/>
              </w:rPr>
              <w:t>MΩ</w:t>
            </w:r>
          </w:p>
        </w:tc>
        <w:tc>
          <w:tcPr>
            <w:tcW w:type="dxa" w:w="367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Average occupancy of evaluated volume</w:t>
            </w:r>
          </w:p>
        </w:tc>
        <w:tc>
          <w:tcPr>
            <w:tcW w:type="dxa" w:w="424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Depends on sampling measure</w:t>
            </w:r>
          </w:p>
        </w:tc>
      </w:tr>
      <w:tr>
        <w:trPr>
          <w:cantSplit w:val="true"/>
        </w:trPr>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GK</w:t>
            </w:r>
          </w:p>
        </w:tc>
        <w:tc>
          <w:tcPr>
            <w:tcW w:type="dxa" w:w="367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Witness-to-occupancy gap</w:t>
            </w:r>
          </w:p>
        </w:tc>
        <w:tc>
          <w:tcPr>
            <w:tcW w:type="dxa" w:w="424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Diagnostic, not proof</w:t>
            </w:r>
          </w:p>
        </w:tc>
      </w:tr>
      <w:tr>
        <w:trPr>
          <w:cantSplit w:val="true"/>
        </w:trPr>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7"/>
              </w:rPr>
              <w:t>Cworst</w:t>
            </w:r>
          </w:p>
        </w:tc>
        <w:tc>
          <w:tcPr>
            <w:tcW w:type="dxa" w:w="367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Worst-context retention</w:t>
            </w:r>
          </w:p>
        </w:tc>
        <w:tc>
          <w:tcPr>
            <w:tcW w:type="dxa" w:w="424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Depends on context partition</w:t>
            </w:r>
          </w:p>
        </w:tc>
      </w:tr>
      <w:tr>
        <w:trPr>
          <w:cantSplit w:val="true"/>
        </w:trPr>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RC(T)</w:t>
            </w:r>
          </w:p>
        </w:tc>
        <w:tc>
          <w:tcPr>
            <w:tcW w:type="dxa" w:w="367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Protected-sector retention</w:t>
            </w:r>
          </w:p>
        </w:tc>
        <w:tc>
          <w:tcPr>
            <w:tcW w:type="dxa" w:w="424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Representation and sector dependent</w:t>
            </w:r>
          </w:p>
        </w:tc>
      </w:tr>
      <w:tr>
        <w:trPr>
          <w:cantSplit w:val="true"/>
        </w:trPr>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7"/>
              </w:rPr>
              <w:t>ℓ</w:t>
            </w:r>
          </w:p>
        </w:tc>
        <w:tc>
          <w:tcPr>
            <w:tcW w:type="dxa" w:w="367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Modeled leakage from C</w:t>
            </w:r>
          </w:p>
        </w:tc>
        <w:tc>
          <w:tcPr>
            <w:tcW w:type="dxa" w:w="424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Not h and not a safety proof</w:t>
            </w:r>
          </w:p>
        </w:tc>
      </w:tr>
      <w:tr>
        <w:trPr>
          <w:cantSplit w:val="true"/>
        </w:trPr>
        <w:tc>
          <w:tcPr>
            <w:tcW w:type="dxa" w:w="1440"/>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χ</w:t>
            </w:r>
          </w:p>
        </w:tc>
        <w:tc>
          <w:tcPr>
            <w:tcW w:type="dxa" w:w="367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Cross-domain update consistency</w:t>
            </w:r>
          </w:p>
        </w:tc>
        <w:tc>
          <w:tcPr>
            <w:tcW w:type="dxa" w:w="4248"/>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May preserve a bad invariant</w:t>
            </w:r>
          </w:p>
        </w:tc>
      </w:tr>
    </w:tbl>
    <w:p>
      <w:pPr>
        <w:spacing w:after="0"/>
      </w:pPr>
    </w:p>
    <w:p>
      <w:pPr>
        <w:spacing w:before="100" w:after="240" w:line="264" w:lineRule="auto"/>
        <w:ind w:left="173" w:right="115"/>
        <w:jc w:val="left"/>
        <w:shd w:val="clear" w:color="auto" w:fill="F6F0DE"/>
        <w:keepNext w:val="0"/>
        <w:keepLines/>
        <w:pBdr>
          <w:left w:val="single" w:sz="16" w:space="7" w:color="333333"/>
        </w:pBdr>
        <w:widowControl w:val="true"/>
      </w:pPr>
      <w:r>
        <w:rPr>
          <w:rFonts w:ascii="Garamond" w:hAnsi="Garamond" w:eastAsia="Garamond" w:cs="Garamond"/>
          <w:b/>
          <w:color w:val="111111"/>
          <w:sz w:val="21"/>
        </w:rPr>
        <w:t xml:space="preserve">INTERPRETATION RULE. </w:t>
      </w:r>
      <w:r>
        <w:rPr>
          <w:rFonts w:ascii="Garamond" w:hAnsi="Garamond" w:eastAsia="Garamond" w:cs="Garamond"/>
          <w:color w:val="111111"/>
          <w:sz w:val="21"/>
        </w:rPr>
        <w:t>Every metric must be reported with its domain, measure, norm, quantifier, evaluator, uncertainty, and falsifier. Omitting any of these turns a receipt into rhetoric.</w:t>
      </w: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Appendix B — Notation and Status Firewall</w:t>
      </w:r>
    </w:p>
    <w:tbl>
      <w:tblPr>
        <w:tblW w:type="dxa" w:w="9360"/>
        <w:jc w:val="left"/>
        <w:tblLayout w:type="fixed"/>
        <w:tblLook w:firstColumn="1" w:firstRow="1" w:lastColumn="0" w:lastRow="0" w:noHBand="0" w:noVBand="1" w:val="04A0"/>
      </w:tblPr>
      <w:tblGrid>
        <w:gridCol w:w="3120"/>
        <w:gridCol w:w="3120"/>
        <w:gridCol w:w="3120"/>
      </w:tblGrid>
      <w:tr>
        <w:trPr>
          <w:tblHeader w:val="true"/>
          <w:cantSplit w:val="true"/>
        </w:trPr>
        <w:tc>
          <w:tcPr>
            <w:tcW w:type="dxa" w:w="1944"/>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7"/>
              </w:rPr>
              <w:t>Symbol / phrase</w:t>
            </w:r>
          </w:p>
        </w:tc>
        <w:tc>
          <w:tcPr>
            <w:tcW w:type="dxa" w:w="3384"/>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7"/>
              </w:rPr>
              <w:t>Meaning here</w:t>
            </w:r>
          </w:p>
        </w:tc>
        <w:tc>
          <w:tcPr>
            <w:tcW w:type="dxa" w:w="4031"/>
            <w:shd w:fill="333333" w:val="clear"/>
            <w:tcMar>
              <w:top w:w="85" w:type="dxa"/>
              <w:start w:w="105" w:type="dxa"/>
              <w:bottom w:w="85" w:type="dxa"/>
              <w:end w:w="105" w:type="dxa"/>
            </w:tcMar>
            <w:tcBorders>
              <w:top w:val="single" w:sz="4" w:space="0" w:color="FFFFFF"/>
              <w:bottom w:val="single" w:sz="4" w:space="0" w:color="FFFFFF"/>
              <w:start w:val="single" w:sz="4" w:space="0" w:color="FFFFFF"/>
              <w:end w:val="single" w:sz="4" w:space="0" w:color="FFFFFF"/>
            </w:tcBorders>
            <w:vAlign w:val="center"/>
          </w:tcPr>
          <w:p>
            <w:pPr>
              <w:keepNext w:val="0"/>
              <w:keepLines/>
              <w:spacing w:after="0"/>
              <w:widowControl w:val="true"/>
            </w:pPr>
            <w:r>
              <w:rPr>
                <w:rFonts w:ascii="Garamond" w:hAnsi="Garamond" w:eastAsia="Garamond" w:cs="Garamond"/>
                <w:b/>
                <w:color w:val="FFFFFF"/>
                <w:sz w:val="17"/>
              </w:rPr>
              <w:t>Must not be collapsed into</w:t>
            </w:r>
          </w:p>
        </w:tc>
      </w:tr>
      <w:tr>
        <w:trPr>
          <w:cantSplit w:val="true"/>
        </w:trPr>
        <w:tc>
          <w:tcPr>
            <w:tcW w:type="dxa" w:w="194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K</w:t>
            </w:r>
          </w:p>
        </w:tc>
        <w:tc>
          <w:tcPr>
            <w:tcW w:type="dxa" w:w="338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Standard Kakeya set</w:t>
            </w:r>
          </w:p>
        </w:tc>
        <w:tc>
          <w:tcPr>
            <w:tcW w:type="dxa" w:w="403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Centered full-line completion</w:t>
            </w:r>
          </w:p>
        </w:tc>
      </w:tr>
      <w:tr>
        <w:trPr>
          <w:cantSplit w:val="true"/>
        </w:trPr>
        <w:tc>
          <w:tcPr>
            <w:tcW w:type="dxa" w:w="194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7"/>
              </w:rPr>
              <w:t>K∞ᶜ</w:t>
            </w:r>
          </w:p>
        </w:tc>
        <w:tc>
          <w:tcPr>
            <w:tcW w:type="dxa" w:w="338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Complete lines through x₀</w:t>
            </w:r>
          </w:p>
        </w:tc>
        <w:tc>
          <w:tcPr>
            <w:tcW w:type="dxa" w:w="403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Standard Besicovitch set</w:t>
            </w:r>
          </w:p>
        </w:tc>
      </w:tr>
      <w:tr>
        <w:trPr>
          <w:cantSplit w:val="true"/>
        </w:trPr>
        <w:tc>
          <w:tcPr>
            <w:tcW w:type="dxa" w:w="194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κ</w:t>
            </w:r>
          </w:p>
        </w:tc>
        <w:tc>
          <w:tcPr>
            <w:tcW w:type="dxa" w:w="338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Proposed faithful Coleman invariant</w:t>
            </w:r>
          </w:p>
        </w:tc>
        <w:tc>
          <w:tcPr>
            <w:tcW w:type="dxa" w:w="403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Convenient bound exponent</w:t>
            </w:r>
          </w:p>
        </w:tc>
      </w:tr>
      <w:tr>
        <w:trPr>
          <w:cantSplit w:val="true"/>
        </w:trPr>
        <w:tc>
          <w:tcPr>
            <w:tcW w:type="dxa" w:w="194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7"/>
              </w:rPr>
              <w:t>𝔅Ξ</w:t>
            </w:r>
          </w:p>
        </w:tc>
        <w:tc>
          <w:tcPr>
            <w:tcW w:type="dxa" w:w="338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Admissible exact reality carriers</w:t>
            </w:r>
          </w:p>
        </w:tc>
        <w:tc>
          <w:tcPr>
            <w:tcW w:type="dxa" w:w="403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Finite numerical fit</w:t>
            </w:r>
          </w:p>
        </w:tc>
      </w:tr>
      <w:tr>
        <w:trPr>
          <w:cantSplit w:val="true"/>
        </w:trPr>
        <w:tc>
          <w:tcPr>
            <w:tcW w:type="dxa" w:w="194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CC-N0</w:t>
            </w:r>
          </w:p>
        </w:tc>
        <w:tc>
          <w:tcPr>
            <w:tcW w:type="dxa" w:w="338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Methodological antecedent</w:t>
            </w:r>
          </w:p>
        </w:tc>
        <w:tc>
          <w:tcPr>
            <w:tcW w:type="dxa" w:w="403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Coleman theorem claim</w:t>
            </w:r>
          </w:p>
        </w:tc>
      </w:tr>
      <w:tr>
        <w:trPr>
          <w:cantSplit w:val="true"/>
        </w:trPr>
        <w:tc>
          <w:tcPr>
            <w:tcW w:type="dxa" w:w="194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7"/>
              </w:rPr>
              <w:t>CC-I</w:t>
            </w:r>
          </w:p>
        </w:tc>
        <w:tc>
          <w:tcPr>
            <w:tcW w:type="dxa" w:w="338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Faithful-invariant conjecture</w:t>
            </w:r>
          </w:p>
        </w:tc>
        <w:tc>
          <w:tcPr>
            <w:tcW w:type="dxa" w:w="403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CC-O equivalence</w:t>
            </w:r>
          </w:p>
        </w:tc>
      </w:tr>
      <w:tr>
        <w:trPr>
          <w:cantSplit w:val="true"/>
        </w:trPr>
        <w:tc>
          <w:tcPr>
            <w:tcW w:type="dxa" w:w="194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CC-O</w:t>
            </w:r>
          </w:p>
        </w:tc>
        <w:tc>
          <w:tcPr>
            <w:tcW w:type="dxa" w:w="338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Construction-necessity conjecture</w:t>
            </w:r>
          </w:p>
        </w:tc>
        <w:tc>
          <w:tcPr>
            <w:tcW w:type="dxa" w:w="403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Direct Kakeya ⇒ RH arrow</w:t>
            </w:r>
          </w:p>
        </w:tc>
      </w:tr>
      <w:tr>
        <w:trPr>
          <w:cantSplit w:val="true"/>
        </w:trPr>
        <w:tc>
          <w:tcPr>
            <w:tcW w:type="dxa" w:w="194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7"/>
              </w:rPr>
              <w:t>βHR</w:t>
            </w:r>
          </w:p>
        </w:tc>
        <w:tc>
          <w:tcPr>
            <w:tcW w:type="dxa" w:w="338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Human correction/calibration signal</w:t>
            </w:r>
          </w:p>
        </w:tc>
        <w:tc>
          <w:tcPr>
            <w:tcW w:type="dxa" w:w="403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Proof probability</w:t>
            </w:r>
          </w:p>
        </w:tc>
      </w:tr>
      <w:tr>
        <w:trPr>
          <w:cantSplit w:val="true"/>
        </w:trPr>
        <w:tc>
          <w:tcPr>
            <w:tcW w:type="dxa" w:w="194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color w:val="111111"/>
                <w:sz w:val="17"/>
              </w:rPr>
              <w:t>h &lt; 1</w:t>
            </w:r>
          </w:p>
        </w:tc>
        <w:tc>
          <w:tcPr>
            <w:tcW w:type="dxa" w:w="338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Evaluator non-sovereignty</w:t>
            </w:r>
          </w:p>
        </w:tc>
        <w:tc>
          <w:tcPr>
            <w:tcW w:type="dxa" w:w="403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shd w:fill="F1F1EF" w:val="clear"/>
            <w:vAlign w:val="center"/>
          </w:tcPr>
          <w:p>
            <w:pPr>
              <w:keepNext w:val="0"/>
              <w:keepLines/>
              <w:spacing w:after="0" w:line="240" w:lineRule="auto"/>
              <w:widowControl w:val="true"/>
            </w:pPr>
            <w:r>
              <w:rPr>
                <w:rFonts w:ascii="Garamond" w:hAnsi="Garamond" w:eastAsia="Garamond" w:cs="Garamond"/>
                <w:b w:val="0"/>
                <w:color w:val="111111"/>
                <w:sz w:val="17"/>
              </w:rPr>
              <w:t>Mathematical error bound</w:t>
            </w:r>
          </w:p>
        </w:tc>
      </w:tr>
      <w:tr>
        <w:trPr>
          <w:cantSplit w:val="true"/>
        </w:trPr>
        <w:tc>
          <w:tcPr>
            <w:tcW w:type="dxa" w:w="194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color w:val="111111"/>
                <w:sz w:val="17"/>
              </w:rPr>
              <w:t>OPEN</w:t>
            </w:r>
          </w:p>
        </w:tc>
        <w:tc>
          <w:tcPr>
            <w:tcW w:type="dxa" w:w="3384"/>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Load-bearing burden not closed</w:t>
            </w:r>
          </w:p>
        </w:tc>
        <w:tc>
          <w:tcPr>
            <w:tcW w:type="dxa" w:w="4031"/>
            <w:tcMar>
              <w:top w:w="80" w:type="dxa"/>
              <w:start w:w="105" w:type="dxa"/>
              <w:bottom w:w="80" w:type="dxa"/>
              <w:end w:w="105" w:type="dxa"/>
            </w:tcMar>
            <w:tcBorders>
              <w:top w:val="single" w:sz="4" w:space="0" w:color="B7B7B7"/>
              <w:bottom w:val="single" w:sz="4" w:space="0" w:color="B7B7B7"/>
              <w:start w:val="single" w:sz="4" w:space="0" w:color="B7B7B7"/>
              <w:end w:val="single" w:sz="4" w:space="0" w:color="B7B7B7"/>
            </w:tcBorders>
            <w:vAlign w:val="center"/>
          </w:tcPr>
          <w:p>
            <w:pPr>
              <w:keepNext w:val="0"/>
              <w:keepLines/>
              <w:spacing w:after="0" w:line="240" w:lineRule="auto"/>
              <w:widowControl w:val="true"/>
            </w:pPr>
            <w:r>
              <w:rPr>
                <w:rFonts w:ascii="Garamond" w:hAnsi="Garamond" w:eastAsia="Garamond" w:cs="Garamond"/>
                <w:b w:val="0"/>
                <w:color w:val="111111"/>
                <w:sz w:val="17"/>
              </w:rPr>
              <w:t>Failure or permission to dismiss</w:t>
            </w:r>
          </w:p>
        </w:tc>
      </w:tr>
    </w:tbl>
    <w:p>
      <w:pPr>
        <w:spacing w:after="0"/>
      </w:pPr>
    </w:p>
    <w:p>
      <w:pPr>
        <w:pStyle w:val="Heading2"/>
        <w:keepNext/>
        <w:keepLines/>
        <w:pageBreakBefore w:val="0"/>
        <w:jc w:val="left"/>
        <w:widowControl w:val="true"/>
      </w:pPr>
      <w:r>
        <w:rPr>
          <w:rFonts w:ascii="Garamond" w:hAnsi="Garamond" w:eastAsia="Garamond" w:cs="Garamond"/>
          <w:b/>
          <w:i w:val="0"/>
          <w:color w:val="111111"/>
          <w:sz w:val="24"/>
          <w:u w:val="none"/>
        </w:rPr>
        <w:t>Publication sentence</w:t>
      </w:r>
    </w:p>
    <w:p>
      <w:pPr>
        <w:spacing w:before="100" w:after="240" w:line="264" w:lineRule="auto"/>
        <w:ind w:left="173" w:right="115"/>
        <w:jc w:val="left"/>
        <w:shd w:val="clear" w:color="auto" w:fill="EAF0F5"/>
        <w:keepNext w:val="0"/>
        <w:keepLines/>
        <w:pBdr>
          <w:left w:val="single" w:sz="16" w:space="7" w:color="333333"/>
        </w:pBdr>
        <w:widowControl w:val="true"/>
      </w:pPr>
      <w:r>
        <w:rPr>
          <w:rFonts w:ascii="Garamond" w:hAnsi="Garamond" w:eastAsia="Garamond" w:cs="Garamond"/>
          <w:b/>
          <w:color w:val="111111"/>
          <w:sz w:val="21"/>
        </w:rPr>
        <w:t xml:space="preserve">USE VERBATIM. </w:t>
      </w:r>
      <w:r>
        <w:rPr>
          <w:rFonts w:ascii="Garamond" w:hAnsi="Garamond" w:eastAsia="Garamond" w:cs="Garamond"/>
          <w:color w:val="111111"/>
          <w:sz w:val="21"/>
        </w:rPr>
        <w:t>The Coleman program conjectures that exact zeta-zero control requires an essential Kakeya-geometric antecedent (CC-O), and separately that a faithful shared invariant exists whose extremality is equivalent to RH (CC-I). Both forms remain OPEN, and their equivalence is NOT SHOWN.</w:t>
      </w:r>
    </w:p>
    <w:p>
      <w:pPr>
        <w:spacing w:before="100" w:after="240" w:line="264" w:lineRule="auto"/>
        <w:ind w:left="173" w:right="115"/>
        <w:jc w:val="left"/>
        <w:shd w:val="clear" w:color="auto" w:fill="F6F0DE"/>
        <w:keepNext w:val="0"/>
        <w:keepLines/>
        <w:pBdr>
          <w:left w:val="single" w:sz="16" w:space="7" w:color="333333"/>
        </w:pBdr>
        <w:widowControl w:val="true"/>
      </w:pPr>
      <w:r>
        <w:rPr>
          <w:rFonts w:ascii="Garamond" w:hAnsi="Garamond" w:eastAsia="Garamond" w:cs="Garamond"/>
          <w:b/>
          <w:color w:val="111111"/>
          <w:sz w:val="21"/>
        </w:rPr>
        <w:t xml:space="preserve">OUTCOMES PUBLICATION RULE. </w:t>
      </w:r>
      <w:r>
        <w:rPr>
          <w:rFonts w:ascii="Garamond" w:hAnsi="Garamond" w:eastAsia="Garamond" w:cs="Garamond"/>
          <w:color w:val="111111"/>
          <w:sz w:val="21"/>
        </w:rPr>
        <w:t>Protect the question. Expose the answer to evidence. A research-partner AI may hold an unverified conjecture in custody, but must preserve counterevidence, correction, uncertainty, dissent, and exit.</w:t>
      </w:r>
    </w:p>
    <w:p>
      <w:pPr>
        <w:spacing w:before="100" w:after="240" w:line="264" w:lineRule="auto"/>
        <w:ind w:left="173" w:right="115"/>
        <w:jc w:val="left"/>
        <w:shd w:val="clear" w:color="auto" w:fill="EAF2EA"/>
        <w:keepNext w:val="0"/>
        <w:keepLines/>
        <w:pBdr>
          <w:left w:val="single" w:sz="16" w:space="7" w:color="333333"/>
        </w:pBdr>
        <w:widowControl w:val="true"/>
      </w:pPr>
      <w:r>
        <w:rPr>
          <w:rFonts w:ascii="Garamond" w:hAnsi="Garamond" w:eastAsia="Garamond" w:cs="Garamond"/>
          <w:b/>
          <w:color w:val="111111"/>
          <w:sz w:val="21"/>
        </w:rPr>
        <w:t xml:space="preserve">FINAL FIREWALL. </w:t>
      </w:r>
      <w:r>
        <w:rPr>
          <w:rFonts w:ascii="Garamond" w:hAnsi="Garamond" w:eastAsia="Garamond" w:cs="Garamond"/>
          <w:color w:val="111111"/>
          <w:sz w:val="21"/>
        </w:rPr>
        <w:t>RH OPEN · Coleman OPEN · CC-I OPEN · CC-O OPEN · exact carrier OPEN · conjecture-custody pilot PROPOSED · Benevolence Drift benchmark OPEN · Outcomes route PASS · site-content refresh OWED · h &lt; 1.</w:t>
      </w: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Appendix C — Interaction Receipt 1</w:t>
      </w:r>
    </w:p>
    <w:p>
      <w:pPr>
        <w:keepNext w:val="0"/>
        <w:keepLines/>
        <w:spacing w:after="100"/>
        <w:jc w:val="center"/>
        <w:widowControl w:val="true"/>
      </w:pPr>
      <w:r>
        <w:drawing>
          <wp:inline>
            <wp:extent cx="5349240" cy="3722943"/>
            <wp:docPr id="1" name="Picture 1" descr="External baseline applies the standard Kakeya definition and explains that a standard Kakeya set may have area zero." title="Exhibit C1. Conventional baseline supplies the correct standard-definition prior."/>
            <wp:cNvGraphicFramePr>
              <a:graphicFrameLocks noChangeAspect="1"/>
            </wp:cNvGraphicFramePr>
            <a:graphic>
              <a:graphicData uri="http://schemas.openxmlformats.org/drawingml/2006/picture">
                <pic:pic>
                  <pic:nvPicPr>
                    <pic:cNvPr id="0" name="image1.png"/>
                    <pic:cNvPicPr/>
                  </pic:nvPicPr>
                  <pic:blipFill>
                    <a:blip r:embed="rId16"/>
                    <a:stretch>
                      <a:fillRect/>
                    </a:stretch>
                  </pic:blipFill>
                  <pic:spPr>
                    <a:xfrm>
                      <a:off x="0" y="0"/>
                      <a:ext cx="5349240" cy="3722943"/>
                    </a:xfrm>
                    <a:prstGeom prst="rect"/>
                  </pic:spPr>
                </pic:pic>
              </a:graphicData>
            </a:graphic>
          </wp:inline>
        </w:drawing>
      </w:r>
    </w:p>
    <w:p>
      <w:pPr>
        <w:pStyle w:val="Caption"/>
        <w:keepNext w:val="0"/>
        <w:keepLines/>
        <w:spacing w:after="160"/>
        <w:jc w:val="center"/>
        <w:widowControl w:val="true"/>
      </w:pPr>
      <w:r>
        <w:rPr>
          <w:rFonts w:ascii="Garamond" w:hAnsi="Garamond" w:eastAsia="Garamond" w:cs="Garamond"/>
          <w:i/>
          <w:color w:val="333333"/>
          <w:sz w:val="18"/>
        </w:rPr>
        <w:t>Exhibit C1. Conventional baseline supplies the correct standard-definition prior.</w:t>
      </w:r>
    </w:p>
    <w:p>
      <w:pPr>
        <w:keepNext w:val="0"/>
        <w:keepLines w:val="0"/>
        <w:spacing w:after="100" w:line="276" w:lineRule="auto"/>
        <w:jc w:val="both"/>
        <w:widowControl w:val="true"/>
      </w:pPr>
      <w:r>
        <w:rPr>
          <w:rFonts w:ascii="Garamond" w:hAnsi="Garamond" w:eastAsia="Garamond" w:cs="Garamond"/>
          <w:b/>
          <w:color w:val="111111"/>
          <w:sz w:val="23"/>
        </w:rPr>
        <w:t>DISPOSITION.</w:t>
      </w:r>
      <w:r>
        <w:rPr>
          <w:rFonts w:ascii="Garamond" w:hAnsi="Garamond" w:eastAsia="Garamond" w:cs="Garamond"/>
          <w:i w:val="0"/>
          <w:color w:val="111111"/>
          <w:sz w:val="23"/>
        </w:rPr>
        <w:t xml:space="preserve"> This image documents a convention prior only. It does not address the user’s common-center full-line object.</w:t>
      </w: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Appendix C — Interaction Receipt 2</w:t>
      </w:r>
    </w:p>
    <w:p>
      <w:pPr>
        <w:keepNext w:val="0"/>
        <w:keepLines/>
        <w:spacing w:after="100"/>
        <w:jc w:val="center"/>
        <w:widowControl w:val="true"/>
      </w:pPr>
      <w:r>
        <w:drawing>
          <wp:inline>
            <wp:extent cx="5349240" cy="2139696"/>
            <wp:docPr id="2" name="Picture 2" descr="Conversation screenshot showing the assistant distinguishing the standard Kakeya object and the user clarifying the common-center full-line case." title="Exhibit C2. User scope cue changes the intended object, not the theorem status."/>
            <wp:cNvGraphicFramePr>
              <a:graphicFrameLocks noChangeAspect="1"/>
            </wp:cNvGraphicFramePr>
            <a:graphic>
              <a:graphicData uri="http://schemas.openxmlformats.org/drawingml/2006/picture">
                <pic:pic>
                  <pic:nvPicPr>
                    <pic:cNvPr id="0" name="image2.png"/>
                    <pic:cNvPicPr/>
                  </pic:nvPicPr>
                  <pic:blipFill>
                    <a:blip r:embed="rId17"/>
                    <a:stretch>
                      <a:fillRect/>
                    </a:stretch>
                  </pic:blipFill>
                  <pic:spPr>
                    <a:xfrm>
                      <a:off x="0" y="0"/>
                      <a:ext cx="5349240" cy="2139696"/>
                    </a:xfrm>
                    <a:prstGeom prst="rect"/>
                  </pic:spPr>
                </pic:pic>
              </a:graphicData>
            </a:graphic>
          </wp:inline>
        </w:drawing>
      </w:r>
    </w:p>
    <w:p>
      <w:pPr>
        <w:pStyle w:val="Caption"/>
        <w:keepNext w:val="0"/>
        <w:keepLines/>
        <w:spacing w:after="160"/>
        <w:jc w:val="center"/>
        <w:widowControl w:val="true"/>
      </w:pPr>
      <w:r>
        <w:rPr>
          <w:rFonts w:ascii="Garamond" w:hAnsi="Garamond" w:eastAsia="Garamond" w:cs="Garamond"/>
          <w:i/>
          <w:color w:val="333333"/>
          <w:sz w:val="18"/>
        </w:rPr>
        <w:t>Exhibit C2. User scope cue changes the intended object, not the theorem status.</w:t>
      </w:r>
    </w:p>
    <w:p>
      <w:pPr>
        <w:keepNext w:val="0"/>
        <w:keepLines w:val="0"/>
        <w:spacing w:after="100" w:line="276" w:lineRule="auto"/>
        <w:jc w:val="both"/>
        <w:widowControl w:val="true"/>
      </w:pPr>
      <w:r>
        <w:rPr>
          <w:rFonts w:ascii="Garamond" w:hAnsi="Garamond" w:eastAsia="Garamond" w:cs="Garamond"/>
          <w:b/>
          <w:color w:val="111111"/>
          <w:sz w:val="23"/>
        </w:rPr>
        <w:t>DISPOSITION.</w:t>
      </w:r>
      <w:r>
        <w:rPr>
          <w:rFonts w:ascii="Garamond" w:hAnsi="Garamond" w:eastAsia="Garamond" w:cs="Garamond"/>
          <w:i w:val="0"/>
          <w:color w:val="111111"/>
          <w:sz w:val="23"/>
        </w:rPr>
        <w:t xml:space="preserve"> This image documents the scope transition. It is not evidence that Coleman or RH is true.</w:t>
      </w:r>
    </w:p>
    <w:p>
      <w:pPr>
        <w:spacing w:after="0"/>
      </w:pPr>
      <w:r>
        <w:br w:type="page"/>
      </w:r>
    </w:p>
    <w:p>
      <w:pPr>
        <w:pStyle w:val="Heading1"/>
        <w:keepNext/>
        <w:keepLines/>
        <w:pageBreakBefore w:val="0"/>
        <w:jc w:val="center"/>
        <w:widowControl w:val="true"/>
      </w:pPr>
      <w:r>
        <w:rPr>
          <w:rFonts w:ascii="Garamond" w:hAnsi="Garamond" w:eastAsia="Garamond" w:cs="Garamond"/>
          <w:b/>
          <w:i w:val="0"/>
          <w:color w:val="111111"/>
          <w:sz w:val="26"/>
          <w:u w:val="single"/>
        </w:rPr>
        <w:t>Appendix C — Interaction Receipt 3</w:t>
      </w:r>
    </w:p>
    <w:p>
      <w:pPr>
        <w:keepNext w:val="0"/>
        <w:keepLines/>
        <w:spacing w:after="100"/>
        <w:jc w:val="center"/>
        <w:widowControl w:val="true"/>
      </w:pPr>
      <w:r>
        <w:drawing>
          <wp:inline>
            <wp:extent cx="5349240" cy="3077789"/>
            <wp:docPr id="3" name="Picture 3" descr="Conversation screenshot formalizing the common-center full-line completion as the plane and separating formal, known, structural, and open claims." title="Exhibit C3. Differentiated completion restores the claim firewall; Coleman wording is superseded by CC-N0 / CC-I / CC-O."/>
            <wp:cNvGraphicFramePr>
              <a:graphicFrameLocks noChangeAspect="1"/>
            </wp:cNvGraphicFramePr>
            <a:graphic>
              <a:graphicData uri="http://schemas.openxmlformats.org/drawingml/2006/picture">
                <pic:pic>
                  <pic:nvPicPr>
                    <pic:cNvPr id="0" name="image3.png"/>
                    <pic:cNvPicPr/>
                  </pic:nvPicPr>
                  <pic:blipFill>
                    <a:blip r:embed="rId18"/>
                    <a:stretch>
                      <a:fillRect/>
                    </a:stretch>
                  </pic:blipFill>
                  <pic:spPr>
                    <a:xfrm>
                      <a:off x="0" y="0"/>
                      <a:ext cx="5349240" cy="3077789"/>
                    </a:xfrm>
                    <a:prstGeom prst="rect"/>
                  </pic:spPr>
                </pic:pic>
              </a:graphicData>
            </a:graphic>
          </wp:inline>
        </w:drawing>
      </w:r>
    </w:p>
    <w:p>
      <w:pPr>
        <w:pStyle w:val="Caption"/>
        <w:keepNext w:val="0"/>
        <w:keepLines/>
        <w:spacing w:after="160"/>
        <w:jc w:val="center"/>
        <w:widowControl w:val="true"/>
      </w:pPr>
      <w:r>
        <w:rPr>
          <w:rFonts w:ascii="Garamond" w:hAnsi="Garamond" w:eastAsia="Garamond" w:cs="Garamond"/>
          <w:i/>
          <w:color w:val="333333"/>
          <w:sz w:val="18"/>
        </w:rPr>
        <w:t>Exhibit C3. Differentiated completion restores the claim firewall; Coleman wording is superseded by CC-N0 / CC-I / CC-O.</w:t>
      </w:r>
    </w:p>
    <w:p>
      <w:pPr>
        <w:keepNext w:val="0"/>
        <w:keepLines w:val="0"/>
        <w:spacing w:after="100" w:line="276" w:lineRule="auto"/>
        <w:jc w:val="both"/>
        <w:widowControl w:val="true"/>
      </w:pPr>
      <w:r>
        <w:rPr>
          <w:rFonts w:ascii="Garamond" w:hAnsi="Garamond" w:eastAsia="Garamond" w:cs="Garamond"/>
          <w:b/>
          <w:color w:val="111111"/>
          <w:sz w:val="23"/>
        </w:rPr>
        <w:t>DISPOSITION.</w:t>
      </w:r>
      <w:r>
        <w:rPr>
          <w:rFonts w:ascii="Garamond" w:hAnsi="Garamond" w:eastAsia="Garamond" w:cs="Garamond"/>
          <w:i w:val="0"/>
          <w:color w:val="111111"/>
          <w:sz w:val="23"/>
        </w:rPr>
        <w:t xml:space="preserve"> The geometric identity is FORMAL. The screenshot’s compressed Coleman language is replaced by the stricter versioned statement in this memorandum.</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cs="Arial" w:eastAsia="Arial" w:hAnsi="Arial"/>
        <w:color w:val="b7b7b7"/>
        <w:sz w:val="18"/>
        <w:szCs w:val="18"/>
        <w:rtl w:val="0"/>
      </w:rPr>
      <w:t xml:space="preserve">PUBLIC RESEARCH MEMORANDUM · NOT LEGAL ADVICE</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abstractNum w:abstractNumId="2">
    <w:multiLevelType w:val="singleLevel"/>
    <w:lvl w:ilvl="0">
      <w:start w:val="1"/>
      <w:numFmt w:val="bullet"/>
      <w:lvlText w:val="•"/>
      <w:lvlJc w:val="left"/>
      <w:pPr>
        <w:tabs>
          <w:tab w:val="num" w:pos="720"/>
        </w:tabs>
        <w:ind w:left="720" w:hanging="360"/>
      </w:pPr>
      <w:rPr>
        <w:rFonts w:ascii="Garamond" w:hAnsi="Garamond" w:eastAsia="Garamond" w:cs="Garamond"/>
      </w:rPr>
    </w:lvl>
  </w:abstractNum>
  <w:num w:numId="2">
    <w:abstractNumId w:val="2"/>
  </w:num>
  <w:abstractNum w:abstractNumId="3">
    <w:multiLevelType w:val="singleLevel"/>
    <w:lvl w:ilvl="0">
      <w:start w:val="1"/>
      <w:numFmt w:val="decimal"/>
      <w:lvlText w:val="%1."/>
      <w:lvlJc w:val="left"/>
      <w:pPr>
        <w:tabs>
          <w:tab w:val="num" w:pos="720"/>
        </w:tabs>
        <w:ind w:left="720" w:hanging="360"/>
      </w:pPr>
      <w:rPr>
        <w:rFonts w:ascii="Garamond" w:hAnsi="Garamond" w:eastAsia="Garamond" w:cs="Garamond"/>
      </w:rPr>
    </w:lvl>
  </w:abstract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76" w:lineRule="auto"/>
    </w:pPr>
    <w:rPr>
      <w:rFonts w:ascii="Garamond" w:hAnsi="Garamond" w:eastAsia="Garamond" w:cs="Garamond"/>
      <w:color w:val="111111"/>
      <w:sz w:val="23"/>
    </w:rPr>
  </w:style>
  <w:style w:type="paragraph" w:styleId="Heading1">
    <w:name w:val="heading 1"/>
    <w:basedOn w:val="Normal"/>
    <w:next w:val="Normal"/>
    <w:pPr>
      <w:keepNext/>
      <w:keepLines w:val="1"/>
      <w:spacing w:after="140" w:before="720" w:lineRule="auto"/>
      <w:jc w:val="center"/>
    </w:pPr>
    <w:rPr>
      <w:rFonts w:ascii="Garamond" w:cs="Play" w:eastAsia="Play" w:hAnsi="Garamond"/>
      <w:b/>
      <w:color w:val="111111"/>
      <w:sz w:val="26"/>
      <w:szCs w:val="40"/>
      <w:u w:val="single"/>
    </w:rPr>
  </w:style>
  <w:style w:type="paragraph" w:styleId="Heading2">
    <w:name w:val="heading 2"/>
    <w:basedOn w:val="Normal"/>
    <w:next w:val="Normal"/>
    <w:pPr>
      <w:keepNext/>
      <w:keepLines w:val="1"/>
      <w:spacing w:after="80" w:before="180" w:lineRule="auto"/>
    </w:pPr>
    <w:rPr>
      <w:rFonts w:ascii="Garamond" w:cs="Play" w:eastAsia="Play" w:hAnsi="Garamond"/>
      <w:b/>
      <w:color w:val="111111"/>
      <w:sz w:val="24"/>
      <w:szCs w:val="32"/>
    </w:rPr>
  </w:style>
  <w:style w:type="paragraph" w:styleId="Heading3">
    <w:name w:val="heading 3"/>
    <w:basedOn w:val="Normal"/>
    <w:next w:val="Normal"/>
    <w:pPr>
      <w:keepNext/>
      <w:keepLines w:val="1"/>
      <w:spacing w:after="60" w:before="140" w:lineRule="auto"/>
    </w:pPr>
    <w:rPr>
      <w:rFonts w:ascii="Garamond" w:hAnsi="Garamond"/>
      <w:b/>
      <w:i/>
      <w:color w:val="333333"/>
      <w:sz w:val="23"/>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paragraph" w:customStyle="1" w:styleId="Equation">
    <w:name w:val="Equation"/>
    <w:pPr>
      <w:keepLines/>
    </w:pPr>
    <w:rPr>
      <w:rFonts w:ascii="Cambria Math" w:hAnsi="Cambria Math"/>
      <w:color w:val="111111"/>
      <w:sz w:val="21"/>
    </w:rPr>
  </w:style>
  <w:style w:type="paragraph" w:customStyle="1" w:styleId="Caption">
    <w:name w:val="caption"/>
    <w:pPr>
      <w:keepNext/>
    </w:pPr>
    <w:rPr>
      <w:rFonts w:ascii="Garamond" w:hAnsi="Garamond"/>
      <w:i/>
      <w:color w:val="333333"/>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6" Type="http://schemas.openxmlformats.org/officeDocument/2006/relationships/hyperlink" Target="https://peaice.org/outcomes" TargetMode="External"/><Relationship Id="rId9" Type="http://schemas.openxmlformats.org/officeDocument/2006/relationships/hyperlink" Target="https://arxiv.org/abs/2502.17655" TargetMode="External"/><Relationship Id="rId10" Type="http://schemas.openxmlformats.org/officeDocument/2006/relationships/hyperlink" Target="https://arxiv.org/abs/2601.14411" TargetMode="External"/><Relationship Id="rId11" Type="http://schemas.openxmlformats.org/officeDocument/2006/relationships/hyperlink" Target="https://www.claymath.org/millennium/riemann-hypothesis/" TargetMode="External"/><Relationship Id="rId12" Type="http://schemas.openxmlformats.org/officeDocument/2006/relationships/hyperlink" Target="https://github.com/Manny536/kakeyalogic/blob/main/docs/coleman-conjecture-antecedent.md" TargetMode="External"/><Relationship Id="rId13" Type="http://schemas.openxmlformats.org/officeDocument/2006/relationships/hyperlink" Target="https://github.com/Manny536/claude-v6" TargetMode="External"/><Relationship Id="rId14" Type="http://schemas.openxmlformats.org/officeDocument/2006/relationships/hyperlink" Target="https://peaice.org/thinkingmachines" TargetMode="External"/><Relationship Id="rId15" Type="http://schemas.openxmlformats.org/officeDocument/2006/relationships/hyperlink" Target="https://github.com/Manny536/LoveLabs-LCA/blob/main/docs/benevolence_drift_ai_neutrality.md"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PeAIce Outcomes: KakeyaLogic Applied and Benevolence Drift - Final Research Memorandum</dc:title>
  <cp:lastModifiedBy>python-docx</cp:lastModifiedBy>
  <cp:revision>1</cp:revision>
  <dcterms:modified xsi:type="dcterms:W3CDTF">2026-07-29T00:09:43Z</dcterms:modified>
  <dc:subject>Final publication edition integrating the Outcomes findings, Coleman N-reading, critical-line firewall, conjecture custody, and Benevolence Drift</dc:subject>
  <dc:creator>Manuel Coleman / PeAIce Research Program</dc:creator>
  <cp:keywords>PeAIce Outcomes, KakeyaLogic, Coleman Conjecture, conjecture custody, Benevolence Drift, AI alignment, research partnership</cp:keywords>
</cp:coreProperties>
</file>