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i w:val="0"/>
          <w:color w:val="1A365D"/>
          <w:sz w:val="18"/>
        </w:rPr>
        <w:t>PeAIce Research Program · KakeyaLogic · L²_C</w:t>
      </w:r>
    </w:p>
    <w:p>
      <w:pPr>
        <w:jc w:val="center"/>
      </w:pPr>
      <w:r>
        <w:rPr>
          <w:rFonts w:ascii="Times New Roman" w:hAnsi="Times New Roman" w:eastAsia="Times New Roman"/>
          <w:b w:val="0"/>
          <w:i w:val="0"/>
          <w:color w:val="506478"/>
          <w:sz w:val="18"/>
        </w:rPr>
        <w:t>ARX-001 · PEAICE-KAKEYALOGIC-DDATL-002-WHITEPAPER</w:t>
      </w:r>
    </w:p>
    <w:p>
      <w:pPr>
        <w:spacing w:after="120"/>
        <w:jc w:val="center"/>
        <w:pBdr>
          <w:bottom w:val="single" w:sz="12" w:space="1" w:color="1A365D"/>
        </w:pBdr>
      </w:pPr>
      <w:r>
        <w:rPr>
          <w:rFonts w:ascii="Times New Roman" w:hAnsi="Times New Roman" w:eastAsia="Times New Roman"/>
          <w:b/>
          <w:i w:val="0"/>
          <w:color w:val="0F1E32"/>
          <w:sz w:val="32"/>
        </w:rPr>
        <w:t>Grain Zero: residual overlap after structured Kakeya factorization in R³</w:t>
      </w:r>
    </w:p>
    <w:p>
      <w:pPr>
        <w:jc w:val="center"/>
      </w:pPr>
      <w:r>
        <w:rPr>
          <w:rFonts w:ascii="Times New Roman" w:hAnsi="Times New Roman" w:eastAsia="Times New Roman"/>
          <w:b/>
          <w:i w:val="0"/>
          <w:sz w:val="24"/>
        </w:rPr>
        <w:t>Manuel Coleman</w:t>
      </w:r>
    </w:p>
    <w:p>
      <w:pPr>
        <w:jc w:val="center"/>
      </w:pPr>
      <w:r>
        <w:rPr>
          <w:rFonts w:ascii="Times New Roman" w:hAnsi="Times New Roman" w:eastAsia="Times New Roman"/>
          <w:b w:val="0"/>
          <w:i/>
          <w:sz w:val="20"/>
        </w:rPr>
        <w:t>Love Labs LCA / PeAIce Research Program</w:t>
      </w:r>
    </w:p>
    <w:p>
      <w:pPr>
        <w:jc w:val="center"/>
      </w:pPr>
      <w:r>
        <w:rPr>
          <w:rFonts w:ascii="Times New Roman" w:hAnsi="Times New Roman" w:eastAsia="Times New Roman"/>
          <w:b w:val="0"/>
          <w:i w:val="0"/>
          <w:sz w:val="18"/>
        </w:rPr>
        <w:t>coleman.manuel23@gmail.com</w:t>
      </w:r>
    </w:p>
    <w:p>
      <w:pPr>
        <w:spacing w:after="240"/>
        <w:jc w:val="center"/>
      </w:pPr>
      <w:r>
        <w:rPr>
          <w:rFonts w:ascii="Times New Roman" w:hAnsi="Times New Roman" w:eastAsia="Times New Roman"/>
          <w:b w:val="0"/>
          <w:i w:val="0"/>
          <w:color w:val="A02828"/>
          <w:sz w:val="18"/>
        </w:rPr>
        <w:t>Scaffold preprint pack · RH OPEN · Coleman OPEN · ζ firewall active · h &lt; 1 · export 2026-07-08</w:t>
      </w:r>
    </w:p>
    <w:p>
      <w:r>
        <w:rPr>
          <w:rFonts w:ascii="Times New Roman" w:hAnsi="Times New Roman" w:eastAsia="Times New Roman"/>
          <w:b/>
          <w:i w:val="0"/>
          <w:sz w:val="20"/>
        </w:rPr>
        <w:t xml:space="preserve">Proposed arXiv categories: </w:t>
      </w:r>
      <w:r>
        <w:rPr>
          <w:rFonts w:ascii="Times New Roman" w:hAnsi="Times New Roman" w:eastAsia="Times New Roman"/>
          <w:b w:val="0"/>
          <w:i w:val="0"/>
          <w:sz w:val="20"/>
        </w:rPr>
        <w:t>math.CA (primary) · math.MG (cross-list, proposed)</w:t>
      </w:r>
    </w:p>
    <w:p>
      <w:r>
        <w:rPr>
          <w:rFonts w:ascii="Times New Roman" w:hAnsi="Times New Roman" w:eastAsia="Times New Roman"/>
          <w:b/>
          <w:i w:val="0"/>
          <w:sz w:val="20"/>
        </w:rPr>
        <w:t xml:space="preserve">MSC 2020: </w:t>
      </w:r>
      <w:r>
        <w:rPr>
          <w:rFonts w:ascii="Times New Roman" w:hAnsi="Times New Roman" w:eastAsia="Times New Roman"/>
          <w:b w:val="0"/>
          <w:i w:val="0"/>
          <w:sz w:val="20"/>
        </w:rPr>
        <w:t>42B25, 28A75, 42B20</w:t>
      </w:r>
    </w:p>
    <w:p>
      <w:r>
        <w:rPr>
          <w:rFonts w:ascii="Times New Roman" w:hAnsi="Times New Roman" w:eastAsia="Times New Roman"/>
          <w:b/>
          <w:i w:val="0"/>
          <w:sz w:val="20"/>
        </w:rPr>
        <w:t xml:space="preserve">Keywords: </w:t>
      </w:r>
      <w:r>
        <w:rPr>
          <w:rFonts w:ascii="Times New Roman" w:hAnsi="Times New Roman" w:eastAsia="Times New Roman"/>
          <w:b w:val="0"/>
          <w:i/>
          <w:sz w:val="20"/>
        </w:rPr>
        <w:t>Kakeya set conjecture, residual measures, incidence geometry, multiplicity, Wang–Zahl reduction</w:t>
      </w:r>
    </w:p>
    <w:p>
      <w:pPr>
        <w:spacing w:before="280"/>
        <w:pBdr>
          <w:bottom w:val="single" w:sz="12" w:space="1" w:color="1A365D"/>
        </w:pBdr>
      </w:pPr>
      <w:r>
        <w:rPr>
          <w:rFonts w:ascii="Times New Roman" w:hAnsi="Times New Roman" w:eastAsia="Times New Roman"/>
          <w:b/>
          <w:i w:val="0"/>
          <w:sz w:val="24"/>
        </w:rPr>
        <w:t>Abstract</w:t>
      </w:r>
    </w:p>
    <w:p>
      <w:pPr>
        <w:spacing w:after="240" w:line="276" w:lineRule="auto"/>
      </w:pPr>
      <w:r>
        <w:rPr>
          <w:rFonts w:ascii="Times New Roman" w:hAnsi="Times New Roman" w:eastAsia="Times New Roman"/>
          <w:b w:val="0"/>
          <w:i/>
          <w:sz w:val="20"/>
        </w:rPr>
        <w:t>We isolate a residual overlap measure—Grain Zero—after a finite family of δ-tubes in R³ has been factored into the structured carriers appearing in modern proofs of the Kakeya set conjecture in three dimensions (grains, slabs, prisms, planks, sticky packets, convex carriers, and scale envelopes). The raw excess multiplicity is not itself Grain Zero; Grain Zero is the excess supported off the extracted carrier. The primary theorem target is residual vanishing: after the Wang–Zahl / Guth–Wang–Zahl reduction stages, the normalized residual mass should tend to zero as δ → 0. Operator encodings and any zeta-regularization near s = 0 are second-stage and conditional. The Riemann hypothesis and the Coleman conjecture remain OPEN. No claim constitutes a proof of either statement. The value ζ(0) = −½ is not asserted as a term in the Kakeya proof literature.</w:t>
      </w:r>
    </w:p>
    <w:p>
      <w:pPr>
        <w:spacing w:before="280" w:after="120"/>
        <w:pBdr>
          <w:bottom w:val="single" w:sz="12" w:space="1" w:color="1A365D"/>
        </w:pBdr>
      </w:pPr>
      <w:r>
        <w:rPr>
          <w:rFonts w:ascii="Times New Roman" w:hAnsi="Times New Roman" w:eastAsia="Times New Roman"/>
          <w:b/>
          <w:i w:val="0"/>
          <w:color w:val="1A365D"/>
          <w:sz w:val="24"/>
        </w:rPr>
        <w:t>1. Introduction</w:t>
      </w:r>
    </w:p>
    <w:p>
      <w:pPr>
        <w:spacing w:after="120" w:line="276" w:lineRule="auto"/>
      </w:pPr>
      <w:r>
        <w:rPr>
          <w:rFonts w:ascii="Times New Roman" w:hAnsi="Times New Roman" w:eastAsia="Times New Roman"/>
          <w:b/>
          <w:i w:val="0"/>
          <w:color w:val="1E5032"/>
          <w:sz w:val="20"/>
        </w:rPr>
        <w:t>STATUS: Program note ARX-001 under PeAIce claim discipline. Definition of G₀ is FORMAL. Residual vanishing is PROPOSED / OPEN. Operator and zeta stages are explicitly second-stage.</w:t>
      </w:r>
    </w:p>
    <w:p>
      <w:pPr>
        <w:spacing w:after="120" w:line="276" w:lineRule="auto"/>
      </w:pPr>
      <w:r>
        <w:rPr>
          <w:rFonts w:ascii="Times New Roman" w:hAnsi="Times New Roman" w:eastAsia="Times New Roman"/>
          <w:b w:val="0"/>
          <w:i w:val="0"/>
          <w:sz w:val="22"/>
        </w:rPr>
        <w:t>A Kakeya (Besicovitch) set in Rⁿ contains a unit line segment in every direction. In R³, every such set has Minkowski and Hausdorff dimension three (Wang–Zahl 2025; Guth–Wang–Zahl 2026). The proof architecture organizes directional overlap into structured carriers. This note does not reprove the Kakeya theorem. It asks a residual question: after legal structure is removed, what measure remains, and can it be shown to vanish under the same estimates that close the volume problem?</w:t>
      </w:r>
    </w:p>
    <w:p>
      <w:pPr>
        <w:spacing w:after="120" w:line="276" w:lineRule="auto"/>
      </w:pPr>
      <w:r>
        <w:rPr>
          <w:rFonts w:ascii="Times New Roman" w:hAnsi="Times New Roman" w:eastAsia="Times New Roman"/>
          <w:b w:val="0"/>
          <w:i w:val="0"/>
          <w:sz w:val="22"/>
        </w:rPr>
        <w:t>We call the residual object Grain Zero. The name is program-internal; the mathematics is a residual measure after carrier subtraction.</w:t>
      </w:r>
    </w:p>
    <w:p>
      <w:pPr>
        <w:spacing w:after="120" w:line="276" w:lineRule="auto"/>
      </w:pPr>
      <w:r>
        <w:rPr>
          <w:rFonts w:ascii="Times New Roman" w:hAnsi="Times New Roman" w:eastAsia="Times New Roman"/>
          <w:b/>
          <w:i w:val="0"/>
          <w:color w:val="782828"/>
          <w:sz w:val="20"/>
        </w:rPr>
        <w:t>FIREWALL: ζ(0) = −½ is not asserted as a Kakeya theorem term. Any regularization at s = 0 is second-stage and conditional on a residual operator or counting object constructed after residual control.</w:t>
      </w:r>
    </w:p>
    <w:p>
      <w:pPr>
        <w:spacing w:before="280" w:after="120"/>
        <w:pBdr>
          <w:bottom w:val="single" w:sz="12" w:space="1" w:color="1A365D"/>
        </w:pBdr>
      </w:pPr>
      <w:r>
        <w:rPr>
          <w:rFonts w:ascii="Times New Roman" w:hAnsi="Times New Roman" w:eastAsia="Times New Roman"/>
          <w:b/>
          <w:i w:val="0"/>
          <w:color w:val="1A365D"/>
          <w:sz w:val="24"/>
        </w:rPr>
        <w:t>2. Tube setup</w:t>
      </w:r>
    </w:p>
    <w:p>
      <w:pPr>
        <w:spacing w:after="120" w:line="276" w:lineRule="auto"/>
      </w:pPr>
      <w:r>
        <w:rPr>
          <w:rFonts w:ascii="Times New Roman" w:hAnsi="Times New Roman" w:eastAsia="Times New Roman"/>
          <w:b w:val="0"/>
          <w:i w:val="0"/>
          <w:sz w:val="22"/>
        </w:rPr>
        <w:t>Let T_δ be a finite family of δ-tubes in R³ with shading Y(T) ⊂ T for each T ∈ T_δ. Write:</w:t>
      </w:r>
    </w:p>
    <w:p>
      <w:pPr>
        <w:spacing w:after="120" w:line="276" w:lineRule="auto"/>
        <w:jc w:val="center"/>
      </w:pPr>
      <w:r>
        <w:rPr>
          <w:rFonts w:ascii="Courier New" w:hAnsi="Courier New" w:eastAsia="Courier New"/>
          <w:b w:val="0"/>
          <w:i w:val="0"/>
          <w:sz w:val="18"/>
        </w:rPr>
        <w:t>U(T_δ, Y) := ⋃_{T∈T_δ} Y(T)</w:t>
      </w:r>
    </w:p>
    <w:p>
      <w:pPr>
        <w:spacing w:after="120" w:line="276" w:lineRule="auto"/>
        <w:jc w:val="center"/>
      </w:pPr>
      <w:r>
        <w:rPr>
          <w:rFonts w:ascii="Courier New" w:hAnsi="Courier New" w:eastAsia="Courier New"/>
          <w:b w:val="0"/>
          <w:i w:val="0"/>
          <w:sz w:val="18"/>
        </w:rPr>
        <w:t>m_δ(x) := #{ T ∈ T_δ : x ∈ Y(T) }</w:t>
      </w:r>
    </w:p>
    <w:p>
      <w:pPr>
        <w:spacing w:after="120" w:line="276" w:lineRule="auto"/>
        <w:jc w:val="center"/>
      </w:pPr>
      <w:r>
        <w:rPr>
          <w:rFonts w:ascii="Courier New" w:hAnsi="Courier New" w:eastAsia="Courier New"/>
          <w:b w:val="0"/>
          <w:i w:val="0"/>
          <w:sz w:val="18"/>
        </w:rPr>
        <w:t>e_δ(x) := (m_δ(x) − 1)_+</w:t>
      </w:r>
    </w:p>
    <w:p>
      <w:pPr>
        <w:spacing w:after="120" w:line="276" w:lineRule="auto"/>
      </w:pPr>
      <w:r>
        <w:rPr>
          <w:rFonts w:ascii="Times New Roman" w:hAnsi="Times New Roman" w:eastAsia="Times New Roman"/>
          <w:b w:val="0"/>
          <w:i w:val="0"/>
          <w:sz w:val="22"/>
        </w:rPr>
        <w:t>The raw excess measure e_δ(x) dx still includes overlap that may be fully accounted for by structured carriers. Grain Zero begins only after that structure is extracted.</w:t>
      </w:r>
    </w:p>
    <w:p>
      <w:pPr>
        <w:spacing w:before="280" w:after="120"/>
        <w:pBdr>
          <w:bottom w:val="single" w:sz="12" w:space="1" w:color="1A365D"/>
        </w:pBdr>
      </w:pPr>
      <w:r>
        <w:rPr>
          <w:rFonts w:ascii="Times New Roman" w:hAnsi="Times New Roman" w:eastAsia="Times New Roman"/>
          <w:b/>
          <w:i w:val="0"/>
          <w:color w:val="1A365D"/>
          <w:sz w:val="24"/>
        </w:rPr>
        <w:t>3. Structured carriers</w:t>
      </w:r>
    </w:p>
    <w:p>
      <w:pPr>
        <w:spacing w:after="120" w:line="276" w:lineRule="auto"/>
      </w:pPr>
      <w:r>
        <w:rPr>
          <w:rFonts w:ascii="Times New Roman" w:hAnsi="Times New Roman" w:eastAsia="Times New Roman"/>
          <w:b w:val="0"/>
          <w:i w:val="0"/>
          <w:sz w:val="20"/>
        </w:rPr>
        <w:t>Definition (Structured carrier, informal) — FORMAL (program definition); pinning OWED. At a scale passage δ ≤ ρ ≤ 1, let C_{δ,ρ} denote the measurable structured carrier produced by a fixed stage of a Wang–Zahl / Guth–Wang–Zahl style reduction. Depending on the stage, C_{δ,ρ} may include grains, slabs, prisms, planks, convex carriers, sticky packets, Katz–Tao convex-density packets, Frostman slab packets, high-multiplicity cells, and scale-induction envelopes.</w:t>
      </w:r>
    </w:p>
    <w:p>
      <w:pPr>
        <w:spacing w:after="120" w:line="276" w:lineRule="auto"/>
      </w:pPr>
      <w:r>
        <w:rPr>
          <w:rFonts w:ascii="Times New Roman" w:hAnsi="Times New Roman" w:eastAsia="Times New Roman"/>
          <w:b w:val="0"/>
          <w:i w:val="0"/>
          <w:sz w:val="20"/>
        </w:rPr>
        <w:t>Remark: A rigorous implementation must pin C_{δ,ρ} to explicit source addresses in Wang–Zahl / Guth–Wang–Zahl for the chosen stage. Carrier pinning is an owed edit before arXiv submission.</w:t>
      </w:r>
    </w:p>
    <w:p>
      <w:pPr>
        <w:spacing w:before="280" w:after="120"/>
        <w:pBdr>
          <w:bottom w:val="single" w:sz="12" w:space="1" w:color="1A365D"/>
        </w:pBdr>
      </w:pPr>
      <w:r>
        <w:rPr>
          <w:rFonts w:ascii="Times New Roman" w:hAnsi="Times New Roman" w:eastAsia="Times New Roman"/>
          <w:b/>
          <w:i w:val="0"/>
          <w:color w:val="1A365D"/>
          <w:sz w:val="24"/>
        </w:rPr>
        <w:t>4. Grain Zero</w:t>
      </w:r>
    </w:p>
    <w:p>
      <w:pPr>
        <w:spacing w:after="120" w:line="276" w:lineRule="auto"/>
      </w:pPr>
      <w:r>
        <w:rPr>
          <w:rFonts w:ascii="Times New Roman" w:hAnsi="Times New Roman" w:eastAsia="Times New Roman"/>
          <w:b w:val="0"/>
          <w:i w:val="0"/>
          <w:sz w:val="20"/>
        </w:rPr>
        <w:t>Definition DDATL-002.1 (Grain Zero residual measure) — FORMAL.</w:t>
      </w:r>
    </w:p>
    <w:p>
      <w:pPr>
        <w:spacing w:after="120" w:line="276" w:lineRule="auto"/>
      </w:pPr>
      <w:r>
        <w:rPr>
          <w:rFonts w:ascii="Times New Roman" w:hAnsi="Times New Roman" w:eastAsia="Times New Roman"/>
          <w:b w:val="0"/>
          <w:i w:val="0"/>
          <w:sz w:val="22"/>
        </w:rPr>
        <w:t>After C_{δ,ρ} has been extracted, define:</w:t>
      </w:r>
    </w:p>
    <w:p>
      <w:pPr>
        <w:spacing w:after="120" w:line="276" w:lineRule="auto"/>
        <w:jc w:val="center"/>
      </w:pPr>
      <w:r>
        <w:rPr>
          <w:rFonts w:ascii="Courier New" w:hAnsi="Courier New" w:eastAsia="Courier New"/>
          <w:b w:val="0"/>
          <w:i w:val="0"/>
          <w:sz w:val="18"/>
        </w:rPr>
        <w:t>dG₀_{δ,ρ}(x) := e_δ(x) · 1_{R³ \ C_{δ,ρ}}(x) dx</w:t>
      </w:r>
    </w:p>
    <w:p>
      <w:pPr>
        <w:spacing w:after="120" w:line="276" w:lineRule="auto"/>
      </w:pPr>
      <w:r>
        <w:rPr>
          <w:rFonts w:ascii="Times New Roman" w:hAnsi="Times New Roman" w:eastAsia="Times New Roman"/>
          <w:b w:val="0"/>
          <w:i w:val="0"/>
          <w:sz w:val="22"/>
        </w:rPr>
        <w:t>Equivalently, for measurable A ⊂ R³:</w:t>
      </w:r>
    </w:p>
    <w:p>
      <w:pPr>
        <w:spacing w:after="120" w:line="276" w:lineRule="auto"/>
        <w:jc w:val="center"/>
      </w:pPr>
      <w:r>
        <w:rPr>
          <w:rFonts w:ascii="Courier New" w:hAnsi="Courier New" w:eastAsia="Courier New"/>
          <w:b w:val="0"/>
          <w:i w:val="0"/>
          <w:sz w:val="18"/>
        </w:rPr>
        <w:t>G₀_{δ,ρ}(A) := ∫_A (m_δ(x) − 1)_+ · 1_{R³ \ C_{δ,ρ}}(x) dx</w:t>
      </w:r>
    </w:p>
    <w:p>
      <w:pPr>
        <w:spacing w:after="120" w:line="276" w:lineRule="auto"/>
        <w:jc w:val="center"/>
      </w:pPr>
      <w:r>
        <w:rPr>
          <w:rFonts w:ascii="Courier New" w:hAnsi="Courier New" w:eastAsia="Courier New"/>
          <w:b w:val="0"/>
          <w:i w:val="0"/>
          <w:sz w:val="18"/>
        </w:rPr>
        <w:t>G₀ is not a grain, slab, prism, or sticky packet. It is the leftover excess after those carriers absorb the overlap they are designed to control.</w:t>
      </w:r>
    </w:p>
    <w:p>
      <w:pPr>
        <w:spacing w:before="280" w:after="120"/>
        <w:pBdr>
          <w:bottom w:val="single" w:sz="12" w:space="1" w:color="1A365D"/>
        </w:pBdr>
      </w:pPr>
      <w:r>
        <w:rPr>
          <w:rFonts w:ascii="Times New Roman" w:hAnsi="Times New Roman" w:eastAsia="Times New Roman"/>
          <w:b/>
          <w:i w:val="0"/>
          <w:color w:val="1A365D"/>
          <w:sz w:val="24"/>
        </w:rPr>
        <w:t>5. Primary theorem target</w:t>
      </w:r>
    </w:p>
    <w:p>
      <w:pPr>
        <w:spacing w:after="120" w:line="276" w:lineRule="auto"/>
      </w:pPr>
      <w:r>
        <w:rPr>
          <w:rFonts w:ascii="Times New Roman" w:hAnsi="Times New Roman" w:eastAsia="Times New Roman"/>
          <w:b w:val="0"/>
          <w:i w:val="0"/>
          <w:sz w:val="20"/>
        </w:rPr>
        <w:t>Conjecture (Residual vanishing) — PROPOSED / OPEN.</w:t>
      </w:r>
    </w:p>
    <w:p>
      <w:pPr>
        <w:spacing w:after="120" w:line="276" w:lineRule="auto"/>
      </w:pPr>
      <w:r>
        <w:rPr>
          <w:rFonts w:ascii="Times New Roman" w:hAnsi="Times New Roman" w:eastAsia="Times New Roman"/>
          <w:b w:val="0"/>
          <w:i w:val="0"/>
          <w:sz w:val="22"/>
        </w:rPr>
        <w:t>Under the hypotheses and refinements of the Wang–Zahl / Guth–Wang–Zahl reduction, after broad/narrow decomposition, convex-density factoring, grain/slab/prism extraction, sticky or non-sticky reduction, and final scale refinement:</w:t>
      </w:r>
    </w:p>
    <w:p>
      <w:pPr>
        <w:spacing w:after="120" w:line="276" w:lineRule="auto"/>
        <w:jc w:val="center"/>
      </w:pPr>
      <w:r>
        <w:rPr>
          <w:rFonts w:ascii="Courier New" w:hAnsi="Courier New" w:eastAsia="Courier New"/>
          <w:b w:val="0"/>
          <w:i w:val="0"/>
          <w:sz w:val="18"/>
        </w:rPr>
        <w:t>G₀_{δ,ρ}(R³) / Σ_{T∈T_δ} |Y(T)|  →  0   as δ → 0</w:t>
      </w:r>
    </w:p>
    <w:p>
      <w:pPr>
        <w:spacing w:after="120" w:line="276" w:lineRule="auto"/>
      </w:pPr>
      <w:r>
        <w:rPr>
          <w:rFonts w:ascii="Times New Roman" w:hAnsi="Times New Roman" w:eastAsia="Times New Roman"/>
          <w:b w:val="0"/>
          <w:i w:val="0"/>
          <w:sz w:val="22"/>
        </w:rPr>
        <w:t>A weak form with δ^{o(1)} capture may be assemblable from existing error channels; a strong form is the program’s primary geometric burden.</w:t>
      </w:r>
    </w:p>
    <w:p>
      <w:pPr>
        <w:spacing w:after="120" w:line="276" w:lineRule="auto"/>
      </w:pPr>
      <w:r>
        <w:rPr>
          <w:rFonts w:ascii="Times New Roman" w:hAnsi="Times New Roman" w:eastAsia="Times New Roman"/>
          <w:b w:val="0"/>
          <w:i w:val="0"/>
          <w:sz w:val="22"/>
        </w:rPr>
        <w:t>PeAIce seal: No point in space can lie inside too many grains without the overlap becoming structure or becoming negligible.</w:t>
      </w:r>
    </w:p>
    <w:p>
      <w:pPr>
        <w:spacing w:before="280" w:after="120"/>
        <w:pBdr>
          <w:bottom w:val="single" w:sz="12" w:space="1" w:color="1A365D"/>
        </w:pBdr>
      </w:pPr>
      <w:r>
        <w:rPr>
          <w:rFonts w:ascii="Times New Roman" w:hAnsi="Times New Roman" w:eastAsia="Times New Roman"/>
          <w:b/>
          <w:i w:val="0"/>
          <w:color w:val="1A365D"/>
          <w:sz w:val="24"/>
        </w:rPr>
        <w:t>6. Lemma ladder (program outline)</w:t>
      </w:r>
    </w:p>
    <w:p>
      <w:pPr>
        <w:spacing w:after="120" w:line="276" w:lineRule="auto"/>
      </w:pPr>
      <w:r>
        <w:rPr>
          <w:rFonts w:ascii="Times New Roman" w:hAnsi="Times New Roman" w:eastAsia="Times New Roman"/>
          <w:b w:val="0"/>
          <w:i w:val="0"/>
          <w:sz w:val="22"/>
        </w:rPr>
        <w:t>L1. Structured factorization — PROPOSED. Decompose e_δ dx = dS_{δ,ρ} + dG₀_{δ,ρ} with dS supported on carriers and dG₀ off carriers.</w:t>
      </w:r>
    </w:p>
    <w:p>
      <w:pPr>
        <w:spacing w:after="120" w:line="276" w:lineRule="auto"/>
      </w:pPr>
      <w:r>
        <w:rPr>
          <w:rFonts w:ascii="Times New Roman" w:hAnsi="Times New Roman" w:eastAsia="Times New Roman"/>
          <w:b w:val="0"/>
          <w:i w:val="0"/>
          <w:sz w:val="22"/>
        </w:rPr>
        <w:t>L2. Carrier exhaustion — PROPOSED. Show dS accounts for overlap controlled by existing incidence, multiplicity, convex-density, or slab estimates at the chosen stage.</w:t>
      </w:r>
    </w:p>
    <w:p>
      <w:pPr>
        <w:spacing w:after="120" w:line="276" w:lineRule="auto"/>
      </w:pPr>
      <w:r>
        <w:rPr>
          <w:rFonts w:ascii="Times New Roman" w:hAnsi="Times New Roman" w:eastAsia="Times New Roman"/>
          <w:b w:val="0"/>
          <w:i w:val="0"/>
          <w:sz w:val="22"/>
        </w:rPr>
        <w:t>L3. Residual domination — PROPOSED. Bound G₀(R³) ≤ E_bn + E_convex + E_sticky + E_scale.</w:t>
      </w:r>
    </w:p>
    <w:p>
      <w:pPr>
        <w:spacing w:after="120" w:line="276" w:lineRule="auto"/>
      </w:pPr>
      <w:r>
        <w:rPr>
          <w:rFonts w:ascii="Times New Roman" w:hAnsi="Times New Roman" w:eastAsia="Times New Roman"/>
          <w:b w:val="0"/>
          <w:i w:val="0"/>
          <w:sz w:val="22"/>
        </w:rPr>
        <w:t>L4. Residual vanishing — OPEN. Deduce the residual vanishing conjecture.</w:t>
      </w:r>
    </w:p>
    <w:p>
      <w:pPr>
        <w:spacing w:after="120" w:line="276" w:lineRule="auto"/>
      </w:pPr>
      <w:r>
        <w:rPr>
          <w:rFonts w:ascii="Times New Roman" w:hAnsi="Times New Roman" w:eastAsia="Times New Roman"/>
          <w:b w:val="0"/>
          <w:i w:val="0"/>
          <w:sz w:val="22"/>
        </w:rPr>
        <w:t>L5. Operator encoding — second stage, OPEN. Only after residual control, construct K_{G₀}, a kernel, a counting function, or a scale defect measure from residual data.</w:t>
      </w:r>
    </w:p>
    <w:p>
      <w:pPr>
        <w:spacing w:after="120" w:line="276" w:lineRule="auto"/>
      </w:pPr>
      <w:r>
        <w:rPr>
          <w:rFonts w:ascii="Times New Roman" w:hAnsi="Times New Roman" w:eastAsia="Times New Roman"/>
          <w:b w:val="0"/>
          <w:i w:val="0"/>
          <w:sz w:val="22"/>
        </w:rPr>
        <w:t>L6. Zeta-regularization question — conditional, OPEN. Only after an operator exists, ask whether a zeta/Mellin object continues near s = 0. Zeta firewall applies.</w:t>
      </w:r>
    </w:p>
    <w:p>
      <w:pPr>
        <w:spacing w:before="280" w:after="120"/>
        <w:pBdr>
          <w:bottom w:val="single" w:sz="12" w:space="1" w:color="1A365D"/>
        </w:pBdr>
      </w:pPr>
      <w:r>
        <w:rPr>
          <w:rFonts w:ascii="Times New Roman" w:hAnsi="Times New Roman" w:eastAsia="Times New Roman"/>
          <w:b/>
          <w:i w:val="0"/>
          <w:color w:val="1A365D"/>
          <w:sz w:val="24"/>
        </w:rPr>
        <w:t>7. Obstacles</w:t>
      </w:r>
    </w:p>
    <w:p>
      <w:pPr>
        <w:spacing w:after="120" w:line="276" w:lineRule="auto"/>
      </w:pPr>
      <w:r>
        <w:rPr>
          <w:rFonts w:ascii="Times New Roman" w:hAnsi="Times New Roman" w:eastAsia="Times New Roman"/>
          <w:b w:val="0"/>
          <w:i w:val="0"/>
          <w:sz w:val="22"/>
        </w:rPr>
        <w:t>1. C_{δ,ρ} is proof-stage dependent; several residual lanes G₀^grain, G₀^slab, … may be required.</w:t>
      </w:r>
    </w:p>
    <w:p>
      <w:pPr>
        <w:spacing w:after="120" w:line="276" w:lineRule="auto"/>
      </w:pPr>
      <w:r>
        <w:rPr>
          <w:rFonts w:ascii="Times New Roman" w:hAnsi="Times New Roman" w:eastAsia="Times New Roman"/>
          <w:b w:val="0"/>
          <w:i w:val="0"/>
          <w:sz w:val="22"/>
        </w:rPr>
        <w:t>2. Existing Kakeya proofs close by volume/multiplicity control without naming a residual measure; residual closure must be translated from those estimates.</w:t>
      </w:r>
    </w:p>
    <w:p>
      <w:pPr>
        <w:spacing w:after="120" w:line="276" w:lineRule="auto"/>
      </w:pPr>
      <w:r>
        <w:rPr>
          <w:rFonts w:ascii="Times New Roman" w:hAnsi="Times New Roman" w:eastAsia="Times New Roman"/>
          <w:b w:val="0"/>
          <w:i w:val="0"/>
          <w:sz w:val="22"/>
        </w:rPr>
        <w:t>3. A vanishing residual may be too thin to support a nontrivial spectral object; the correct second-stage object may be a renormalized defect along scales rather than G₀ itself.</w:t>
      </w:r>
    </w:p>
    <w:p>
      <w:pPr>
        <w:spacing w:before="280" w:after="120"/>
        <w:pBdr>
          <w:bottom w:val="single" w:sz="12" w:space="1" w:color="1A365D"/>
        </w:pBdr>
      </w:pPr>
      <w:r>
        <w:rPr>
          <w:rFonts w:ascii="Times New Roman" w:hAnsi="Times New Roman" w:eastAsia="Times New Roman"/>
          <w:b/>
          <w:i w:val="0"/>
          <w:color w:val="1A365D"/>
          <w:sz w:val="24"/>
        </w:rPr>
        <w:t>8. Related work and non-claims</w:t>
      </w:r>
    </w:p>
    <w:p>
      <w:pPr>
        <w:spacing w:after="120" w:line="276" w:lineRule="auto"/>
      </w:pPr>
      <w:r>
        <w:rPr>
          <w:rFonts w:ascii="Times New Roman" w:hAnsi="Times New Roman" w:eastAsia="Times New Roman"/>
          <w:b w:val="0"/>
          <w:i w:val="0"/>
          <w:sz w:val="22"/>
        </w:rPr>
        <w:t>Geometric background: Kakeya theorem in R³ (Wang–Zahl arXiv:2502.17655; Guth–Wang–Zahl arXiv:2601.14411) and the broader restriction/Kakeya complex. We do not assert a peer-reviewed literature bridge from Kakeya residual measures to zeros of the Riemann zeta function; any such bridge is program-original and presently OPEN.</w:t>
      </w:r>
    </w:p>
    <w:p>
      <w:pPr>
        <w:spacing w:after="120" w:line="276" w:lineRule="auto"/>
      </w:pPr>
      <w:r>
        <w:rPr>
          <w:rFonts w:ascii="Times New Roman" w:hAnsi="Times New Roman" w:eastAsia="Times New Roman"/>
          <w:b w:val="0"/>
          <w:i w:val="0"/>
          <w:sz w:val="22"/>
        </w:rPr>
        <w:t>The Riemann hypothesis and the Coleman conjecture remain OPEN.</w:t>
      </w:r>
    </w:p>
    <w:p>
      <w:pPr>
        <w:spacing w:before="280" w:after="120"/>
        <w:pBdr>
          <w:bottom w:val="single" w:sz="12" w:space="1" w:color="1A365D"/>
        </w:pBdr>
      </w:pPr>
      <w:r>
        <w:rPr>
          <w:rFonts w:ascii="Times New Roman" w:hAnsi="Times New Roman" w:eastAsia="Times New Roman"/>
          <w:b/>
          <w:i w:val="0"/>
          <w:color w:val="1A365D"/>
          <w:sz w:val="24"/>
        </w:rPr>
        <w:t>9. Acknowledgments</w:t>
      </w:r>
    </w:p>
    <w:p>
      <w:pPr>
        <w:spacing w:after="120" w:line="276" w:lineRule="auto"/>
      </w:pPr>
      <w:r>
        <w:rPr>
          <w:rFonts w:ascii="Times New Roman" w:hAnsi="Times New Roman" w:eastAsia="Times New Roman"/>
          <w:b w:val="0"/>
          <w:i w:val="0"/>
          <w:sz w:val="22"/>
        </w:rPr>
        <w:t>Research engineering assistance was used in preparing program materials. Mathematical claims and any future arXiv submission decision remain the author’s responsibility. Evaluator non-sovereignty (h &lt; 1) is a governance constraint on the program, not a theorem of analytic number theory.</w:t>
      </w:r>
    </w:p>
    <w:p>
      <w:pPr>
        <w:spacing w:before="280" w:after="120"/>
        <w:pBdr>
          <w:bottom w:val="single" w:sz="12" w:space="1" w:color="1A365D"/>
        </w:pBdr>
      </w:pPr>
      <w:r>
        <w:rPr>
          <w:rFonts w:ascii="Times New Roman" w:hAnsi="Times New Roman" w:eastAsia="Times New Roman"/>
          <w:b/>
          <w:i w:val="0"/>
          <w:color w:val="1A365D"/>
          <w:sz w:val="24"/>
        </w:rPr>
        <w:t>References (selected)</w:t>
      </w:r>
    </w:p>
    <w:p>
      <w:pPr>
        <w:spacing w:after="120" w:line="276" w:lineRule="auto"/>
      </w:pPr>
      <w:r>
        <w:rPr>
          <w:rFonts w:ascii="Times New Roman" w:hAnsi="Times New Roman" w:eastAsia="Times New Roman"/>
          <w:b w:val="0"/>
          <w:i w:val="0"/>
          <w:sz w:val="22"/>
        </w:rPr>
        <w:t>Wang, H. and Zahl, J. Volume estimates for unions of convex sets, and the Kakeya set conjecture in three dimensions. arXiv:2502.17655, 2025.</w:t>
      </w:r>
    </w:p>
    <w:p>
      <w:pPr>
        <w:spacing w:after="120" w:line="276" w:lineRule="auto"/>
      </w:pPr>
      <w:r>
        <w:rPr>
          <w:rFonts w:ascii="Times New Roman" w:hAnsi="Times New Roman" w:eastAsia="Times New Roman"/>
          <w:b w:val="0"/>
          <w:i w:val="0"/>
          <w:sz w:val="22"/>
        </w:rPr>
        <w:t>Guth, L., Wang, H., and Zahl, J. A streamlined proof of the Kakeya set conjecture in R³. arXiv:2601.14411, 2026.</w:t>
      </w:r>
    </w:p>
    <w:p>
      <w:pPr>
        <w:spacing w:after="120" w:line="276" w:lineRule="auto"/>
      </w:pPr>
      <w:r>
        <w:rPr>
          <w:rFonts w:ascii="Times New Roman" w:hAnsi="Times New Roman" w:eastAsia="Times New Roman"/>
          <w:b w:val="0"/>
          <w:i w:val="0"/>
          <w:sz w:val="22"/>
        </w:rPr>
        <w:t>Bennett, J., Carbery, A., and Tao, T. On the multilinear restriction and Kakeya conjectures. Acta Math. 196 (2006), 261–302. arXiv:math/0509262.</w:t>
      </w:r>
    </w:p>
    <w:p>
      <w:pPr>
        <w:spacing w:after="120" w:line="276" w:lineRule="auto"/>
      </w:pPr>
      <w:r>
        <w:rPr>
          <w:rFonts w:ascii="Times New Roman" w:hAnsi="Times New Roman" w:eastAsia="Times New Roman"/>
          <w:b w:val="0"/>
          <w:i w:val="0"/>
          <w:sz w:val="22"/>
        </w:rPr>
        <w:t>Guth, L. Large value estimates in number theory, harmonic analysis, and computer science. arXiv:2503.07410, 2025.</w:t>
      </w:r>
    </w:p>
    <w:p>
      <w:pPr>
        <w:spacing w:before="360"/>
        <w:pBdr>
          <w:bottom w:val="single" w:sz="12" w:space="1" w:color="1A365D"/>
        </w:pBdr>
      </w:pPr>
    </w:p>
    <w:p>
      <w:pPr>
        <w:jc w:val="center"/>
      </w:pPr>
      <w:r>
        <w:rPr>
          <w:rFonts w:ascii="Times New Roman" w:hAnsi="Times New Roman" w:eastAsia="Times New Roman"/>
          <w:b w:val="0"/>
          <w:i/>
          <w:color w:val="646E78"/>
          <w:sz w:val="16"/>
        </w:rPr>
        <w:t>Export generated from kakeyalogic/arxiv · LaTeX sources remain authoritative for arXiv upload · Human author only · receipts over reach</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