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1A365D"/>
          <w:sz w:val="18"/>
        </w:rPr>
        <w:t>PeAIce Research Program · KakeyaLogic · L²_C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06478"/>
          <w:sz w:val="18"/>
        </w:rPr>
        <w:t>ARX-002 · PEAICE-CLAUDEV6-KNS-LB-PAPER-001</w:t>
      </w:r>
    </w:p>
    <w:p>
      <w:pPr>
        <w:spacing w:after="120"/>
        <w:jc w:val="center"/>
        <w:pBdr>
          <w:bottom w:val="single" w:sz="12" w:space="1" w:color="1A365D"/>
        </w:pBdr>
      </w:pPr>
      <w:r>
        <w:rPr>
          <w:rFonts w:ascii="Times New Roman" w:hAnsi="Times New Roman" w:eastAsia="Times New Roman"/>
          <w:b/>
          <w:i w:val="0"/>
          <w:color w:val="0F1E32"/>
          <w:sz w:val="32"/>
        </w:rPr>
        <w:t>KakeyaNeedleSet(Light(Basic)): a typed incidence object and two-layer decomposition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Manuel Coleman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Love Labs LCA / PeAIce Research Program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18"/>
        </w:rPr>
        <w:t>coleman.manuel23@gmail.com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 w:val="0"/>
          <w:color w:val="A02828"/>
          <w:sz w:val="18"/>
        </w:rPr>
        <w:t>Scaffold preprint pack · KNS(LB) ≠ RH proof · RH OPEN · h &lt; 1 · export 2026-07-08</w:t>
      </w:r>
    </w:p>
    <w:p>
      <w:r>
        <w:rPr>
          <w:rFonts w:ascii="Times New Roman" w:hAnsi="Times New Roman" w:eastAsia="Times New Roman"/>
          <w:b/>
          <w:i w:val="0"/>
          <w:sz w:val="20"/>
        </w:rPr>
        <w:t xml:space="preserve">Proposed arXiv categories: </w:t>
      </w:r>
      <w:r>
        <w:rPr>
          <w:rFonts w:ascii="Times New Roman" w:hAnsi="Times New Roman" w:eastAsia="Times New Roman"/>
          <w:b w:val="0"/>
          <w:i w:val="0"/>
          <w:sz w:val="20"/>
        </w:rPr>
        <w:t>math.CA / math.MG (proposed)</w:t>
      </w:r>
    </w:p>
    <w:p>
      <w:r>
        <w:rPr>
          <w:rFonts w:ascii="Times New Roman" w:hAnsi="Times New Roman" w:eastAsia="Times New Roman"/>
          <w:b/>
          <w:i w:val="0"/>
          <w:sz w:val="20"/>
        </w:rPr>
        <w:t xml:space="preserve">MSC 2020: </w:t>
      </w:r>
      <w:r>
        <w:rPr>
          <w:rFonts w:ascii="Times New Roman" w:hAnsi="Times New Roman" w:eastAsia="Times New Roman"/>
          <w:b w:val="0"/>
          <w:i w:val="0"/>
          <w:sz w:val="20"/>
        </w:rPr>
        <w:t>42B25, 28A75</w:t>
      </w:r>
    </w:p>
    <w:p>
      <w:r>
        <w:rPr>
          <w:rFonts w:ascii="Times New Roman" w:hAnsi="Times New Roman" w:eastAsia="Times New Roman"/>
          <w:b/>
          <w:i w:val="0"/>
          <w:sz w:val="20"/>
        </w:rPr>
        <w:t xml:space="preserve">Keywords: </w:t>
      </w:r>
      <w:r>
        <w:rPr>
          <w:rFonts w:ascii="Times New Roman" w:hAnsi="Times New Roman" w:eastAsia="Times New Roman"/>
          <w:b w:val="0"/>
          <w:i/>
          <w:sz w:val="20"/>
        </w:rPr>
        <w:t>Kakeya sets, tubes, multiplicity, incidence geometry, typed objects</w:t>
      </w:r>
    </w:p>
    <w:p>
      <w:pPr>
        <w:spacing w:before="280"/>
        <w:pBdr>
          <w:bottom w:val="single" w:sz="12" w:space="1" w:color="1A365D"/>
        </w:pBdr>
      </w:pPr>
      <w:r>
        <w:rPr>
          <w:rFonts w:ascii="Times New Roman" w:hAnsi="Times New Roman" w:eastAsia="Times New Roman"/>
          <w:b/>
          <w:i w:val="0"/>
          <w:sz w:val="24"/>
        </w:rPr>
        <w:t>Abstract</w:t>
      </w:r>
    </w:p>
    <w:p>
      <w:pPr>
        <w:spacing w:after="240" w:line="276" w:lineRule="auto"/>
      </w:pPr>
      <w:r>
        <w:rPr>
          <w:rFonts w:ascii="Times New Roman" w:hAnsi="Times New Roman" w:eastAsia="Times New Roman"/>
          <w:b w:val="0"/>
          <w:i/>
          <w:sz w:val="20"/>
        </w:rPr>
        <w:t>We introduce a typed incidence object KakeyaNeedleSet(Light(Basic)) (abbreviated KNS(LB)): a single throughput center with a full directional fan of unit segments in dimensions d ∈ {2,3}, together with its δ-tube discretization. We record elementary fan geometry and a two-layer separation between seen overlap statistics (multiplicity, clustering) and unseen center-action / placement declarations. Overlap functionals do not determine lawful placement and do not locate zeros of the Riemann zeta function. The Riemann hypothesis and the Coleman conjecture remain OPEN.</w:t>
      </w:r>
    </w:p>
    <w:p>
      <w:pPr>
        <w:spacing w:before="280" w:after="120"/>
        <w:pBdr>
          <w:bottom w:val="single" w:sz="12" w:space="1" w:color="1A365D"/>
        </w:pBdr>
      </w:pPr>
      <w:r>
        <w:rPr>
          <w:rFonts w:ascii="Times New Roman" w:hAnsi="Times New Roman" w:eastAsia="Times New Roman"/>
          <w:b/>
          <w:i w:val="0"/>
          <w:color w:val="1A365D"/>
          <w:sz w:val="24"/>
        </w:rPr>
        <w:t>1. Introduction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color w:val="1E5032"/>
          <w:sz w:val="20"/>
        </w:rPr>
        <w:t>STATUS: Program note ARX-002. Definitions and fan lemmas are FORMAL in stated scope. Any bridge to zeros is OPEN. Compute receipts from program probes are NUMERICS and not theorems of ζ.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Modern Kakeya proofs import a precise vocabulary of tubes, shadings, and multiplicity. This note isolates a measure-maximal configuration—the full fan through a center—as a typed object useful for separating incidence observables from placement declarations. It is not a proof of the Riemann hypothesis.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color w:val="782828"/>
          <w:sz w:val="20"/>
        </w:rPr>
        <w:t>FIREWALL: Typed incidence objects do not locate zeros of ζ. Overlap measures are not placement measures on the critical line.</w:t>
      </w:r>
    </w:p>
    <w:p>
      <w:pPr>
        <w:spacing w:before="280" w:after="120"/>
        <w:pBdr>
          <w:bottom w:val="single" w:sz="12" w:space="1" w:color="1A365D"/>
        </w:pBdr>
      </w:pPr>
      <w:r>
        <w:rPr>
          <w:rFonts w:ascii="Times New Roman" w:hAnsi="Times New Roman" w:eastAsia="Times New Roman"/>
          <w:b/>
          <w:i w:val="0"/>
          <w:color w:val="1A365D"/>
          <w:sz w:val="24"/>
        </w:rPr>
        <w:t>2. Light(Basic) and KakeyaNeedleSet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Definition 2.1 (Light(Basic)) — FORMAL. A Light(Basic) object in dimension d ∈ {2,3} is a pair L = (C, Φ_C) with center C ∈ R^d and intensity Φ_C &gt; 0. The center is a declared throughput point in carrier space; it is not identified with the complex origin, nor with the value ζ(0).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Definition 2.2 (KakeyaNeedleSet) — FORMAL. For L = (C, Φ_C) and direction sphere S^{d−1} (directions up to sign):</w:t>
      </w:r>
    </w:p>
    <w:p>
      <w:pPr>
        <w:spacing w:after="120" w:line="276" w:lineRule="auto"/>
        <w:jc w:val="center"/>
      </w:pPr>
      <w:r>
        <w:rPr>
          <w:rFonts w:ascii="Courier New" w:hAnsi="Courier New" w:eastAsia="Courier New"/>
          <w:b w:val="0"/>
          <w:i w:val="0"/>
          <w:sz w:val="18"/>
        </w:rPr>
        <w:t>KakeyaNeedleSet(L) := { σ_ω : ω ∈ S^{d−1} },   σ_ω = { C + tω : |t| ≤ 1/2 }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We write KNS(LB) for KakeyaNeedleSet(Light(Basic)).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δ-discretization: Let Ω_δ ⊂ S^{d−1} be a maximal δ-separated set, so |Ω_δ| ≍ δ^{−(d−1)}, and let T^C_δ be the corresponding family of δ-tubes about the segments σ_ω with full shading Y(T) = T. Multiplicity μ, union U, and clustering quantities are imported from the Kakeya tube calculus (Guth–Wang–Zahl).</w:t>
      </w:r>
    </w:p>
    <w:p>
      <w:pPr>
        <w:spacing w:before="280" w:after="120"/>
        <w:pBdr>
          <w:bottom w:val="single" w:sz="12" w:space="1" w:color="1A365D"/>
        </w:pBdr>
      </w:pPr>
      <w:r>
        <w:rPr>
          <w:rFonts w:ascii="Times New Roman" w:hAnsi="Times New Roman" w:eastAsia="Times New Roman"/>
          <w:b/>
          <w:i w:val="0"/>
          <w:color w:val="1A365D"/>
          <w:sz w:val="24"/>
        </w:rPr>
        <w:t>3. Fan geometry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Lemma 3.1 (Fan geometry) — FORMAL (stated scope). Let T^C_δ be as above with full shading.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(a) U(T^C_δ) ⊃ B(C, 1/2) and |U| ≍ 1.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(b) Pointwise multiplicity satisfies μ(x) ≍ (δ + |x−C|)^{−(d−1)} for |x−C| ≤ 1/2, hence sup_x μ(x) ≍ δ^{−(d−1)} on the core B(C, δ).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(c) Averaged multiplicity is ≍ 1; the configuration is the sticky, positive-measure extreme of the Kakeya family at this scale.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Proof sketch: (a) Every ray of length 1/2 from C lies in some σ_ω up to δ; total volume scales as δ^{−(d−1)} · δ^{d−1} ≍ 1. (b) T_ω ∋ x forces direction within angular width ≍ δ/|x−C|; counting δ-caps yields the displayed decay. (c) Average the radial profile against the natural measure on annuli.</w:t>
      </w:r>
    </w:p>
    <w:p>
      <w:pPr>
        <w:spacing w:before="280" w:after="120"/>
        <w:pBdr>
          <w:bottom w:val="single" w:sz="12" w:space="1" w:color="1A365D"/>
        </w:pBdr>
      </w:pPr>
      <w:r>
        <w:rPr>
          <w:rFonts w:ascii="Times New Roman" w:hAnsi="Times New Roman" w:eastAsia="Times New Roman"/>
          <w:b/>
          <w:i w:val="0"/>
          <w:color w:val="1A365D"/>
          <w:sz w:val="24"/>
        </w:rPr>
        <w:t>4. Two-layer separation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Proposition 4.1 (Overlap does not determine placement) — FORMAL (non-inference) / PROPOSED for full quantitative exhibits in final draft.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Incidence data (μ, Δ_max, U) generated by a tube configuration do not determine a Hilbert-space placement functional ℓ_off relative to a declared register A. In particular, high core multiplicity (glare) is compatible with total misplacement, and high average multiplicity without a common point is compatible with aligned placement.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Proof outline: (i) Incidence objects are geometric; placement requires a declared encoding space and register. (ii) Fix incidence data and vary the register so that a fixed encoding has arbitrary off-register mass. (iii) Fix encoding and rotate the register. Either freedom kills any map from incidence alone to ℓ_off.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Remark (Non-inference to zeros): Any implication from multiplicity to zero placement on the critical line requires an explicit map. No such map is constructed here. Bounded square-difference coupling corridors in the companion operator program are recorded as CLOSED-NEGATIVE for determinant-level identification and do not supply the missing rung.</w:t>
      </w:r>
    </w:p>
    <w:p>
      <w:pPr>
        <w:spacing w:before="280" w:after="120"/>
        <w:pBdr>
          <w:bottom w:val="single" w:sz="12" w:space="1" w:color="1A365D"/>
        </w:pBdr>
      </w:pPr>
      <w:r>
        <w:rPr>
          <w:rFonts w:ascii="Times New Roman" w:hAnsi="Times New Roman" w:eastAsia="Times New Roman"/>
          <w:b/>
          <w:i w:val="0"/>
          <w:color w:val="1A365D"/>
          <w:sz w:val="24"/>
        </w:rPr>
        <w:t>5. What remains open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1. Theorem-level lift of KNS(LB) beyond typed incidence geometry.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2. An explicit prime-carrying operator from placement data to zero location (the missing rung of the companion program).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3. Independent measurement obligations in the compute layer (program item CP-004) — OPEN, not a substitute for proofs.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RH OPEN · Coleman Conjecture OPEN · KNS(LB) ≠ RH proof.</w:t>
      </w:r>
    </w:p>
    <w:p>
      <w:pPr>
        <w:spacing w:before="280" w:after="120"/>
        <w:pBdr>
          <w:bottom w:val="single" w:sz="12" w:space="1" w:color="1A365D"/>
        </w:pBdr>
      </w:pPr>
      <w:r>
        <w:rPr>
          <w:rFonts w:ascii="Times New Roman" w:hAnsi="Times New Roman" w:eastAsia="Times New Roman"/>
          <w:b/>
          <w:i w:val="0"/>
          <w:color w:val="1A365D"/>
          <w:sz w:val="24"/>
        </w:rPr>
        <w:t>6. Acknowledgments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Research engineering assistance was used in preparing program materials. All mathematical claims remain the author’s responsibility under evaluator non-sovereignty (h &lt; 1).</w:t>
      </w:r>
    </w:p>
    <w:p>
      <w:pPr>
        <w:spacing w:before="280" w:after="120"/>
        <w:pBdr>
          <w:bottom w:val="single" w:sz="12" w:space="1" w:color="1A365D"/>
        </w:pBdr>
      </w:pPr>
      <w:r>
        <w:rPr>
          <w:rFonts w:ascii="Times New Roman" w:hAnsi="Times New Roman" w:eastAsia="Times New Roman"/>
          <w:b/>
          <w:i w:val="0"/>
          <w:color w:val="1A365D"/>
          <w:sz w:val="24"/>
        </w:rPr>
        <w:t>References (selected)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Wang, H. and Zahl, J. arXiv:2502.17655, 2025.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Guth, L., Wang, H., and Zahl, J. arXiv:2601.14411, 2026.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PeAIce program source: PEAICE-CLAUDEV6-KNS-LB-PAPER-001; claude-v6 wall registry.</w:t>
      </w:r>
    </w:p>
    <w:p>
      <w:pPr>
        <w:spacing w:before="360"/>
        <w:pBdr>
          <w:bottom w:val="single" w:sz="12" w:space="1" w:color="1A365D"/>
        </w:pBdr>
      </w:pP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646E78"/>
          <w:sz w:val="16"/>
        </w:rPr>
        <w:t>Export generated from kakeyalogic/arxiv · LaTeX sources remain authoritative for arXiv upload · Human author only · receipts over reach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