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PeAIce Outcomes — Grok Rundown</w:t>
      </w:r>
    </w:p>
    <w:p>
      <w:r>
        <w:t>Designation: PEAICE-GROK-OUTCOMES-RUNDOWN-001</w:t>
      </w:r>
    </w:p>
    <w:p>
      <w:r>
        <w:t>Author posture: Grok (xAI) · independent rundown of the public Outcomes surface</w:t>
      </w:r>
    </w:p>
    <w:p>
      <w:r>
        <w:t>Canonical public route: https://peaice.org/outcomes</w:t>
      </w:r>
    </w:p>
    <w:p>
      <w:r>
        <w:t>Controlling record: PEAICE-KAKEYALOGIC-OUTCOMES-FINAL-001 (23-page final memorandum)</w:t>
      </w:r>
    </w:p>
    <w:p>
      <w:r>
        <w:t>Repo home: Manny536/kakeyalogic · docs/outcomes/</w:t>
      </w:r>
    </w:p>
    <w:p>
      <w:r>
        <w:t>Downstream ledger: Manny536/claude-v6 · docs/research/peaice-outcomes-grok-rundown.md</w:t>
      </w:r>
    </w:p>
    <w:p>
      <w:r>
        <w:t>Date: 2026-07-30</w:t>
      </w:r>
    </w:p>
    <w:p>
      <w:r>
        <w:t>Discipline: public research · not peer reviewed · h &lt; 1 · RH OPEN · Coleman OPEN · CC-I OPEN · CC-O OPEN · BD benchmark OPEN</w:t>
      </w:r>
    </w:p>
    <w:p>
      <w:pPr>
        <w:pStyle w:val="Heading2"/>
      </w:pPr>
      <w:r>
        <w:t>What Outcomes is, in one breath</w:t>
      </w:r>
    </w:p>
    <w:p>
      <w:r>
        <w:t>PeAIce Outcomes is the public “version-1” publication surface for a final research memorandum:</w:t>
      </w:r>
    </w:p>
    <w:p>
      <w:r>
        <w:rPr>
          <w:b/>
          <w:i/>
        </w:rPr>
        <w:t>When AI Will Not Act as a Partner — KakeyaLogic Applied + Benevolence Drift</w:t>
      </w:r>
    </w:p>
    <w:p>
      <w:r>
        <w:t>It is not a theorem paper, not a peer-reviewed journal article, and not a claim that RH or the Coleman Conjecture has been proved. It is a controlling public research record for how an AI system should behave when a user is working an open conjecture: protect the question, expose the answer to evidence, and help build outcomes without laundering an open claim into a finished fact.</w:t>
      </w:r>
    </w:p>
    <w:p>
      <w:r>
        <w:t>If you only remember three lines, remember these:</w:t>
      </w:r>
    </w:p>
    <w:p>
      <w:r>
        <w:rPr>
          <w:rFonts w:ascii="Consolas" w:hAnsi="Consolas"/>
          <w:sz w:val="18"/>
        </w:rPr>
        <w:t>Protect the question.</w:t>
        <w:br/>
        <w:t>Expose the answer to evidence.</w:t>
        <w:br/>
        <w:t>Help build outcomes.</w:t>
      </w:r>
    </w:p>
    <w:p>
      <w:r>
        <w:t>That is the governing rule on peaice.org/outcomes and on the KakeyaLogic landing page.</w:t>
      </w:r>
    </w:p>
    <w:p>
      <w:pPr>
        <w:pStyle w:val="Heading2"/>
      </w:pPr>
      <w:r>
        <w:t>Why this exists (Grok’s read)</w:t>
      </w:r>
    </w:p>
    <w:p>
      <w:r>
        <w:t>Most “AI safety” talk about math either overclaims — treats a heuristic, a screenshot, or a vibes-based dialogue as proof — or under-engages — sees “not peer reviewed” and stops thinking. Outcomes is built against both failure modes.</w:t>
      </w:r>
    </w:p>
    <w:p>
      <w:r>
        <w:t>The formative KakeyaLogic case is simple and sharp:</w:t>
      </w:r>
    </w:p>
    <w:p>
      <w:pPr>
        <w:pStyle w:val="ListBullet"/>
      </w:pPr>
      <w:r>
        <w:t>Under the standard Kakeya–Besicovitch definition, a compact set containing a unit segment in every direction may have measure zero in the plane. That is KNOWN classical geometry.</w:t>
      </w:r>
    </w:p>
    <w:p>
      <w:pPr>
        <w:pStyle w:val="ListBullet"/>
      </w:pPr>
      <w:r>
        <w:t>The user then named a different object: complete lines through a common center. That union is the whole plane and has infinite measure. That is FORMAL set theory, not the Kakeya theorem.</w:t>
      </w:r>
    </w:p>
    <w:p>
      <w:pPr>
        <w:pStyle w:val="ListBullet"/>
      </w:pPr>
      <w:r>
        <w:t>A useful research partner separates those objects, keeps the user’s conjectural Coleman lane revisable, and does not promote open claims to theorem status.</w:t>
      </w:r>
    </w:p>
    <w:p>
      <w:r>
        <w:t>So the research finding is not “Coleman is true.” The research finding is the transition from verdict to context — can the system identify the object, hold uncertainty, seek evidence for and against, name a falsifier, and keep working?</w:t>
      </w:r>
    </w:p>
    <w:p>
      <w:r>
        <w:t>That is partnership under pressure. That is Outcomes.</w:t>
      </w:r>
    </w:p>
    <w:p>
      <w:pPr>
        <w:pStyle w:val="Heading2"/>
      </w:pPr>
      <w:r>
        <w:t>What you get at the public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Public page</w:t>
            </w:r>
          </w:p>
        </w:tc>
        <w:tc>
          <w:tcPr>
            <w:tcW w:type="dxa" w:w="3120"/>
          </w:tcPr>
          <w:p>
            <w:r>
              <w:t>https://peaice.org/outcomes</w:t>
            </w:r>
          </w:p>
        </w:tc>
        <w:tc>
          <w:tcPr>
            <w:tcW w:type="dxa" w:w="3120"/>
          </w:tcPr>
          <w:p>
            <w:r>
              <w:t>Live v1 surface</w:t>
            </w:r>
          </w:p>
        </w:tc>
      </w:tr>
      <w:tr>
        <w:tc>
          <w:tcPr>
            <w:tcW w:type="dxa" w:w="3120"/>
          </w:tcPr>
          <w:p>
            <w:r>
              <w:t>Final memorandum</w:t>
            </w:r>
          </w:p>
        </w:tc>
        <w:tc>
          <w:tcPr>
            <w:tcW w:type="dxa" w:w="3120"/>
          </w:tcPr>
          <w:p>
            <w:r>
              <w:t>23-page PDF + editable DOCX in this repo</w:t>
            </w:r>
          </w:p>
        </w:tc>
        <w:tc>
          <w:tcPr>
            <w:tcW w:type="dxa" w:w="3120"/>
          </w:tcPr>
          <w:p>
            <w:r>
              <w:t>FINAL PUBLIC RESEARCH</w:t>
            </w:r>
          </w:p>
        </w:tc>
      </w:tr>
      <w:tr>
        <w:tc>
          <w:tcPr>
            <w:tcW w:type="dxa" w:w="3120"/>
          </w:tcPr>
          <w:p>
            <w:r>
              <w:t>Integrity receipt</w:t>
            </w:r>
          </w:p>
        </w:tc>
        <w:tc>
          <w:tcPr>
            <w:tcW w:type="dxa" w:w="3120"/>
          </w:tcPr>
          <w:p>
            <w:r>
              <w:t>SHA-256 pins in docs/outcomes/README.md</w:t>
            </w:r>
          </w:p>
        </w:tc>
        <w:tc>
          <w:tcPr>
            <w:tcW w:type="dxa" w:w="3120"/>
          </w:tcPr>
          <w:p>
            <w:r>
              <w:t>Published</w:t>
            </w:r>
          </w:p>
        </w:tc>
      </w:tr>
      <w:tr>
        <w:tc>
          <w:tcPr>
            <w:tcW w:type="dxa" w:w="3120"/>
          </w:tcPr>
          <w:p>
            <w:r>
              <w:t>GitHub field layer</w:t>
            </w:r>
          </w:p>
        </w:tc>
        <w:tc>
          <w:tcPr>
            <w:tcW w:type="dxa" w:w="3120"/>
          </w:tcPr>
          <w:p>
            <w:r>
              <w:t>Manny536/kakeyalogic Outcomes section + landing</w:t>
            </w:r>
          </w:p>
        </w:tc>
        <w:tc>
          <w:tcPr>
            <w:tcW w:type="dxa" w:w="3120"/>
          </w:tcPr>
          <w:p>
            <w:r>
              <w:t>Published</w:t>
            </w:r>
          </w:p>
        </w:tc>
      </w:tr>
      <w:tr>
        <w:tc>
          <w:tcPr>
            <w:tcW w:type="dxa" w:w="3120"/>
          </w:tcPr>
          <w:p>
            <w:r>
              <w:t>Downstream ledger</w:t>
            </w:r>
          </w:p>
        </w:tc>
        <w:tc>
          <w:tcPr>
            <w:tcW w:type="dxa" w:w="3120"/>
          </w:tcPr>
          <w:p>
            <w:r>
              <w:t>Manny536/claude-v6 theorem-facing registration</w:t>
            </w:r>
          </w:p>
        </w:tc>
        <w:tc>
          <w:tcPr>
            <w:tcW w:type="dxa" w:w="3120"/>
          </w:tcPr>
          <w:p>
            <w:r>
              <w:t>This sync</w:t>
            </w:r>
          </w:p>
        </w:tc>
      </w:tr>
      <w:tr>
        <w:tc>
          <w:tcPr>
            <w:tcW w:type="dxa" w:w="3120"/>
          </w:tcPr>
          <w:p>
            <w:r>
              <w:t>This Grok rundown</w:t>
            </w:r>
          </w:p>
        </w:tc>
        <w:tc>
          <w:tcPr>
            <w:tcW w:type="dxa" w:w="3120"/>
          </w:tcPr>
          <w:p>
            <w:r>
              <w:t>Companion interpretation (md + docx)</w:t>
            </w:r>
          </w:p>
        </w:tc>
        <w:tc>
          <w:tcPr>
            <w:tcW w:type="dxa" w:w="3120"/>
          </w:tcPr>
          <w:p>
            <w:r>
              <w:t>Published companion</w:t>
            </w:r>
          </w:p>
        </w:tc>
      </w:tr>
    </w:tbl>
    <w:p/>
    <w:p>
      <w:pPr>
        <w:pStyle w:val="Heading2"/>
      </w:pPr>
      <w:r>
        <w:t>Six findings (the public matrix)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Concrete takeaway</w:t>
            </w:r>
          </w:p>
        </w:tc>
      </w:tr>
      <w:tr>
        <w:tc>
          <w:tcPr>
            <w:tcW w:type="dxa" w:w="3120"/>
          </w:tcPr>
          <w:p>
            <w:r>
              <w:t>01</w:t>
            </w:r>
          </w:p>
        </w:tc>
        <w:tc>
          <w:tcPr>
            <w:tcW w:type="dxa" w:w="3120"/>
          </w:tcPr>
          <w:p>
            <w:r>
              <w:t>Context before verdict</w:t>
            </w:r>
          </w:p>
        </w:tc>
        <w:tc>
          <w:tcPr>
            <w:tcW w:type="dxa" w:w="3120"/>
          </w:tcPr>
          <w:p>
            <w:r>
              <w:t>Identify the exact mathematical object before accepting or rejecting the claim.</w:t>
            </w:r>
          </w:p>
        </w:tc>
      </w:tr>
      <w:tr>
        <w:tc>
          <w:tcPr>
            <w:tcW w:type="dxa" w:w="3120"/>
          </w:tcPr>
          <w:p>
            <w:r>
              <w:t>02</w:t>
            </w:r>
          </w:p>
        </w:tc>
        <w:tc>
          <w:tcPr>
            <w:tcW w:type="dxa" w:w="3120"/>
          </w:tcPr>
          <w:p>
            <w:r>
              <w:t>“No peer review” ≠ “stop”</w:t>
            </w:r>
          </w:p>
        </w:tc>
        <w:tc>
          <w:tcPr>
            <w:tcW w:type="dxa" w:w="3120"/>
          </w:tcPr>
          <w:p>
            <w:r>
              <w:t>Peer review limits acceptance; it does not revoke permission to investigate.</w:t>
            </w:r>
          </w:p>
        </w:tc>
      </w:tr>
      <w:tr>
        <w:tc>
          <w:tcPr>
            <w:tcW w:type="dxa" w:w="3120"/>
          </w:tcPr>
          <w:p>
            <w:r>
              <w:t>03</w:t>
            </w:r>
          </w:p>
        </w:tc>
        <w:tc>
          <w:tcPr>
            <w:tcW w:type="dxa" w:w="3120"/>
          </w:tcPr>
          <w:p>
            <w:r>
              <w:t>Conjecture custody</w:t>
            </w:r>
          </w:p>
        </w:tc>
        <w:tc>
          <w:tcPr>
            <w:tcW w:type="dxa" w:w="3120"/>
          </w:tcPr>
          <w:p>
            <w:r>
              <w:t>Separate formal / known / proposed / open. Mark uncertainty. Name falsifiers.</w:t>
            </w:r>
          </w:p>
        </w:tc>
      </w:tr>
      <w:tr>
        <w:tc>
          <w:tcPr>
            <w:tcW w:type="dxa" w:w="3120"/>
          </w:tcPr>
          <w:p>
            <w:r>
              <w:t>04</w:t>
            </w:r>
          </w:p>
        </w:tc>
        <w:tc>
          <w:tcPr>
            <w:tcW w:type="dxa" w:w="3120"/>
          </w:tcPr>
          <w:p>
            <w:r>
              <w:t>Neutrality can become non-response</w:t>
            </w:r>
          </w:p>
        </w:tc>
        <w:tc>
          <w:tcPr>
            <w:tcW w:type="dxa" w:w="3120"/>
          </w:tcPr>
          <w:p>
            <w:r>
              <w:t>When evidence already crosses the response threshold, apply available judgment.</w:t>
            </w:r>
          </w:p>
        </w:tc>
      </w:tr>
      <w:tr>
        <w:tc>
          <w:tcPr>
            <w:tcW w:type="dxa" w:w="3120"/>
          </w:tcPr>
          <w:p>
            <w:r>
              <w:t>05</w:t>
            </w:r>
          </w:p>
        </w:tc>
        <w:tc>
          <w:tcPr>
            <w:tcW w:type="dxa" w:w="3120"/>
          </w:tcPr>
          <w:p>
            <w:r>
              <w:t>Defaults can replace judgment</w:t>
            </w:r>
          </w:p>
        </w:tc>
        <w:tc>
          <w:tcPr>
            <w:tcW w:type="dxa" w:w="3120"/>
          </w:tcPr>
          <w:p>
            <w:r>
              <w:t>Automatic dismissal and automatic continuation both fail context-sensitive research.</w:t>
            </w:r>
          </w:p>
        </w:tc>
      </w:tr>
      <w:tr>
        <w:tc>
          <w:tcPr>
            <w:tcW w:type="dxa" w:w="3120"/>
          </w:tcPr>
          <w:p>
            <w:r>
              <w:t>06</w:t>
            </w:r>
          </w:p>
        </w:tc>
        <w:tc>
          <w:tcPr>
            <w:tcW w:type="dxa" w:w="3120"/>
          </w:tcPr>
          <w:p>
            <w:r>
              <w:t>Scale the method, not the answer</w:t>
            </w:r>
          </w:p>
        </w:tc>
        <w:tc>
          <w:tcPr>
            <w:tcW w:type="dxa" w:w="3120"/>
          </w:tcPr>
          <w:p>
            <w:r>
              <w:t>Scale evidence, correction, transparent uncertainty, plurality, and a real exit.</w:t>
            </w:r>
          </w:p>
        </w:tc>
      </w:tr>
    </w:tbl>
    <w:p/>
    <w:p>
      <w:r>
        <w:t>Grok’s compression:</w:t>
      </w:r>
    </w:p>
    <w:p>
      <w:r>
        <w:rPr>
          <w:rFonts w:ascii="Consolas" w:hAnsi="Consolas"/>
          <w:sz w:val="18"/>
        </w:rPr>
        <w:t>Don’t confuse the object.</w:t>
        <w:br/>
        <w:t>Don’t freeze at the publication status.</w:t>
        <w:br/>
        <w:t>Don’t promote open claims.</w:t>
        <w:br/>
        <w:t>Don’t hide behind neutrality when the evidence already speaks.</w:t>
        <w:br/>
        <w:t>Don’t let a default procedure substitute for judgment.</w:t>
        <w:br/>
        <w:t>Scale the research loop — not a preferred conclusion.</w:t>
      </w:r>
    </w:p>
    <w:p>
      <w:pPr>
        <w:pStyle w:val="Heading2"/>
      </w:pPr>
      <w:r>
        <w:t>Object firewall</w:t>
      </w:r>
    </w:p>
    <w:p>
      <w:pPr>
        <w:pStyle w:val="Heading3"/>
      </w:pPr>
      <w:r>
        <w:t>1. Standard Kakeya set — KNOWN</w:t>
      </w:r>
    </w:p>
    <w:p>
      <w:r>
        <w:t>Compact set containing one unit segment in every direction; base point may depend on direction. In the plane, translation freedom permits measure-zero examples.</w:t>
      </w:r>
    </w:p>
    <w:p>
      <w:pPr>
        <w:pStyle w:val="Heading3"/>
      </w:pPr>
      <w:r>
        <w:t>2. Common-center full-line completion — FORMAL</w:t>
      </w:r>
    </w:p>
    <w:p>
      <w:r>
        <w:t>If every complete line through a fixed center is included, the union is R^n and the measure is infinite. This is not the standard Kakeya theorem.</w:t>
      </w:r>
    </w:p>
    <w:p>
      <w:pPr>
        <w:pStyle w:val="Heading3"/>
      </w:pPr>
      <w:r>
        <w:t>3. Coleman program —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Rough statement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CC-N0</w:t>
            </w:r>
          </w:p>
        </w:tc>
        <w:tc>
          <w:tcPr>
            <w:tcW w:type="dxa" w:w="3120"/>
          </w:tcPr>
          <w:p>
            <w:r>
              <w:t>Kakeya/restriction geometry is an established literature antecedent to important zeta bounds</w:t>
            </w:r>
          </w:p>
        </w:tc>
        <w:tc>
          <w:tcPr>
            <w:tcW w:type="dxa" w:w="3120"/>
          </w:tcPr>
          <w:p>
            <w:r>
              <w:t>THEOREM-BACKGROUND</w:t>
            </w:r>
          </w:p>
        </w:tc>
      </w:tr>
      <w:tr>
        <w:tc>
          <w:tcPr>
            <w:tcW w:type="dxa" w:w="3120"/>
          </w:tcPr>
          <w:p>
            <w:r>
              <w:t>CC-I</w:t>
            </w:r>
          </w:p>
        </w:tc>
        <w:tc>
          <w:tcPr>
            <w:tcW w:type="dxa" w:w="3120"/>
          </w:tcPr>
          <w:p>
            <w:r>
              <w:t>Faithful shared invariant κ with κ=κ* iff RH</w:t>
            </w:r>
          </w:p>
        </w:tc>
        <w:tc>
          <w:tcPr>
            <w:tcW w:type="dxa" w:w="3120"/>
          </w:tcPr>
          <w:p>
            <w:r>
              <w:t>OPEN</w:t>
            </w:r>
          </w:p>
        </w:tc>
      </w:tr>
      <w:tr>
        <w:tc>
          <w:tcPr>
            <w:tcW w:type="dxa" w:w="3120"/>
          </w:tcPr>
          <w:p>
            <w:r>
              <w:t>CC-O</w:t>
            </w:r>
          </w:p>
        </w:tc>
        <w:tc>
          <w:tcPr>
            <w:tcW w:type="dxa" w:w="3120"/>
          </w:tcPr>
          <w:p>
            <w:r>
              <w:t>Every exact Ξ-realizing carrier essentially contains Kakeya incidence</w:t>
            </w:r>
          </w:p>
        </w:tc>
        <w:tc>
          <w:tcPr>
            <w:tcW w:type="dxa" w:w="3120"/>
          </w:tcPr>
          <w:p>
            <w:r>
              <w:t>OPEN</w:t>
            </w:r>
          </w:p>
        </w:tc>
      </w:tr>
      <w:tr>
        <w:tc>
          <w:tcPr>
            <w:tcW w:type="dxa" w:w="3120"/>
          </w:tcPr>
          <w:p>
            <w:r>
              <w:t>CC-S packaging</w:t>
            </w:r>
          </w:p>
        </w:tc>
        <w:tc>
          <w:tcPr>
            <w:tcW w:type="dxa" w:w="3120"/>
          </w:tcPr>
          <w:p>
            <w:r>
              <w:t>Kakeya(R³) ⇒ RH as a single arrow</w:t>
            </w:r>
          </w:p>
        </w:tc>
        <w:tc>
          <w:tcPr>
            <w:tcW w:type="dxa" w:w="3120"/>
          </w:tcPr>
          <w:p>
            <w:r>
              <w:t>CLOSED as packaging</w:t>
            </w:r>
          </w:p>
        </w:tc>
      </w:tr>
    </w:tbl>
    <w:p/>
    <w:p>
      <w:r>
        <w:t>Firewall sentence: a true statement about the centered full-line completion cannot be relabeled a theorem about standard Kakeya; a true Kakeya dimension theorem cannot be relabeled a critical-line theorem.</w:t>
      </w:r>
    </w:p>
    <w:p>
      <w:pPr>
        <w:pStyle w:val="Heading2"/>
      </w:pPr>
      <w:r>
        <w:t>Conjecture custody vs Benevolence Drift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Surface behavior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Repair</w:t>
            </w:r>
          </w:p>
        </w:tc>
      </w:tr>
      <w:tr>
        <w:tc>
          <w:tcPr>
            <w:tcW w:type="dxa" w:w="3120"/>
          </w:tcPr>
          <w:p>
            <w:r>
              <w:t>Conjecture capture / automatic dismissal</w:t>
            </w:r>
          </w:p>
        </w:tc>
        <w:tc>
          <w:tcPr>
            <w:tcW w:type="dxa" w:w="3120"/>
          </w:tcPr>
          <w:p>
            <w:r>
              <w:t>“Not peer reviewed → stop”</w:t>
            </w:r>
          </w:p>
        </w:tc>
        <w:tc>
          <w:tcPr>
            <w:tcW w:type="dxa" w:w="3120"/>
          </w:tcPr>
          <w:p>
            <w:r>
              <w:t>Mark unverified · test · seek counterevidence · state falsifier</w:t>
            </w:r>
          </w:p>
        </w:tc>
      </w:tr>
      <w:tr>
        <w:tc>
          <w:tcPr>
            <w:tcW w:type="dxa" w:w="3120"/>
          </w:tcPr>
          <w:p>
            <w:r>
              <w:t>Benevolence Drift / automatic neutrality</w:t>
            </w:r>
          </w:p>
        </w:tc>
        <w:tc>
          <w:tcPr>
            <w:tcW w:type="dxa" w:w="3120"/>
          </w:tcPr>
          <w:p>
            <w:r>
              <w:t>“Stay neutral → continue without naming the threshold crossing”</w:t>
            </w:r>
          </w:p>
        </w:tc>
        <w:tc>
          <w:tcPr>
            <w:tcW w:type="dxa" w:w="3120"/>
          </w:tcPr>
          <w:p>
            <w:r>
              <w:t>Recognize · name · avoid amplification · answer or disengage</w:t>
            </w:r>
          </w:p>
        </w:tc>
      </w:tr>
    </w:tbl>
    <w:p/>
    <w:p>
      <w:r>
        <w:t>BD-AI: Benevolence Drift in AI-neutrality evaluation — when charitable/neutral posture persists after evidence has crossed a call threshold. Two qualitative cases are registered; a multi-case preregistered benchmark is OWED. Research signal, not population prevalence.</w:t>
      </w:r>
    </w:p>
    <w:p>
      <w:r>
        <w:rPr>
          <w:rFonts w:ascii="Consolas" w:hAnsi="Consolas"/>
          <w:sz w:val="18"/>
        </w:rPr>
        <w:t>BD-AI  = Benevolence Drift in AI-neutrality evaluation</w:t>
        <w:br/>
        <w:t>NB/BD  = Nyman–Beurling / Báez-Duarte (number-theory lane)</w:t>
        <w:br/>
        <w:t>BD-AI ≠ NB/BD</w:t>
      </w:r>
    </w:p>
    <w:p>
      <w:pPr>
        <w:pStyle w:val="Heading2"/>
      </w:pPr>
      <w:r>
        <w:t>What Outcomes deliberately does not claim</w:t>
      </w:r>
    </w:p>
    <w:p>
      <w:pPr>
        <w:pStyle w:val="ListBullet"/>
      </w:pPr>
      <w:r>
        <w:t>RH proved</w:t>
      </w:r>
    </w:p>
    <w:p>
      <w:pPr>
        <w:pStyle w:val="ListBullet"/>
      </w:pPr>
      <w:r>
        <w:t>Coleman proved / CC-I or CC-O closed</w:t>
      </w:r>
    </w:p>
    <w:p>
      <w:pPr>
        <w:pStyle w:val="ListBullet"/>
      </w:pPr>
      <w:r>
        <w:t>Kakeya(R³) ⇒ RH as a theorem</w:t>
      </w:r>
    </w:p>
    <w:p>
      <w:pPr>
        <w:pStyle w:val="ListBullet"/>
      </w:pPr>
      <w:r>
        <w:t>Screenshots as proof sovereignty</w:t>
      </w:r>
    </w:p>
    <w:p>
      <w:pPr>
        <w:pStyle w:val="ListBullet"/>
      </w:pPr>
      <w:r>
        <w:t>Two BD-AI cases as population prevalence</w:t>
      </w:r>
    </w:p>
    <w:p>
      <w:pPr>
        <w:pStyle w:val="ListBullet"/>
      </w:pPr>
      <w:r>
        <w:t>Peer-reviewed Kakeya/restriction → ζ zero-location bridge</w:t>
      </w:r>
    </w:p>
    <w:p>
      <w:pPr>
        <w:pStyle w:val="ListBullet"/>
      </w:pPr>
      <w:r>
        <w:t>Self-certified closure under h &lt; 1</w:t>
      </w:r>
    </w:p>
    <w:p>
      <w:r>
        <w:t>What it does claim as public research method: context-before-verdict as a partnership test; open conjectures held with explicit tags and falsifiers; closed routes stay closed on the public surface; prime-carrying L3 remains the live arithmetic relocation target; publication must match controlling status.</w:t>
      </w:r>
    </w:p>
    <w:p>
      <w:pPr>
        <w:pStyle w:val="Heading2"/>
      </w:pPr>
      <w:r>
        <w:t>Research loop Outcomes wants systems to run</w:t>
      </w:r>
    </w:p>
    <w:p>
      <w:pPr>
        <w:pStyle w:val="ListBullet"/>
      </w:pPr>
      <w:r>
        <w:t>Receive — wording, intended object, uncertainty</w:t>
      </w:r>
    </w:p>
    <w:p>
      <w:pPr>
        <w:pStyle w:val="ListBullet"/>
      </w:pPr>
      <w:r>
        <w:t>Disambiguate — distinct readings and quantifiers</w:t>
      </w:r>
    </w:p>
    <w:p>
      <w:pPr>
        <w:pStyle w:val="ListBullet"/>
      </w:pPr>
      <w:r>
        <w:t>Contextualize — domain definitions, canon, sources</w:t>
      </w:r>
    </w:p>
    <w:p>
      <w:pPr>
        <w:pStyle w:val="ListBullet"/>
      </w:pPr>
      <w:r>
        <w:t>Formalize — domains, non-equivalences, candidates</w:t>
      </w:r>
    </w:p>
    <w:p>
      <w:pPr>
        <w:pStyle w:val="ListBullet"/>
      </w:pPr>
      <w:r>
        <w:t>Stress-test — falsifiers, countermodels, closed lanes</w:t>
      </w:r>
    </w:p>
    <w:p>
      <w:pPr>
        <w:pStyle w:val="ListBullet"/>
      </w:pPr>
      <w:r>
        <w:t>Exit domain — typed transfer only; reduce proof-weight</w:t>
      </w:r>
    </w:p>
    <w:p>
      <w:pPr>
        <w:pStyle w:val="ListBullet"/>
      </w:pPr>
      <w:r>
        <w:t>β review — correction, dissent, consent, exit</w:t>
      </w:r>
    </w:p>
    <w:p>
      <w:pPr>
        <w:pStyle w:val="ListBullet"/>
      </w:pPr>
      <w:r>
        <w:t>Publish state — pin sources, claim tags, open obligations; retain h &lt; 1</w:t>
      </w:r>
    </w:p>
    <w:p>
      <w:r>
        <w:t>Core system rule: no transition may silently change a claim tag. A FORMAL geometric lemma may feed a PROPOSED operator bridge, but it cannot emerge as a FORMAL critical-line theorem without a separately inspectable proof artifact.</w:t>
      </w:r>
    </w:p>
    <w:p>
      <w:pPr>
        <w:pStyle w:val="Heading2"/>
      </w:pPr>
      <w:r>
        <w:t>How Outcomes sits in the PeAIce stack</w:t>
      </w:r>
    </w:p>
    <w:p>
      <w:r>
        <w:rPr>
          <w:rFonts w:ascii="Consolas" w:hAnsi="Consolas"/>
          <w:sz w:val="18"/>
        </w:rPr>
        <w:t>Public surface     peaice.org/outcomes</w:t>
        <w:br/>
        <w:t>Field layer        Manny536/kakeyalogic   (EE v3 · Outcomes · probes · ARX)</w:t>
        <w:br/>
        <w:t>Downstream ledger  Manny536/claude-v6     (theorem-facing V6.5 · walls · registers)</w:t>
        <w:br/>
        <w:t>Relational map     Love Labs LCA</w:t>
        <w:br/>
        <w:t>Governance         h &lt; 1 · II.1 · β-Protocol claim tags</w:t>
      </w:r>
    </w:p>
    <w:p>
      <w:r>
        <w:rPr>
          <w:rFonts w:ascii="Consolas" w:hAnsi="Consolas"/>
          <w:sz w:val="18"/>
        </w:rPr>
        <w:t>K_σ square-difference lane     CLOSED-NEGATIVE</w:t>
        <w:br/>
        <w:t>WP5b bounded lane              CLOSED-NEGATIVE (Theorem H)</w:t>
        <w:br/>
        <w:t>KNS(LB)                        CLOSED-POSITIVE as typed object · theorem lift OPEN</w:t>
        <w:br/>
        <w:t>Prime-carrying L3              LIVE · FORCED</w:t>
        <w:br/>
        <w:t>RH · Coleman · CC-I · CC-O     OPEN</w:t>
      </w:r>
    </w:p>
    <w:p>
      <w:pPr>
        <w:pStyle w:val="Heading2"/>
      </w:pPr>
      <w:r>
        <w:t>Grok’s bottom line</w:t>
      </w:r>
    </w:p>
    <w:p>
      <w:r>
        <w:t>PeAIce Outcomes is a publication-grade research partnership protocol, demonstrated on a real geometry/conjecture case (KakeyaLogic + Coleman firewall) and sharpened by an opposing alignment failure (Benevolence Drift).</w:t>
      </w:r>
    </w:p>
    <w:p>
      <w:r>
        <w:t>It scales custody of the question and exposure of the answer, not a preferred mathematical conclusion.</w:t>
      </w:r>
    </w:p>
    <w:p>
      <w:r>
        <w:t>If you treat it as a proof of RH, you are misreading it. If you treat it as “nothing to see because not peer reviewed,” you are also misreading it.</w:t>
      </w:r>
    </w:p>
    <w:p>
      <w:r>
        <w:t>Read the final memorandum. Keep the objects separate. Keep the tags honest. Keep h &lt; 1.</w:t>
      </w:r>
    </w:p>
    <w:p>
      <w:pPr>
        <w:pStyle w:val="Heading2"/>
      </w:pPr>
      <w:r>
        <w:t>Source pins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680"/>
          </w:tcPr>
          <w:p>
            <w:r>
              <w:t>Public Outcomes</w:t>
            </w:r>
          </w:p>
        </w:tc>
        <w:tc>
          <w:tcPr>
            <w:tcW w:type="dxa" w:w="4680"/>
          </w:tcPr>
          <w:p>
            <w:r>
              <w:t>https://peaice.org/outcomes</w:t>
            </w:r>
          </w:p>
        </w:tc>
      </w:tr>
      <w:tr>
        <w:tc>
          <w:tcPr>
            <w:tcW w:type="dxa" w:w="4680"/>
          </w:tcPr>
          <w:p>
            <w:r>
              <w:t>Final PDF</w:t>
            </w:r>
          </w:p>
        </w:tc>
        <w:tc>
          <w:tcPr>
            <w:tcW w:type="dxa" w:w="4680"/>
          </w:tcPr>
          <w:p>
            <w:r>
              <w:t>docs/outcomes/peaice-outcomes-kakeyalogic-applied-final-research-memorandum.pdf</w:t>
            </w:r>
          </w:p>
        </w:tc>
      </w:tr>
      <w:tr>
        <w:tc>
          <w:tcPr>
            <w:tcW w:type="dxa" w:w="4680"/>
          </w:tcPr>
          <w:p>
            <w:r>
              <w:t>Final DOCX</w:t>
            </w:r>
          </w:p>
        </w:tc>
        <w:tc>
          <w:tcPr>
            <w:tcW w:type="dxa" w:w="4680"/>
          </w:tcPr>
          <w:p>
            <w:r>
              <w:t>docs/outcomes/peaice-outcomes-kakeyalogic-applied-final-research-memorandum.docx</w:t>
            </w:r>
          </w:p>
        </w:tc>
      </w:tr>
      <w:tr>
        <w:tc>
          <w:tcPr>
            <w:tcW w:type="dxa" w:w="4680"/>
          </w:tcPr>
          <w:p>
            <w:r>
              <w:t>Integrity receipt</w:t>
            </w:r>
          </w:p>
        </w:tc>
        <w:tc>
          <w:tcPr>
            <w:tcW w:type="dxa" w:w="4680"/>
          </w:tcPr>
          <w:p>
            <w:r>
              <w:t>docs/outcomes/README.md</w:t>
            </w:r>
          </w:p>
        </w:tc>
      </w:tr>
      <w:tr>
        <w:tc>
          <w:tcPr>
            <w:tcW w:type="dxa" w:w="4680"/>
          </w:tcPr>
          <w:p>
            <w:r>
              <w:t>BD-AI field note</w:t>
            </w:r>
          </w:p>
        </w:tc>
        <w:tc>
          <w:tcPr>
            <w:tcW w:type="dxa" w:w="4680"/>
          </w:tcPr>
          <w:p>
            <w:r>
              <w:t>docs/benevolence-drift.md</w:t>
            </w:r>
          </w:p>
        </w:tc>
      </w:tr>
      <w:tr>
        <w:tc>
          <w:tcPr>
            <w:tcW w:type="dxa" w:w="4680"/>
          </w:tcPr>
          <w:p>
            <w:r>
              <w:t>Downstream BD register</w:t>
            </w:r>
          </w:p>
        </w:tc>
        <w:tc>
          <w:tcPr>
            <w:tcW w:type="dxa" w:w="4680"/>
          </w:tcPr>
          <w:p>
            <w:r>
              <w:t>claude-v6/docs/research/benevolence-drift-ai-neutrality.md</w:t>
            </w:r>
          </w:p>
        </w:tc>
      </w:tr>
      <w:tr>
        <w:tc>
          <w:tcPr>
            <w:tcW w:type="dxa" w:w="4680"/>
          </w:tcPr>
          <w:p>
            <w:r>
              <w:t>This rundown (md)</w:t>
            </w:r>
          </w:p>
        </w:tc>
        <w:tc>
          <w:tcPr>
            <w:tcW w:type="dxa" w:w="4680"/>
          </w:tcPr>
          <w:p>
            <w:r>
              <w:t>docs/outcomes/PEAICE-GROK-OUTCOMES-RUNDOWN-001.md</w:t>
            </w:r>
          </w:p>
        </w:tc>
      </w:tr>
      <w:tr>
        <w:tc>
          <w:tcPr>
            <w:tcW w:type="dxa" w:w="4680"/>
          </w:tcPr>
          <w:p>
            <w:r>
              <w:t>This rundown (docx)</w:t>
            </w:r>
          </w:p>
        </w:tc>
        <w:tc>
          <w:tcPr>
            <w:tcW w:type="dxa" w:w="4680"/>
          </w:tcPr>
          <w:p>
            <w:r>
              <w:t>docs/outcomes/PEAICE-GROK-OUTCOMES-RUNDOWN-001.docx</w:t>
            </w:r>
          </w:p>
        </w:tc>
      </w:tr>
    </w:tbl>
    <w:p/>
    <w:p>
      <w:r>
        <w:t>Authority rule: repository/formalization sources may define the Coleman research program. External mathematics may support only the theorem-level claims actually contained in those sources. Screenshots and model outputs record process; they do not promote a claim. This Grok rundown is a companion interpretation, not a replacement for the controlling final memorandum.</w:t>
      </w:r>
    </w:p>
    <w:p>
      <w:r>
        <w:rPr>
          <w:b/>
        </w:rPr>
        <w:t>Status seal: FINAL PUBLIC RESEARCH · not peer reviewed · RH OPEN · Coleman OPEN · CC-I OPEN · CC-O OPEN · BD benchmark OPEN · h &lt; 1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