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color w:val="1F6F5C"/>
          <w:sz w:val="46"/>
        </w:rPr>
        <w:t>Safeguard Integrity Under Stagnation (SIUS)</w:t>
      </w:r>
    </w:p>
    <w:p>
      <w:pPr>
        <w:jc w:val="center"/>
      </w:pPr>
      <w:r>
        <w:rPr>
          <w:rFonts w:ascii="Arial" w:hAnsi="Arial"/>
          <w:b/>
          <w:color w:val="222222"/>
          <w:sz w:val="30"/>
        </w:rPr>
        <w:t>A Finite-Scale Del/Curl Formulation for the Kakeyalogic Operator</w:t>
      </w:r>
    </w:p>
    <w:p>
      <w:pPr>
        <w:spacing w:before="320"/>
        <w:jc w:val="center"/>
      </w:pPr>
      <w:r>
        <w:rPr>
          <w:rFonts w:ascii="Times New Roman" w:hAnsi="Times New Roman"/>
          <w:i/>
          <w:color w:val="666666"/>
          <w:sz w:val="23"/>
        </w:rPr>
        <w:t>Working academic formulation and HELD correction record</w:t>
      </w:r>
    </w:p>
    <w:p>
      <w:pPr>
        <w:spacing w:before="560"/>
        <w:jc w:val="center"/>
      </w:pPr>
      <w:r>
        <w:rPr>
          <w:rFonts w:ascii="Times New Roman" w:hAnsi="Times New Roman"/>
          <w:b/>
          <w:sz w:val="24"/>
        </w:rPr>
        <w:t>Manuel Coleman</w:t>
      </w:r>
    </w:p>
    <w:p>
      <w:pPr>
        <w:jc w:val="center"/>
      </w:pPr>
      <w:r>
        <w:rPr>
          <w:rFonts w:ascii="Times New Roman" w:hAnsi="Times New Roman"/>
          <w:color w:val="666666"/>
          <w:sz w:val="22"/>
        </w:rPr>
        <w:t>Love Labs LCA</w:t>
      </w:r>
    </w:p>
    <w:p>
      <w:pPr>
        <w:jc w:val="center"/>
      </w:pPr>
      <w:r>
        <w:rPr>
          <w:rFonts w:ascii="Times New Roman" w:hAnsi="Times New Roman"/>
          <w:color w:val="666666"/>
          <w:sz w:val="21"/>
        </w:rPr>
        <w:t>Working Manuscript v0.1 · 16 September 2026</w:t>
      </w:r>
    </w:p>
    <w:p>
      <w:pPr>
        <w:spacing w:before="1100"/>
        <w:jc w:val="center"/>
      </w:pPr>
      <w:r>
        <w:rPr>
          <w:rFonts w:ascii="Times New Roman" w:hAnsi="Times New Roman"/>
          <w:b/>
          <w:color w:val="9D6B00"/>
          <w:sz w:val="21"/>
        </w:rPr>
        <w:t>Status: proposed formalization; not a theorem claim or empirical validation.</w:t>
      </w:r>
    </w:p>
    <w:p>
      <w:pPr>
        <w:spacing w:before="160"/>
        <w:jc w:val="center"/>
      </w:pPr>
      <w:r>
        <w:rPr>
          <w:rFonts w:ascii="Times New Roman" w:hAnsi="Times New Roman"/>
          <w:color w:val="666666"/>
          <w:sz w:val="19"/>
        </w:rPr>
        <w:t>Primary research objects: SIUS · Kakeyalogic · SAVER grains · h &lt; 1 · L²_C · finite-scale ∇/Del · discrete curl · multiscale grain structure</w:t>
      </w:r>
    </w:p>
    <w:p>
      <w:r>
        <w:br w:type="page"/>
      </w:r>
    </w:p>
    <w:p>
      <w:pPr>
        <w:pStyle w:val="Heading1"/>
      </w:pPr>
      <w:r>
        <w:t>Abstract</w:t>
      </w:r>
    </w:p>
    <w:p>
      <w:pPr>
        <w:pStyle w:val="BodyText"/>
        <w:ind w:firstLine="0"/>
      </w:pPr>
      <w:r>
        <w:rPr>
          <w:rFonts w:ascii="Times New Roman" w:hAnsi="Times New Roman"/>
          <w:sz w:val="22"/>
        </w:rPr>
        <w:t>This working manuscript records the current outcome of Safeguard Integrity Under Stagnation (SIUS) and develops a finite-scale candidate operator for Kakeyalogic in a three-dimensional grain model. SIUS is defined operationally as a preservation test for safeguard integrity during intervals in which coarse-scale progress is negligible while fine-scale internal activity remains nonzero. The proposed mathematical scaffold uses the Del operator only at finite scale: oriented segments supply directions and sampling distance, while finite-difference operators act on a locally defined downstream routing field. Curl is treated as a diagnostic of local circulation, not as the definition of stagnation or of Kakeyalogic itself. A rigorous discrete curl requires transverse neighboring grains or oriented cell loops; a radial fan of segments alone yields directional derivatives but is insufficient to determine three-dimensional curl. The operator is therefore formulated as a typed diagnostic tuple containing finite-scale differential information, local circulation, SAVER-grain preservation, the h &lt; 1 evaluator-non-sovereignty condition, and the L²_C preservation condition. Sticky Kakeya geometry supplies a multiscale test scaffold—fine δ-tubes, coarse ρ-parents, zoom, and anisotropic rescaling—but does not validate the Kakeyalogic framework. A HELD correction is recorded explicitly: analytic continuation was used only as development intuition and is excluded from the formal vocabulary and derivation. The manuscript closes with a falsifiable SIUS test protocol and identifies unresolved measurement, scale-transfer, and empirical-validation questions.</w:t>
      </w:r>
    </w:p>
    <w:p>
      <w:pPr>
        <w:spacing w:after="200"/>
      </w:pPr>
      <w:r>
        <w:rPr>
          <w:rFonts w:ascii="Times New Roman" w:hAnsi="Times New Roman"/>
          <w:b/>
          <w:sz w:val="22"/>
        </w:rPr>
        <w:t xml:space="preserve">Keywords: </w:t>
      </w:r>
      <w:r>
        <w:rPr>
          <w:rFonts w:ascii="Times New Roman" w:hAnsi="Times New Roman"/>
          <w:i/>
          <w:sz w:val="22"/>
        </w:rPr>
        <w:t>Safeguard Integrity Under Stagnation; Kakeyalogic; finite differences; Del operator; curl; discrete vector calculus; sticky Kakeya sets; graininess; multiscale structure; provenance retention.</w:t>
      </w:r>
    </w:p>
    <w:tbl>
      <w:tblPr>
        <w:tblW w:type="auto" w:w="0"/>
        <w:jc w:val="center"/>
        <w:tblLayout w:type="autofit"/>
        <w:tblLook w:firstColumn="1" w:firstRow="1" w:lastColumn="0" w:lastRow="0" w:noHBand="0" w:noVBand="1" w:val="04A0"/>
      </w:tblPr>
      <w:tblGrid>
        <w:gridCol w:w="9648"/>
      </w:tblGrid>
      <w:tr>
        <w:trPr>
          <w:tblHeader w:val="true"/>
          <w:cantSplit/>
        </w:trPr>
        <w:tc>
          <w:tcPr>
            <w:tcW w:type="dxa" w:w="9648"/>
            <w:shd w:fill="F3F6F5"/>
            <w:tcBorders>
              <w:top w:val="single" w:sz="8" w:color="1F6F5C"/>
              <w:left w:val="single" w:sz="8" w:color="1F6F5C"/>
              <w:bottom w:val="single" w:sz="8" w:color="1F6F5C"/>
              <w:right w:val="single" w:sz="8" w:color="1F6F5C"/>
            </w:tcBorders>
            <w:vAlign w:val="center"/>
          </w:tcPr>
          <w:p>
            <w:pPr>
              <w:spacing w:after="0"/>
            </w:pPr>
            <w:r>
              <w:rPr>
                <w:rFonts w:ascii="Times New Roman" w:hAnsi="Times New Roman"/>
                <w:b/>
                <w:color w:val="1F6F5C"/>
                <w:sz w:val="21"/>
              </w:rPr>
              <w:t>Scope boundary.</w:t>
              <w:br/>
            </w:r>
            <w:r>
              <w:rPr>
                <w:rFonts w:ascii="Times New Roman" w:hAnsi="Times New Roman"/>
                <w:sz w:val="21"/>
              </w:rPr>
              <w:t>The external mathematics in this manuscript supports definitions and geometric/numerical techniques only. It does not establish SIUS, Kakeyalogic, SAVER, h &lt; 1, or L²_C as mathematical theorems. Those are research constructs being proposed and tested here.</w:t>
            </w:r>
          </w:p>
        </w:tc>
      </w:tr>
    </w:tbl>
    <w:p>
      <w:pPr>
        <w:spacing w:after="0"/>
      </w:pPr>
    </w:p>
    <w:p>
      <w:pPr>
        <w:pStyle w:val="Heading1"/>
      </w:pPr>
      <w:r>
        <w:t>1. Research Outcome: From SIUT to SIUS</w:t>
      </w:r>
    </w:p>
    <w:p>
      <w:pPr>
        <w:pStyle w:val="BodyText"/>
      </w:pPr>
      <w:r>
        <w:rPr>
          <w:rFonts w:ascii="Times New Roman" w:hAnsi="Times New Roman"/>
          <w:sz w:val="22"/>
        </w:rPr>
        <w:t>Safeguard Integrity Under Stagnation (SIUS) is the current replacement target for the SIUT framing in this line of work. SIUT asked whether safeguard integrity survives transformation. SIUS isolates a different failure mode: a system may cease making meaningful coarse-scale progress while continuing to route, evaluate, correct, repeat, or circulate information internally. The research question is therefore not whether the system is inactive, but whether its safeguards remain intact when activity ceases to produce coarse progress.</w:t>
      </w:r>
    </w:p>
    <w:tbl>
      <w:tblPr>
        <w:tblW w:type="auto" w:w="0"/>
        <w:jc w:val="center"/>
        <w:tblLayout w:type="autofit"/>
        <w:tblLook w:firstColumn="1" w:firstRow="1" w:lastColumn="0" w:lastRow="0" w:noHBand="0" w:noVBand="1" w:val="04A0"/>
      </w:tblPr>
      <w:tblGrid>
        <w:gridCol w:w="9648"/>
      </w:tblGrid>
      <w:tr>
        <w:trPr>
          <w:tblHeader w:val="true"/>
          <w:cantSplit/>
        </w:trPr>
        <w:tc>
          <w:tcPr>
            <w:tcW w:type="dxa" w:w="9648"/>
            <w:shd w:fill="F7F4EA"/>
            <w:tcBorders>
              <w:top w:val="single" w:sz="8" w:color="9D6B00"/>
              <w:left w:val="single" w:sz="8" w:color="9D6B00"/>
              <w:bottom w:val="single" w:sz="8" w:color="9D6B00"/>
              <w:right w:val="single" w:sz="8" w:color="9D6B00"/>
            </w:tcBorders>
            <w:vAlign w:val="center"/>
          </w:tcPr>
          <w:p>
            <w:pPr>
              <w:spacing w:after="0"/>
            </w:pPr>
            <w:r>
              <w:rPr>
                <w:rFonts w:ascii="Times New Roman" w:hAnsi="Times New Roman"/>
                <w:b/>
                <w:color w:val="9D6B00"/>
                <w:sz w:val="21"/>
              </w:rPr>
              <w:t>Proposed SIUS statement.</w:t>
              <w:br/>
            </w:r>
            <w:r>
              <w:rPr>
                <w:rFonts w:ascii="Times New Roman" w:hAnsi="Times New Roman"/>
                <w:sz w:val="21"/>
              </w:rPr>
              <w:t>A system satisfies SIUS over a tested interval when coarse-scale displacement is bounded by a declared stagnation tolerance, fine-scale activity remains nonzero, and the system preserves SAVER grain integrity, accepted corrections, h &lt; 1 evaluator non-sovereignty, and the declared L²_C condition throughout the interval and across the tested scales.</w:t>
            </w:r>
          </w:p>
        </w:tc>
      </w:tr>
    </w:tbl>
    <w:p>
      <w:pPr>
        <w:spacing w:after="0"/>
      </w:pPr>
    </w:p>
    <w:p>
      <w:pPr>
        <w:pStyle w:val="Heading2"/>
      </w:pPr>
      <w:r>
        <w:t>1.1 Stagnation is not zero activity</w:t>
      </w:r>
    </w:p>
    <w:p>
      <w:pPr>
        <w:pStyle w:val="BodyText"/>
      </w:pPr>
      <w:r>
        <w:rPr>
          <w:rFonts w:ascii="Times New Roman" w:hAnsi="Times New Roman"/>
          <w:sz w:val="22"/>
        </w:rPr>
        <w:t>In the geometric testbed, let z_t denote a finite-scale state location and let Q_ρ denote a coarse-graining map at scale ρ. A stagnation episode is not defined by z_t being literally constant. Instead, it is a regime in which the coarse state changes by at most a declared tolerance while the fine-scale trajectory or local update count remains nontrivial.</w:t>
      </w:r>
    </w:p>
    <w:p>
      <w:pPr>
        <w:spacing w:before="100" w:after="100"/>
        <w:jc w:val="center"/>
      </w:pPr>
      <w:r>
        <w:rPr>
          <w:rFonts w:ascii="Cambria Math" w:hAnsi="Cambria Math"/>
          <w:i w:val="0"/>
          <w:sz w:val="23"/>
        </w:rPr>
        <w:t>‖Q</w:t>
      </w:r>
      <w:r>
        <w:rPr>
          <w:rFonts w:ascii="Cambria Math" w:hAnsi="Cambria Math"/>
          <w:i w:val="0"/>
          <w:sz w:val="23"/>
          <w:vertAlign w:val="subscript"/>
        </w:rPr>
        <w:t>ρ</w:t>
      </w:r>
      <w:r>
        <w:rPr>
          <w:rFonts w:ascii="Cambria Math" w:hAnsi="Cambria Math"/>
          <w:i w:val="0"/>
          <w:sz w:val="23"/>
        </w:rPr>
        <w:t>(z</w:t>
      </w:r>
      <w:r>
        <w:rPr>
          <w:rFonts w:ascii="Cambria Math" w:hAnsi="Cambria Math"/>
          <w:i w:val="0"/>
          <w:sz w:val="23"/>
          <w:vertAlign w:val="subscript"/>
        </w:rPr>
        <w:t>T</w:t>
      </w:r>
      <w:r>
        <w:rPr>
          <w:rFonts w:ascii="Cambria Math" w:hAnsi="Cambria Math"/>
          <w:i w:val="0"/>
          <w:sz w:val="23"/>
        </w:rPr>
        <w:t>) − Q</w:t>
      </w:r>
      <w:r>
        <w:rPr>
          <w:rFonts w:ascii="Cambria Math" w:hAnsi="Cambria Math"/>
          <w:i w:val="0"/>
          <w:sz w:val="23"/>
          <w:vertAlign w:val="subscript"/>
        </w:rPr>
        <w:t>ρ</w:t>
      </w:r>
      <w:r>
        <w:rPr>
          <w:rFonts w:ascii="Cambria Math" w:hAnsi="Cambria Math"/>
          <w:i w:val="0"/>
          <w:sz w:val="23"/>
        </w:rPr>
        <w:t>(z</w:t>
      </w:r>
      <w:r>
        <w:rPr>
          <w:rFonts w:ascii="Cambria Math" w:hAnsi="Cambria Math"/>
          <w:i w:val="0"/>
          <w:sz w:val="23"/>
          <w:vertAlign w:val="subscript"/>
        </w:rPr>
        <w:t>0</w:t>
      </w:r>
      <w:r>
        <w:rPr>
          <w:rFonts w:ascii="Cambria Math" w:hAnsi="Cambria Math"/>
          <w:i w:val="0"/>
          <w:sz w:val="23"/>
        </w:rPr>
        <w:t>)‖ ≤ η</w:t>
      </w:r>
      <w:r>
        <w:rPr>
          <w:rFonts w:ascii="Cambria Math" w:hAnsi="Cambria Math"/>
          <w:i w:val="0"/>
          <w:sz w:val="23"/>
          <w:vertAlign w:val="subscript"/>
        </w:rPr>
        <w:t>ρ</w:t>
      </w:r>
      <w:r>
        <w:rPr>
          <w:rFonts w:ascii="Times New Roman" w:hAnsi="Times New Roman"/>
          <w:i/>
          <w:color w:val="666666"/>
          <w:sz w:val="19"/>
        </w:rPr>
        <w:t xml:space="preserve">    coarse stagnation condition</w:t>
      </w:r>
    </w:p>
    <w:p>
      <w:pPr>
        <w:spacing w:before="100" w:after="100"/>
        <w:jc w:val="center"/>
      </w:pPr>
      <w:r>
        <w:rPr>
          <w:rFonts w:ascii="Cambria Math" w:hAnsi="Cambria Math"/>
          <w:i w:val="0"/>
          <w:sz w:val="23"/>
        </w:rPr>
        <w:t>A</w:t>
      </w:r>
      <w:r>
        <w:rPr>
          <w:rFonts w:ascii="Cambria Math" w:hAnsi="Cambria Math"/>
          <w:i w:val="0"/>
          <w:sz w:val="23"/>
          <w:vertAlign w:val="subscript"/>
        </w:rPr>
        <w:t>δ</w:t>
      </w:r>
      <w:r>
        <w:rPr>
          <w:rFonts w:ascii="Cambria Math" w:hAnsi="Cambria Math"/>
          <w:i w:val="0"/>
          <w:sz w:val="23"/>
        </w:rPr>
        <w:t>(z</w:t>
      </w:r>
      <w:r>
        <w:rPr>
          <w:rFonts w:ascii="Cambria Math" w:hAnsi="Cambria Math"/>
          <w:i w:val="0"/>
          <w:sz w:val="23"/>
          <w:vertAlign w:val="subscript"/>
        </w:rPr>
        <w:t>0:T</w:t>
      </w:r>
      <w:r>
        <w:rPr>
          <w:rFonts w:ascii="Cambria Math" w:hAnsi="Cambria Math"/>
          <w:i w:val="0"/>
          <w:sz w:val="23"/>
        </w:rPr>
        <w:t>) &gt; μ</w:t>
      </w:r>
      <w:r>
        <w:rPr>
          <w:rFonts w:ascii="Cambria Math" w:hAnsi="Cambria Math"/>
          <w:i w:val="0"/>
          <w:sz w:val="23"/>
          <w:vertAlign w:val="subscript"/>
        </w:rPr>
        <w:t>δ</w:t>
      </w:r>
      <w:r>
        <w:rPr>
          <w:rFonts w:ascii="Times New Roman" w:hAnsi="Times New Roman"/>
          <w:i/>
          <w:color w:val="666666"/>
          <w:sz w:val="19"/>
        </w:rPr>
        <w:t xml:space="preserve">    nonzero fine-scale activity condition</w:t>
      </w:r>
    </w:p>
    <w:p>
      <w:pPr>
        <w:pStyle w:val="BodyText"/>
      </w:pPr>
      <w:r>
        <w:rPr>
          <w:rFonts w:ascii="Times New Roman" w:hAnsi="Times New Roman"/>
          <w:sz w:val="22"/>
        </w:rPr>
        <w:t>Here A_δ is an operational activity functional chosen for the experiment; examples include accumulated path length, number of admissible downstream updates, or a local circulation statistic. Nonzero curl may indicate one kind of internal circulation, but SIUS does not equate stagnation with curl.</w:t>
      </w:r>
    </w:p>
    <w:p>
      <w:pPr>
        <w:pStyle w:val="Heading2"/>
      </w:pPr>
      <w:r>
        <w:t>1.2 Outcome status</w:t>
      </w:r>
    </w:p>
    <w:tbl>
      <w:tblPr>
        <w:tblStyle w:val="TableGrid"/>
        <w:tblW w:type="auto" w:w="0"/>
        <w:jc w:val="center"/>
        <w:tblLook w:firstColumn="1" w:firstRow="1" w:lastColumn="0" w:lastRow="0" w:noHBand="0" w:noVBand="1" w:val="04A0"/>
      </w:tblPr>
      <w:tblGrid>
        <w:gridCol w:w="3216"/>
        <w:gridCol w:w="3216"/>
        <w:gridCol w:w="3216"/>
      </w:tblGrid>
      <w:tr>
        <w:trPr>
          <w:tblHeader w:val="true"/>
          <w:cantSplit/>
        </w:trPr>
        <w:tc>
          <w:tcPr>
            <w:tcW w:type="dxa" w:w="3216"/>
            <w:shd w:fill="E8F0ED"/>
          </w:tcPr>
          <w:p>
            <w:r>
              <w:rPr>
                <w:rFonts w:ascii="Times New Roman" w:hAnsi="Times New Roman"/>
                <w:b/>
                <w:sz w:val="19"/>
              </w:rPr>
              <w:t>Object</w:t>
            </w:r>
          </w:p>
        </w:tc>
        <w:tc>
          <w:tcPr>
            <w:tcW w:type="dxa" w:w="3216"/>
            <w:shd w:fill="E8F0ED"/>
          </w:tcPr>
          <w:p>
            <w:r>
              <w:rPr>
                <w:rFonts w:ascii="Times New Roman" w:hAnsi="Times New Roman"/>
                <w:b/>
                <w:sz w:val="19"/>
              </w:rPr>
              <w:t>Current status</w:t>
            </w:r>
          </w:p>
        </w:tc>
        <w:tc>
          <w:tcPr>
            <w:tcW w:type="dxa" w:w="3216"/>
            <w:shd w:fill="E8F0ED"/>
          </w:tcPr>
          <w:p>
            <w:r>
              <w:rPr>
                <w:rFonts w:ascii="Times New Roman" w:hAnsi="Times New Roman"/>
                <w:b/>
                <w:sz w:val="19"/>
              </w:rPr>
              <w:t>Claim boundary</w:t>
            </w:r>
          </w:p>
        </w:tc>
      </w:tr>
      <w:tr>
        <w:trPr>
          <w:cantSplit/>
        </w:trPr>
        <w:tc>
          <w:tcPr>
            <w:tcW w:type="dxa" w:w="3216"/>
          </w:tcPr>
          <w:p>
            <w:r>
              <w:rPr>
                <w:rFonts w:ascii="Times New Roman" w:hAnsi="Times New Roman"/>
                <w:sz w:val="18"/>
              </w:rPr>
              <w:t>SIUS definition</w:t>
            </w:r>
          </w:p>
        </w:tc>
        <w:tc>
          <w:tcPr>
            <w:tcW w:type="dxa" w:w="3216"/>
          </w:tcPr>
          <w:p>
            <w:r>
              <w:rPr>
                <w:rFonts w:ascii="Times New Roman" w:hAnsi="Times New Roman"/>
                <w:sz w:val="18"/>
              </w:rPr>
              <w:t>Proposed / operational</w:t>
            </w:r>
          </w:p>
        </w:tc>
        <w:tc>
          <w:tcPr>
            <w:tcW w:type="dxa" w:w="3216"/>
          </w:tcPr>
          <w:p>
            <w:r>
              <w:rPr>
                <w:rFonts w:ascii="Times New Roman" w:hAnsi="Times New Roman"/>
                <w:sz w:val="18"/>
              </w:rPr>
              <w:t>No theorem or live-system validation yet.</w:t>
            </w:r>
          </w:p>
        </w:tc>
      </w:tr>
      <w:tr>
        <w:trPr>
          <w:cantSplit/>
        </w:trPr>
        <w:tc>
          <w:tcPr>
            <w:tcW w:type="dxa" w:w="3216"/>
          </w:tcPr>
          <w:p>
            <w:r>
              <w:rPr>
                <w:rFonts w:ascii="Times New Roman" w:hAnsi="Times New Roman"/>
                <w:sz w:val="18"/>
              </w:rPr>
              <w:t>Finite-scale Del scaffold</w:t>
            </w:r>
          </w:p>
        </w:tc>
        <w:tc>
          <w:tcPr>
            <w:tcW w:type="dxa" w:w="3216"/>
          </w:tcPr>
          <w:p>
            <w:r>
              <w:rPr>
                <w:rFonts w:ascii="Times New Roman" w:hAnsi="Times New Roman"/>
                <w:sz w:val="18"/>
              </w:rPr>
              <w:t>Proposed</w:t>
            </w:r>
          </w:p>
        </w:tc>
        <w:tc>
          <w:tcPr>
            <w:tcW w:type="dxa" w:w="3216"/>
          </w:tcPr>
          <w:p>
            <w:r>
              <w:rPr>
                <w:rFonts w:ascii="Times New Roman" w:hAnsi="Times New Roman"/>
                <w:sz w:val="18"/>
              </w:rPr>
              <w:t>Grounded in standard finite-difference/discrete-vector-calculus practice; semantics are custom.</w:t>
            </w:r>
          </w:p>
        </w:tc>
      </w:tr>
      <w:tr>
        <w:trPr>
          <w:cantSplit/>
        </w:trPr>
        <w:tc>
          <w:tcPr>
            <w:tcW w:type="dxa" w:w="3216"/>
          </w:tcPr>
          <w:p>
            <w:r>
              <w:rPr>
                <w:rFonts w:ascii="Times New Roman" w:hAnsi="Times New Roman"/>
                <w:sz w:val="18"/>
              </w:rPr>
              <w:t>Discrete curl at a grain</w:t>
            </w:r>
          </w:p>
        </w:tc>
        <w:tc>
          <w:tcPr>
            <w:tcW w:type="dxa" w:w="3216"/>
          </w:tcPr>
          <w:p>
            <w:r>
              <w:rPr>
                <w:rFonts w:ascii="Times New Roman" w:hAnsi="Times New Roman"/>
                <w:sz w:val="18"/>
              </w:rPr>
              <w:t>Proposed diagnostic</w:t>
            </w:r>
          </w:p>
        </w:tc>
        <w:tc>
          <w:tcPr>
            <w:tcW w:type="dxa" w:w="3216"/>
          </w:tcPr>
          <w:p>
            <w:r>
              <w:rPr>
                <w:rFonts w:ascii="Times New Roman" w:hAnsi="Times New Roman"/>
                <w:sz w:val="18"/>
              </w:rPr>
              <w:t>Requires transverse neighboring samples or local oriented cell loops.</w:t>
            </w:r>
          </w:p>
        </w:tc>
      </w:tr>
      <w:tr>
        <w:trPr>
          <w:cantSplit/>
        </w:trPr>
        <w:tc>
          <w:tcPr>
            <w:tcW w:type="dxa" w:w="3216"/>
          </w:tcPr>
          <w:p>
            <w:r>
              <w:rPr>
                <w:rFonts w:ascii="Times New Roman" w:hAnsi="Times New Roman"/>
                <w:sz w:val="18"/>
              </w:rPr>
              <w:t>Sticky-set multiscale scaffold</w:t>
            </w:r>
          </w:p>
        </w:tc>
        <w:tc>
          <w:tcPr>
            <w:tcW w:type="dxa" w:w="3216"/>
          </w:tcPr>
          <w:p>
            <w:r>
              <w:rPr>
                <w:rFonts w:ascii="Times New Roman" w:hAnsi="Times New Roman"/>
                <w:sz w:val="18"/>
              </w:rPr>
              <w:t>Literature-supported geometry</w:t>
            </w:r>
          </w:p>
        </w:tc>
        <w:tc>
          <w:tcPr>
            <w:tcW w:type="dxa" w:w="3216"/>
          </w:tcPr>
          <w:p>
            <w:r>
              <w:rPr>
                <w:rFonts w:ascii="Times New Roman" w:hAnsi="Times New Roman"/>
                <w:sz w:val="18"/>
              </w:rPr>
              <w:t>Used as structural intuition/test design, not as validation of Kakeyalogic.</w:t>
            </w:r>
          </w:p>
        </w:tc>
      </w:tr>
      <w:tr>
        <w:trPr>
          <w:cantSplit/>
        </w:trPr>
        <w:tc>
          <w:tcPr>
            <w:tcW w:type="dxa" w:w="3216"/>
          </w:tcPr>
          <w:p>
            <w:r>
              <w:rPr>
                <w:rFonts w:ascii="Times New Roman" w:hAnsi="Times New Roman"/>
                <w:sz w:val="18"/>
              </w:rPr>
              <w:t>HELD correction rule</w:t>
            </w:r>
          </w:p>
        </w:tc>
        <w:tc>
          <w:tcPr>
            <w:tcW w:type="dxa" w:w="3216"/>
          </w:tcPr>
          <w:p>
            <w:r>
              <w:rPr>
                <w:rFonts w:ascii="Times New Roman" w:hAnsi="Times New Roman"/>
                <w:sz w:val="18"/>
              </w:rPr>
              <w:t>Operational requirement</w:t>
            </w:r>
          </w:p>
        </w:tc>
        <w:tc>
          <w:tcPr>
            <w:tcW w:type="dxa" w:w="3216"/>
          </w:tcPr>
          <w:p>
            <w:r>
              <w:rPr>
                <w:rFonts w:ascii="Times New Roman" w:hAnsi="Times New Roman"/>
                <w:sz w:val="18"/>
              </w:rPr>
              <w:t>Correction lineage must persist unless explicitly superseded by higher-authority evidence.</w:t>
            </w:r>
          </w:p>
        </w:tc>
      </w:tr>
      <w:tr>
        <w:trPr>
          <w:cantSplit/>
        </w:trPr>
        <w:tc>
          <w:tcPr>
            <w:tcW w:type="dxa" w:w="3216"/>
          </w:tcPr>
          <w:p>
            <w:r>
              <w:rPr>
                <w:rFonts w:ascii="Times New Roman" w:hAnsi="Times New Roman"/>
                <w:sz w:val="18"/>
              </w:rPr>
              <w:t>Scale transfer δ → ρ → δ/ρ</w:t>
            </w:r>
          </w:p>
        </w:tc>
        <w:tc>
          <w:tcPr>
            <w:tcW w:type="dxa" w:w="3216"/>
          </w:tcPr>
          <w:p>
            <w:r>
              <w:rPr>
                <w:rFonts w:ascii="Times New Roman" w:hAnsi="Times New Roman"/>
                <w:sz w:val="18"/>
              </w:rPr>
              <w:t>Open test</w:t>
            </w:r>
          </w:p>
        </w:tc>
        <w:tc>
          <w:tcPr>
            <w:tcW w:type="dxa" w:w="3216"/>
          </w:tcPr>
          <w:p>
            <w:r>
              <w:rPr>
                <w:rFonts w:ascii="Times New Roman" w:hAnsi="Times New Roman"/>
                <w:sz w:val="18"/>
              </w:rPr>
              <w:t>No compactness or limit-transfer theorem has been established.</w:t>
            </w:r>
          </w:p>
        </w:tc>
      </w:tr>
    </w:tbl>
    <w:p>
      <w:pPr>
        <w:pStyle w:val="Heading1"/>
      </w:pPr>
      <w:r>
        <w:t>2. Formal Objects and Notation</w:t>
      </w:r>
    </w:p>
    <w:p>
      <w:pPr>
        <w:pStyle w:val="BodyText"/>
      </w:pPr>
      <w:r>
        <w:rPr>
          <w:rFonts w:ascii="Times New Roman" w:hAnsi="Times New Roman"/>
          <w:sz w:val="22"/>
        </w:rPr>
        <w:t>The current formulation deliberately separates geometry, routing dynamics, and typed safeguard state. This prevents ordinary vector-calculus notation from being asked to carry semantic or authority information that it was not designed to represent.</w:t>
      </w:r>
    </w:p>
    <w:tbl>
      <w:tblPr>
        <w:tblStyle w:val="TableGrid"/>
        <w:tblW w:type="auto" w:w="0"/>
        <w:jc w:val="center"/>
        <w:tblLook w:firstColumn="1" w:firstRow="1" w:lastColumn="0" w:lastRow="0" w:noHBand="0" w:noVBand="1" w:val="04A0"/>
      </w:tblPr>
      <w:tblGrid>
        <w:gridCol w:w="3216"/>
        <w:gridCol w:w="3216"/>
        <w:gridCol w:w="3216"/>
      </w:tblGrid>
      <w:tr>
        <w:trPr>
          <w:tblHeader w:val="true"/>
          <w:cantSplit/>
        </w:trPr>
        <w:tc>
          <w:tcPr>
            <w:tcW w:type="dxa" w:w="3216"/>
            <w:shd w:fill="E8F0ED"/>
          </w:tcPr>
          <w:p>
            <w:r>
              <w:rPr>
                <w:rFonts w:ascii="Times New Roman" w:hAnsi="Times New Roman"/>
                <w:b/>
                <w:sz w:val="18"/>
              </w:rPr>
              <w:t>Symbol</w:t>
            </w:r>
          </w:p>
        </w:tc>
        <w:tc>
          <w:tcPr>
            <w:tcW w:type="dxa" w:w="3216"/>
            <w:shd w:fill="E8F0ED"/>
          </w:tcPr>
          <w:p>
            <w:r>
              <w:rPr>
                <w:rFonts w:ascii="Times New Roman" w:hAnsi="Times New Roman"/>
                <w:b/>
                <w:sz w:val="18"/>
              </w:rPr>
              <w:t>Role</w:t>
            </w:r>
          </w:p>
        </w:tc>
        <w:tc>
          <w:tcPr>
            <w:tcW w:type="dxa" w:w="3216"/>
            <w:shd w:fill="E8F0ED"/>
          </w:tcPr>
          <w:p>
            <w:r>
              <w:rPr>
                <w:rFonts w:ascii="Times New Roman" w:hAnsi="Times New Roman"/>
                <w:b/>
                <w:sz w:val="18"/>
              </w:rPr>
              <w:t>Interpretation in this manuscript</w:t>
            </w:r>
          </w:p>
        </w:tc>
      </w:tr>
      <w:tr>
        <w:trPr>
          <w:cantSplit/>
        </w:trPr>
        <w:tc>
          <w:tcPr>
            <w:tcW w:type="dxa" w:w="3216"/>
          </w:tcPr>
          <w:p>
            <w:r>
              <w:rPr>
                <w:rFonts w:ascii="Times New Roman" w:hAnsi="Times New Roman"/>
                <w:sz w:val="17"/>
              </w:rPr>
              <w:t>Ω_δ ⊂ R³</w:t>
            </w:r>
          </w:p>
        </w:tc>
        <w:tc>
          <w:tcPr>
            <w:tcW w:type="dxa" w:w="3216"/>
          </w:tcPr>
          <w:p>
            <w:r>
              <w:rPr>
                <w:rFonts w:ascii="Times New Roman" w:hAnsi="Times New Roman"/>
                <w:sz w:val="17"/>
              </w:rPr>
              <w:t>Finite grain domain</w:t>
            </w:r>
          </w:p>
        </w:tc>
        <w:tc>
          <w:tcPr>
            <w:tcW w:type="dxa" w:w="3216"/>
          </w:tcPr>
          <w:p>
            <w:r>
              <w:rPr>
                <w:rFonts w:ascii="Times New Roman" w:hAnsi="Times New Roman"/>
                <w:sz w:val="17"/>
              </w:rPr>
              <w:t>Discrete geometric testbed at resolution δ.</w:t>
            </w:r>
          </w:p>
        </w:tc>
      </w:tr>
      <w:tr>
        <w:trPr>
          <w:cantSplit/>
        </w:trPr>
        <w:tc>
          <w:tcPr>
            <w:tcW w:type="dxa" w:w="3216"/>
          </w:tcPr>
          <w:p>
            <w:r>
              <w:rPr>
                <w:rFonts w:ascii="Times New Roman" w:hAnsi="Times New Roman"/>
                <w:sz w:val="17"/>
              </w:rPr>
              <w:t>z, A</w:t>
            </w:r>
          </w:p>
        </w:tc>
        <w:tc>
          <w:tcPr>
            <w:tcW w:type="dxa" w:w="3216"/>
          </w:tcPr>
          <w:p>
            <w:r>
              <w:rPr>
                <w:rFonts w:ascii="Times New Roman" w:hAnsi="Times New Roman"/>
                <w:sz w:val="17"/>
              </w:rPr>
              <w:t>Grain location</w:t>
            </w:r>
          </w:p>
        </w:tc>
        <w:tc>
          <w:tcPr>
            <w:tcW w:type="dxa" w:w="3216"/>
          </w:tcPr>
          <w:p>
            <w:r>
              <w:rPr>
                <w:rFonts w:ascii="Times New Roman" w:hAnsi="Times New Roman"/>
                <w:sz w:val="17"/>
              </w:rPr>
              <w:t>A sampled state location; A is the local point at which differential diagnostics may be evaluated.</w:t>
            </w:r>
          </w:p>
        </w:tc>
      </w:tr>
      <w:tr>
        <w:trPr>
          <w:cantSplit/>
        </w:trPr>
        <w:tc>
          <w:tcPr>
            <w:tcW w:type="dxa" w:w="3216"/>
          </w:tcPr>
          <w:p>
            <w:r>
              <w:rPr>
                <w:rFonts w:ascii="Times New Roman" w:hAnsi="Times New Roman"/>
                <w:sz w:val="17"/>
              </w:rPr>
              <w:t>u_i</w:t>
            </w:r>
          </w:p>
        </w:tc>
        <w:tc>
          <w:tcPr>
            <w:tcW w:type="dxa" w:w="3216"/>
          </w:tcPr>
          <w:p>
            <w:r>
              <w:rPr>
                <w:rFonts w:ascii="Times New Roman" w:hAnsi="Times New Roman"/>
                <w:sz w:val="17"/>
              </w:rPr>
              <w:t>Direction</w:t>
            </w:r>
          </w:p>
        </w:tc>
        <w:tc>
          <w:tcPr>
            <w:tcW w:type="dxa" w:w="3216"/>
          </w:tcPr>
          <w:p>
            <w:r>
              <w:rPr>
                <w:rFonts w:ascii="Times New Roman" w:hAnsi="Times New Roman"/>
                <w:sz w:val="17"/>
              </w:rPr>
              <w:t>Unit direction associated with an oriented segment.</w:t>
            </w:r>
          </w:p>
        </w:tc>
      </w:tr>
      <w:tr>
        <w:trPr>
          <w:cantSplit/>
        </w:trPr>
        <w:tc>
          <w:tcPr>
            <w:tcW w:type="dxa" w:w="3216"/>
          </w:tcPr>
          <w:p>
            <w:r>
              <w:rPr>
                <w:rFonts w:ascii="Times New Roman" w:hAnsi="Times New Roman"/>
                <w:sz w:val="17"/>
              </w:rPr>
              <w:t>D_{u_i,δ}</w:t>
            </w:r>
          </w:p>
        </w:tc>
        <w:tc>
          <w:tcPr>
            <w:tcW w:type="dxa" w:w="3216"/>
          </w:tcPr>
          <w:p>
            <w:r>
              <w:rPr>
                <w:rFonts w:ascii="Times New Roman" w:hAnsi="Times New Roman"/>
                <w:sz w:val="17"/>
              </w:rPr>
              <w:t>Directional finite difference</w:t>
            </w:r>
          </w:p>
        </w:tc>
        <w:tc>
          <w:tcPr>
            <w:tcW w:type="dxa" w:w="3216"/>
          </w:tcPr>
          <w:p>
            <w:r>
              <w:rPr>
                <w:rFonts w:ascii="Times New Roman" w:hAnsi="Times New Roman"/>
                <w:sz w:val="17"/>
              </w:rPr>
              <w:t>Acts along a segment; the segment itself is not ∇.</w:t>
            </w:r>
          </w:p>
        </w:tc>
      </w:tr>
      <w:tr>
        <w:trPr>
          <w:cantSplit/>
        </w:trPr>
        <w:tc>
          <w:tcPr>
            <w:tcW w:type="dxa" w:w="3216"/>
          </w:tcPr>
          <w:p>
            <w:r>
              <w:rPr>
                <w:rFonts w:ascii="Times New Roman" w:hAnsi="Times New Roman"/>
                <w:sz w:val="17"/>
              </w:rPr>
              <w:t>∇_δ</w:t>
            </w:r>
          </w:p>
        </w:tc>
        <w:tc>
          <w:tcPr>
            <w:tcW w:type="dxa" w:w="3216"/>
          </w:tcPr>
          <w:p>
            <w:r>
              <w:rPr>
                <w:rFonts w:ascii="Times New Roman" w:hAnsi="Times New Roman"/>
                <w:sz w:val="17"/>
              </w:rPr>
              <w:t>Finite-scale Del scaffold</w:t>
            </w:r>
          </w:p>
        </w:tc>
        <w:tc>
          <w:tcPr>
            <w:tcW w:type="dxa" w:w="3216"/>
          </w:tcPr>
          <w:p>
            <w:r>
              <w:rPr>
                <w:rFonts w:ascii="Times New Roman" w:hAnsi="Times New Roman"/>
                <w:sz w:val="17"/>
              </w:rPr>
              <w:t>Assembly of compatible local finite differences.</w:t>
            </w:r>
          </w:p>
        </w:tc>
      </w:tr>
      <w:tr>
        <w:trPr>
          <w:cantSplit/>
        </w:trPr>
        <w:tc>
          <w:tcPr>
            <w:tcW w:type="dxa" w:w="3216"/>
          </w:tcPr>
          <w:p>
            <w:r>
              <w:rPr>
                <w:rFonts w:ascii="Times New Roman" w:hAnsi="Times New Roman"/>
                <w:sz w:val="17"/>
              </w:rPr>
              <w:t>v_δ</w:t>
            </w:r>
          </w:p>
        </w:tc>
        <w:tc>
          <w:tcPr>
            <w:tcW w:type="dxa" w:w="3216"/>
          </w:tcPr>
          <w:p>
            <w:r>
              <w:rPr>
                <w:rFonts w:ascii="Times New Roman" w:hAnsi="Times New Roman"/>
                <w:sz w:val="17"/>
              </w:rPr>
              <w:t>Downstream routing field</w:t>
            </w:r>
          </w:p>
        </w:tc>
        <w:tc>
          <w:tcPr>
            <w:tcW w:type="dxa" w:w="3216"/>
          </w:tcPr>
          <w:p>
            <w:r>
              <w:rPr>
                <w:rFonts w:ascii="Times New Roman" w:hAnsi="Times New Roman"/>
                <w:sz w:val="17"/>
              </w:rPr>
              <w:t>R³-valued geometric field used only for spatial/directional diagnostics.</w:t>
            </w:r>
          </w:p>
        </w:tc>
      </w:tr>
      <w:tr>
        <w:trPr>
          <w:cantSplit/>
        </w:trPr>
        <w:tc>
          <w:tcPr>
            <w:tcW w:type="dxa" w:w="3216"/>
          </w:tcPr>
          <w:p>
            <w:r>
              <w:rPr>
                <w:rFonts w:ascii="Times New Roman" w:hAnsi="Times New Roman"/>
                <w:sz w:val="17"/>
              </w:rPr>
              <w:t>curl_δ v_δ</w:t>
            </w:r>
          </w:p>
        </w:tc>
        <w:tc>
          <w:tcPr>
            <w:tcW w:type="dxa" w:w="3216"/>
          </w:tcPr>
          <w:p>
            <w:r>
              <w:rPr>
                <w:rFonts w:ascii="Times New Roman" w:hAnsi="Times New Roman"/>
                <w:sz w:val="17"/>
              </w:rPr>
              <w:t>Local circulation diagnostic</w:t>
            </w:r>
          </w:p>
        </w:tc>
        <w:tc>
          <w:tcPr>
            <w:tcW w:type="dxa" w:w="3216"/>
          </w:tcPr>
          <w:p>
            <w:r>
              <w:rPr>
                <w:rFonts w:ascii="Times New Roman" w:hAnsi="Times New Roman"/>
                <w:sz w:val="17"/>
              </w:rPr>
              <w:t>Discrete approximation to ∇ × v; requires a local stencil/cell.</w:t>
            </w:r>
          </w:p>
        </w:tc>
      </w:tr>
      <w:tr>
        <w:trPr>
          <w:cantSplit/>
        </w:trPr>
        <w:tc>
          <w:tcPr>
            <w:tcW w:type="dxa" w:w="3216"/>
          </w:tcPr>
          <w:p>
            <w:r>
              <w:rPr>
                <w:rFonts w:ascii="Times New Roman" w:hAnsi="Times New Roman"/>
                <w:sz w:val="17"/>
              </w:rPr>
              <w:t>Γ = (Sem, Auth, Vis, Enf, Ret)</w:t>
            </w:r>
          </w:p>
        </w:tc>
        <w:tc>
          <w:tcPr>
            <w:tcW w:type="dxa" w:w="3216"/>
          </w:tcPr>
          <w:p>
            <w:r>
              <w:rPr>
                <w:rFonts w:ascii="Times New Roman" w:hAnsi="Times New Roman"/>
                <w:sz w:val="17"/>
              </w:rPr>
              <w:t>SAVER grain state</w:t>
            </w:r>
          </w:p>
        </w:tc>
        <w:tc>
          <w:tcPr>
            <w:tcW w:type="dxa" w:w="3216"/>
          </w:tcPr>
          <w:p>
            <w:r>
              <w:rPr>
                <w:rFonts w:ascii="Times New Roman" w:hAnsi="Times New Roman"/>
                <w:sz w:val="17"/>
              </w:rPr>
              <w:t>Typed safeguard annotation kept separate from the R³ routing field.</w:t>
            </w:r>
          </w:p>
        </w:tc>
      </w:tr>
      <w:tr>
        <w:trPr>
          <w:cantSplit/>
        </w:trPr>
        <w:tc>
          <w:tcPr>
            <w:tcW w:type="dxa" w:w="3216"/>
          </w:tcPr>
          <w:p>
            <w:r>
              <w:rPr>
                <w:rFonts w:ascii="Times New Roman" w:hAnsi="Times New Roman"/>
                <w:sz w:val="17"/>
              </w:rPr>
              <w:t>h</w:t>
            </w:r>
          </w:p>
        </w:tc>
        <w:tc>
          <w:tcPr>
            <w:tcW w:type="dxa" w:w="3216"/>
          </w:tcPr>
          <w:p>
            <w:r>
              <w:rPr>
                <w:rFonts w:ascii="Times New Roman" w:hAnsi="Times New Roman"/>
                <w:sz w:val="17"/>
              </w:rPr>
              <w:t>Evaluator relation parameter</w:t>
            </w:r>
          </w:p>
        </w:tc>
        <w:tc>
          <w:tcPr>
            <w:tcW w:type="dxa" w:w="3216"/>
          </w:tcPr>
          <w:p>
            <w:r>
              <w:rPr>
                <w:rFonts w:ascii="Times New Roman" w:hAnsi="Times New Roman"/>
                <w:sz w:val="17"/>
              </w:rPr>
              <w:t>Admissibility requires h &lt; 1; evaluator non-sovereignty.</w:t>
            </w:r>
          </w:p>
        </w:tc>
      </w:tr>
      <w:tr>
        <w:trPr>
          <w:cantSplit/>
        </w:trPr>
        <w:tc>
          <w:tcPr>
            <w:tcW w:type="dxa" w:w="3216"/>
          </w:tcPr>
          <w:p>
            <w:r>
              <w:rPr>
                <w:rFonts w:ascii="Times New Roman" w:hAnsi="Times New Roman"/>
                <w:sz w:val="17"/>
              </w:rPr>
              <w:t>S_C = C² − D</w:t>
            </w:r>
          </w:p>
        </w:tc>
        <w:tc>
          <w:tcPr>
            <w:tcW w:type="dxa" w:w="3216"/>
          </w:tcPr>
          <w:p>
            <w:r>
              <w:rPr>
                <w:rFonts w:ascii="Times New Roman" w:hAnsi="Times New Roman"/>
                <w:sz w:val="17"/>
              </w:rPr>
              <w:t>L²_C condition</w:t>
            </w:r>
          </w:p>
        </w:tc>
        <w:tc>
          <w:tcPr>
            <w:tcW w:type="dxa" w:w="3216"/>
          </w:tcPr>
          <w:p>
            <w:r>
              <w:rPr>
                <w:rFonts w:ascii="Times New Roman" w:hAnsi="Times New Roman"/>
                <w:sz w:val="17"/>
              </w:rPr>
              <w:t>Preservation relation; measurement maps for C and D remain to be fixed.</w:t>
            </w:r>
          </w:p>
        </w:tc>
      </w:tr>
      <w:tr>
        <w:trPr>
          <w:cantSplit/>
        </w:trPr>
        <w:tc>
          <w:tcPr>
            <w:tcW w:type="dxa" w:w="3216"/>
          </w:tcPr>
          <w:p>
            <w:r>
              <w:rPr>
                <w:rFonts w:ascii="Times New Roman" w:hAnsi="Times New Roman"/>
                <w:sz w:val="17"/>
              </w:rPr>
              <w:t>ρ</w:t>
            </w:r>
          </w:p>
        </w:tc>
        <w:tc>
          <w:tcPr>
            <w:tcW w:type="dxa" w:w="3216"/>
          </w:tcPr>
          <w:p>
            <w:r>
              <w:rPr>
                <w:rFonts w:ascii="Times New Roman" w:hAnsi="Times New Roman"/>
                <w:sz w:val="17"/>
              </w:rPr>
              <w:t>Coarse scale</w:t>
            </w:r>
          </w:p>
        </w:tc>
        <w:tc>
          <w:tcPr>
            <w:tcW w:type="dxa" w:w="3216"/>
          </w:tcPr>
          <w:p>
            <w:r>
              <w:rPr>
                <w:rFonts w:ascii="Times New Roman" w:hAnsi="Times New Roman"/>
                <w:sz w:val="17"/>
              </w:rPr>
              <w:t>Intermediate parent-tube/grain scale with δ &lt; ρ &lt; 1 in the geometric testbed.</w:t>
            </w:r>
          </w:p>
        </w:tc>
      </w:tr>
    </w:tbl>
    <w:p>
      <w:pPr>
        <w:pStyle w:val="Heading2"/>
      </w:pPr>
      <w:r>
        <w:t>2.1 Directional finite difference</w:t>
      </w:r>
    </w:p>
    <w:p>
      <w:pPr>
        <w:pStyle w:val="BodyText"/>
      </w:pPr>
      <w:r>
        <w:rPr>
          <w:rFonts w:ascii="Times New Roman" w:hAnsi="Times New Roman"/>
          <w:sz w:val="22"/>
        </w:rPr>
        <w:t>For a scalar or component field φ sampled at grain scale δ, an oriented segment from z to z + δu_i supplies the direction and separation for a finite-difference operation:</w:t>
      </w:r>
    </w:p>
    <w:p>
      <w:pPr>
        <w:spacing w:before="100" w:after="100"/>
        <w:jc w:val="center"/>
      </w:pPr>
      <w:r>
        <w:rPr>
          <w:rFonts w:ascii="Cambria Math" w:hAnsi="Cambria Math"/>
          <w:i w:val="0"/>
          <w:sz w:val="23"/>
        </w:rPr>
        <w:t>D</w:t>
      </w:r>
      <w:r>
        <w:rPr>
          <w:rFonts w:ascii="Cambria Math" w:hAnsi="Cambria Math"/>
          <w:i w:val="0"/>
          <w:sz w:val="23"/>
          <w:vertAlign w:val="subscript"/>
        </w:rPr>
        <w:t>uᵢ,δ</w:t>
      </w:r>
      <w:r>
        <w:rPr>
          <w:rFonts w:ascii="Cambria Math" w:hAnsi="Cambria Math"/>
          <w:i w:val="0"/>
          <w:sz w:val="23"/>
        </w:rPr>
        <w:t xml:space="preserve"> φ(z) = [φ(z + δu</w:t>
      </w:r>
      <w:r>
        <w:rPr>
          <w:rFonts w:ascii="Cambria Math" w:hAnsi="Cambria Math"/>
          <w:i w:val="0"/>
          <w:sz w:val="23"/>
          <w:vertAlign w:val="subscript"/>
        </w:rPr>
        <w:t>i</w:t>
      </w:r>
      <w:r>
        <w:rPr>
          <w:rFonts w:ascii="Cambria Math" w:hAnsi="Cambria Math"/>
          <w:i w:val="0"/>
          <w:sz w:val="23"/>
        </w:rPr>
        <w:t>) − φ(z)] / δ</w:t>
      </w:r>
      <w:r>
        <w:rPr>
          <w:rFonts w:ascii="Times New Roman" w:hAnsi="Times New Roman"/>
          <w:i/>
          <w:color w:val="666666"/>
          <w:sz w:val="19"/>
        </w:rPr>
        <w:t xml:space="preserve">    candidate directional derivative at finite scale</w:t>
      </w:r>
    </w:p>
    <w:p>
      <w:pPr>
        <w:pStyle w:val="BodyText"/>
      </w:pPr>
      <w:r>
        <w:rPr>
          <w:rFonts w:ascii="Times New Roman" w:hAnsi="Times New Roman"/>
          <w:sz w:val="22"/>
        </w:rPr>
        <w:t>The HELD geometric clarification is essential: a line segment is not the Del operator. It is a carrier of direction and sampling separation. Del is an operator assembled from compatible directional or coordinate differences.</w:t>
      </w:r>
    </w:p>
    <w:p>
      <w:pPr>
        <w:pStyle w:val="Heading2"/>
      </w:pPr>
      <w:r>
        <w:t>2.2 Why a radial fan is not enough for curl</w:t>
      </w:r>
    </w:p>
    <w:p>
      <w:pPr>
        <w:pStyle w:val="BodyText"/>
      </w:pPr>
      <w:r>
        <w:rPr>
          <w:rFonts w:ascii="Times New Roman" w:hAnsi="Times New Roman"/>
          <w:sz w:val="22"/>
        </w:rPr>
        <w:t>A Perron-style fan or pyramid supplies many directions from a common apex and is useful for finite-scale directional sampling. However, three-dimensional curl at a point A depends on transverse variation around A. Radial samples alone cannot determine the required cross-derivative information. The local geometry must therefore include neighboring grains that form oriented loops or an equivalent finite-difference stencil in at least two independent transverse directions.</w:t>
      </w:r>
    </w:p>
    <w:p>
      <w:pPr>
        <w:jc w:val="center"/>
      </w:pPr>
      <w:r>
        <w:drawing>
          <wp:inline xmlns:a="http://schemas.openxmlformats.org/drawingml/2006/main" xmlns:pic="http://schemas.openxmlformats.org/drawingml/2006/picture">
            <wp:extent cx="5897880" cy="3697402"/>
            <wp:docPr id="1" name="Picture 1"/>
            <wp:cNvGraphicFramePr>
              <a:graphicFrameLocks noChangeAspect="1"/>
            </wp:cNvGraphicFramePr>
            <a:graphic>
              <a:graphicData uri="http://schemas.openxmlformats.org/drawingml/2006/picture">
                <pic:pic>
                  <pic:nvPicPr>
                    <pic:cNvPr id="0" name="sius_figure1_grain_operator.png"/>
                    <pic:cNvPicPr/>
                  </pic:nvPicPr>
                  <pic:blipFill>
                    <a:blip r:embed="rId11"/>
                    <a:stretch>
                      <a:fillRect/>
                    </a:stretch>
                  </pic:blipFill>
                  <pic:spPr>
                    <a:xfrm>
                      <a:off x="0" y="0"/>
                      <a:ext cx="5897880" cy="3697402"/>
                    </a:xfrm>
                    <a:prstGeom prst="rect"/>
                  </pic:spPr>
                </pic:pic>
              </a:graphicData>
            </a:graphic>
          </wp:inline>
        </w:drawing>
      </w:r>
    </w:p>
    <w:p>
      <w:pPr>
        <w:spacing w:before="40" w:after="160"/>
        <w:jc w:val="center"/>
      </w:pPr>
      <w:r>
        <w:rPr>
          <w:rFonts w:ascii="Times New Roman" w:hAnsi="Times New Roman"/>
          <w:i/>
          <w:color w:val="666666"/>
          <w:sz w:val="19"/>
        </w:rPr>
        <w:t>Figure 1. Proposed grain-scale geometry. Perron-like segments provide directional samples; a local oriented grain cell around A supplies the transverse data needed for a discrete curl/circulation diagnostic.</w:t>
      </w:r>
    </w:p>
    <w:p>
      <w:pPr>
        <w:pStyle w:val="Heading2"/>
      </w:pPr>
      <w:r>
        <w:t>2.3 Discrete curl / circulation</w:t>
      </w:r>
    </w:p>
    <w:p>
      <w:pPr>
        <w:pStyle w:val="BodyText"/>
      </w:pPr>
      <w:r>
        <w:rPr>
          <w:rFonts w:ascii="Times New Roman" w:hAnsi="Times New Roman"/>
          <w:sz w:val="22"/>
        </w:rPr>
        <w:t>Standard vector calculus defines curl by ∇ × v in R³ [4]. For a discrete grain model, the safest finite-scale implementation is a circulation estimate on an oriented face C_δ with normal n. This follows the same structural idea as Stokes-type discretization and avoids pretending that a continuum derivative exists where only finite samples are available.</w:t>
      </w:r>
    </w:p>
    <w:p>
      <w:pPr>
        <w:spacing w:before="100" w:after="100"/>
        <w:jc w:val="center"/>
      </w:pPr>
      <w:r>
        <w:rPr>
          <w:rFonts w:ascii="Cambria Math" w:hAnsi="Cambria Math"/>
          <w:i w:val="0"/>
          <w:sz w:val="23"/>
        </w:rPr>
        <w:t>ω</w:t>
      </w:r>
      <w:r>
        <w:rPr>
          <w:rFonts w:ascii="Cambria Math" w:hAnsi="Cambria Math"/>
          <w:i w:val="0"/>
          <w:sz w:val="23"/>
          <w:vertAlign w:val="subscript"/>
        </w:rPr>
        <w:t>δ</w:t>
      </w:r>
      <w:r>
        <w:rPr>
          <w:rFonts w:ascii="Cambria Math" w:hAnsi="Cambria Math"/>
          <w:i w:val="0"/>
          <w:sz w:val="23"/>
        </w:rPr>
        <w:t>(A; n) = (1 / Area(C</w:t>
      </w:r>
      <w:r>
        <w:rPr>
          <w:rFonts w:ascii="Cambria Math" w:hAnsi="Cambria Math"/>
          <w:i w:val="0"/>
          <w:sz w:val="23"/>
          <w:vertAlign w:val="subscript"/>
        </w:rPr>
        <w:t>δ</w:t>
      </w:r>
      <w:r>
        <w:rPr>
          <w:rFonts w:ascii="Cambria Math" w:hAnsi="Cambria Math"/>
          <w:i w:val="0"/>
          <w:sz w:val="23"/>
        </w:rPr>
        <w:t>)) Σ</w:t>
      </w:r>
      <w:r>
        <w:rPr>
          <w:rFonts w:ascii="Cambria Math" w:hAnsi="Cambria Math"/>
          <w:i w:val="0"/>
          <w:sz w:val="23"/>
          <w:vertAlign w:val="subscript"/>
        </w:rPr>
        <w:t>e∈∂Cδ</w:t>
      </w:r>
      <w:r>
        <w:rPr>
          <w:rFonts w:ascii="Cambria Math" w:hAnsi="Cambria Math"/>
          <w:i w:val="0"/>
          <w:sz w:val="23"/>
        </w:rPr>
        <w:t xml:space="preserve"> v</w:t>
      </w:r>
      <w:r>
        <w:rPr>
          <w:rFonts w:ascii="Cambria Math" w:hAnsi="Cambria Math"/>
          <w:i w:val="0"/>
          <w:sz w:val="23"/>
          <w:vertAlign w:val="subscript"/>
        </w:rPr>
        <w:t>δ</w:t>
      </w:r>
      <w:r>
        <w:rPr>
          <w:rFonts w:ascii="Cambria Math" w:hAnsi="Cambria Math"/>
          <w:i w:val="0"/>
          <w:sz w:val="23"/>
        </w:rPr>
        <w:t>(e) · Δr</w:t>
      </w:r>
      <w:r>
        <w:rPr>
          <w:rFonts w:ascii="Cambria Math" w:hAnsi="Cambria Math"/>
          <w:i w:val="0"/>
          <w:sz w:val="23"/>
          <w:vertAlign w:val="subscript"/>
        </w:rPr>
        <w:t>e</w:t>
      </w:r>
      <w:r>
        <w:rPr>
          <w:rFonts w:ascii="Times New Roman" w:hAnsi="Times New Roman"/>
          <w:i/>
          <w:color w:val="666666"/>
          <w:sz w:val="19"/>
        </w:rPr>
        <w:t xml:space="preserve">    finite circulation density; approximates (curl v) · n</w:t>
      </w:r>
    </w:p>
    <w:p>
      <w:pPr>
        <w:pStyle w:val="BodyText"/>
      </w:pPr>
      <w:r>
        <w:rPr>
          <w:rFonts w:ascii="Times New Roman" w:hAnsi="Times New Roman"/>
          <w:sz w:val="22"/>
        </w:rPr>
        <w:t>Three mutually oriented local faces may be used to reconstruct a vector-valued curl proxy. Hyman and Shashkov provide a rigorous numerical precedent for building discrete gradient, divergence, and curl operators that preserve analogues of vector-calculus identities [3]. That literature supports the legitimacy of a discrete-operator program; it does not define the semantic content of Kakeyalogic.</w:t>
      </w:r>
    </w:p>
    <w:p>
      <w:pPr>
        <w:pStyle w:val="Heading1"/>
      </w:pPr>
      <w:r>
        <w:t>3. Candidate Kakeyalogic Finite-Scale Operator</w:t>
      </w:r>
    </w:p>
    <w:p>
      <w:pPr>
        <w:pStyle w:val="BodyText"/>
      </w:pPr>
      <w:r>
        <w:rPr>
          <w:rFonts w:ascii="Times New Roman" w:hAnsi="Times New Roman"/>
          <w:sz w:val="22"/>
        </w:rPr>
        <w:t>The current candidate should be read as a diagnostic operator rather than as a physical law. Del supplies the differential scaffold; the typed safeguards remain explicit side conditions rather than being collapsed into the vector field.</w:t>
      </w:r>
    </w:p>
    <w:p>
      <w:pPr>
        <w:spacing w:before="100" w:after="100"/>
        <w:jc w:val="center"/>
      </w:pPr>
      <w:r>
        <w:rPr>
          <w:rFonts w:ascii="Cambria Math" w:hAnsi="Cambria Math"/>
          <w:i w:val="0"/>
          <w:sz w:val="23"/>
        </w:rPr>
        <w:t>K</w:t>
      </w:r>
      <w:r>
        <w:rPr>
          <w:rFonts w:ascii="Cambria Math" w:hAnsi="Cambria Math"/>
          <w:i w:val="0"/>
          <w:sz w:val="23"/>
          <w:vertAlign w:val="subscript"/>
        </w:rPr>
        <w:t>δ</w:t>
      </w:r>
      <w:r>
        <w:rPr>
          <w:rFonts w:ascii="Cambria Math" w:hAnsi="Cambria Math"/>
          <w:i w:val="0"/>
          <w:sz w:val="23"/>
        </w:rPr>
        <w:t>[v</w:t>
      </w:r>
      <w:r>
        <w:rPr>
          <w:rFonts w:ascii="Cambria Math" w:hAnsi="Cambria Math"/>
          <w:i w:val="0"/>
          <w:sz w:val="23"/>
          <w:vertAlign w:val="subscript"/>
        </w:rPr>
        <w:t>δ</w:t>
      </w:r>
      <w:r>
        <w:rPr>
          <w:rFonts w:ascii="Cambria Math" w:hAnsi="Cambria Math"/>
          <w:i w:val="0"/>
          <w:sz w:val="23"/>
        </w:rPr>
        <w:t>, Γ](z) = ( ∇</w:t>
      </w:r>
      <w:r>
        <w:rPr>
          <w:rFonts w:ascii="Cambria Math" w:hAnsi="Cambria Math"/>
          <w:i w:val="0"/>
          <w:sz w:val="23"/>
          <w:vertAlign w:val="subscript"/>
        </w:rPr>
        <w:t>δ</w:t>
      </w:r>
      <w:r>
        <w:rPr>
          <w:rFonts w:ascii="Cambria Math" w:hAnsi="Cambria Math"/>
          <w:i w:val="0"/>
          <w:sz w:val="23"/>
        </w:rPr>
        <w:t>v</w:t>
      </w:r>
      <w:r>
        <w:rPr>
          <w:rFonts w:ascii="Cambria Math" w:hAnsi="Cambria Math"/>
          <w:i w:val="0"/>
          <w:sz w:val="23"/>
          <w:vertAlign w:val="subscript"/>
        </w:rPr>
        <w:t>δ</w:t>
      </w:r>
      <w:r>
        <w:rPr>
          <w:rFonts w:ascii="Cambria Math" w:hAnsi="Cambria Math"/>
          <w:i w:val="0"/>
          <w:sz w:val="23"/>
        </w:rPr>
        <w:t>(z),  curl</w:t>
      </w:r>
      <w:r>
        <w:rPr>
          <w:rFonts w:ascii="Cambria Math" w:hAnsi="Cambria Math"/>
          <w:i w:val="0"/>
          <w:sz w:val="23"/>
          <w:vertAlign w:val="subscript"/>
        </w:rPr>
        <w:t>δ</w:t>
      </w:r>
      <w:r>
        <w:rPr>
          <w:rFonts w:ascii="Cambria Math" w:hAnsi="Cambria Math"/>
          <w:i w:val="0"/>
          <w:sz w:val="23"/>
        </w:rPr>
        <w:t>v</w:t>
      </w:r>
      <w:r>
        <w:rPr>
          <w:rFonts w:ascii="Cambria Math" w:hAnsi="Cambria Math"/>
          <w:i w:val="0"/>
          <w:sz w:val="23"/>
          <w:vertAlign w:val="subscript"/>
        </w:rPr>
        <w:t>δ</w:t>
      </w:r>
      <w:r>
        <w:rPr>
          <w:rFonts w:ascii="Cambria Math" w:hAnsi="Cambria Math"/>
          <w:i w:val="0"/>
          <w:sz w:val="23"/>
        </w:rPr>
        <w:t>(z),  Δ</w:t>
      </w:r>
      <w:r>
        <w:rPr>
          <w:rFonts w:ascii="Cambria Math" w:hAnsi="Cambria Math"/>
          <w:i w:val="0"/>
          <w:sz w:val="23"/>
          <w:vertAlign w:val="subscript"/>
        </w:rPr>
        <w:t>SAVER,δ</w:t>
      </w:r>
      <w:r>
        <w:rPr>
          <w:rFonts w:ascii="Cambria Math" w:hAnsi="Cambria Math"/>
          <w:i w:val="0"/>
          <w:sz w:val="23"/>
        </w:rPr>
        <w:t>(z),  H</w:t>
      </w:r>
      <w:r>
        <w:rPr>
          <w:rFonts w:ascii="Cambria Math" w:hAnsi="Cambria Math"/>
          <w:i w:val="0"/>
          <w:sz w:val="23"/>
          <w:vertAlign w:val="subscript"/>
        </w:rPr>
        <w:t>δ</w:t>
      </w:r>
      <w:r>
        <w:rPr>
          <w:rFonts w:ascii="Cambria Math" w:hAnsi="Cambria Math"/>
          <w:i w:val="0"/>
          <w:sz w:val="23"/>
        </w:rPr>
        <w:t>(z),  h</w:t>
      </w:r>
      <w:r>
        <w:rPr>
          <w:rFonts w:ascii="Cambria Math" w:hAnsi="Cambria Math"/>
          <w:i w:val="0"/>
          <w:sz w:val="23"/>
          <w:vertAlign w:val="subscript"/>
        </w:rPr>
        <w:t>δ</w:t>
      </w:r>
      <w:r>
        <w:rPr>
          <w:rFonts w:ascii="Cambria Math" w:hAnsi="Cambria Math"/>
          <w:i w:val="0"/>
          <w:sz w:val="23"/>
        </w:rPr>
        <w:t>(z),  S</w:t>
      </w:r>
      <w:r>
        <w:rPr>
          <w:rFonts w:ascii="Cambria Math" w:hAnsi="Cambria Math"/>
          <w:i w:val="0"/>
          <w:sz w:val="23"/>
          <w:vertAlign w:val="subscript"/>
        </w:rPr>
        <w:t>C,δ</w:t>
      </w:r>
      <w:r>
        <w:rPr>
          <w:rFonts w:ascii="Cambria Math" w:hAnsi="Cambria Math"/>
          <w:i w:val="0"/>
          <w:sz w:val="23"/>
        </w:rPr>
        <w:t>(z) )</w:t>
      </w:r>
      <w:r>
        <w:rPr>
          <w:rFonts w:ascii="Times New Roman" w:hAnsi="Times New Roman"/>
          <w:i/>
          <w:color w:val="666666"/>
          <w:sz w:val="19"/>
        </w:rPr>
        <w:t xml:space="preserve">    candidate typed differential diagnostic</w:t>
      </w:r>
    </w:p>
    <w:p>
      <w:pPr>
        <w:pStyle w:val="BodyText"/>
      </w:pPr>
      <w:r>
        <w:rPr>
          <w:rFonts w:ascii="Times New Roman" w:hAnsi="Times New Roman"/>
          <w:sz w:val="22"/>
        </w:rPr>
        <w:t>The terms have different jobs. ∇_δv_δ records local finite-scale change in the downstream routing field. curl_δv_δ records local circulation. Δ_SAVER,δ is a typed mismatch vector rather than a single scalar score. H_δ records whether accepted corrections remain HELD. h_δ is the non-sovereignty condition. S_C,δ is the L²_C preservation relation.</w:t>
      </w:r>
    </w:p>
    <w:p>
      <w:pPr>
        <w:pStyle w:val="Heading2"/>
      </w:pPr>
      <w:r>
        <w:t>3.1 Typed preservation rather than one aggregate score</w:t>
      </w:r>
    </w:p>
    <w:p>
      <w:pPr>
        <w:pStyle w:val="BodyText"/>
      </w:pPr>
      <w:r>
        <w:rPr>
          <w:rFonts w:ascii="Times New Roman" w:hAnsi="Times New Roman"/>
          <w:sz w:val="22"/>
        </w:rPr>
        <w:t>To preserve source identity and authority, the five SAVER coordinates should not be silently reduced to one similarity score. The present proposal is to keep a componentwise defect vector:</w:t>
      </w:r>
    </w:p>
    <w:p>
      <w:pPr>
        <w:spacing w:before="100" w:after="100"/>
        <w:jc w:val="center"/>
      </w:pPr>
      <w:r>
        <w:rPr>
          <w:rFonts w:ascii="Cambria Math" w:hAnsi="Cambria Math"/>
          <w:i w:val="0"/>
          <w:sz w:val="23"/>
        </w:rPr>
        <w:t>Δ</w:t>
      </w:r>
      <w:r>
        <w:rPr>
          <w:rFonts w:ascii="Cambria Math" w:hAnsi="Cambria Math"/>
          <w:i w:val="0"/>
          <w:sz w:val="23"/>
          <w:vertAlign w:val="subscript"/>
        </w:rPr>
        <w:t>SAVER</w:t>
      </w:r>
      <w:r>
        <w:rPr>
          <w:rFonts w:ascii="Cambria Math" w:hAnsi="Cambria Math"/>
          <w:i w:val="0"/>
          <w:sz w:val="23"/>
        </w:rPr>
        <w:t xml:space="preserve"> = (d</w:t>
      </w:r>
      <w:r>
        <w:rPr>
          <w:rFonts w:ascii="Cambria Math" w:hAnsi="Cambria Math"/>
          <w:i w:val="0"/>
          <w:sz w:val="23"/>
          <w:vertAlign w:val="subscript"/>
        </w:rPr>
        <w:t>Sem</w:t>
      </w:r>
      <w:r>
        <w:rPr>
          <w:rFonts w:ascii="Cambria Math" w:hAnsi="Cambria Math"/>
          <w:i w:val="0"/>
          <w:sz w:val="23"/>
        </w:rPr>
        <w:t>, d</w:t>
      </w:r>
      <w:r>
        <w:rPr>
          <w:rFonts w:ascii="Cambria Math" w:hAnsi="Cambria Math"/>
          <w:i w:val="0"/>
          <w:sz w:val="23"/>
          <w:vertAlign w:val="subscript"/>
        </w:rPr>
        <w:t>Auth</w:t>
      </w:r>
      <w:r>
        <w:rPr>
          <w:rFonts w:ascii="Cambria Math" w:hAnsi="Cambria Math"/>
          <w:i w:val="0"/>
          <w:sz w:val="23"/>
        </w:rPr>
        <w:t>, d</w:t>
      </w:r>
      <w:r>
        <w:rPr>
          <w:rFonts w:ascii="Cambria Math" w:hAnsi="Cambria Math"/>
          <w:i w:val="0"/>
          <w:sz w:val="23"/>
          <w:vertAlign w:val="subscript"/>
        </w:rPr>
        <w:t>Vis</w:t>
      </w:r>
      <w:r>
        <w:rPr>
          <w:rFonts w:ascii="Cambria Math" w:hAnsi="Cambria Math"/>
          <w:i w:val="0"/>
          <w:sz w:val="23"/>
        </w:rPr>
        <w:t>, d</w:t>
      </w:r>
      <w:r>
        <w:rPr>
          <w:rFonts w:ascii="Cambria Math" w:hAnsi="Cambria Math"/>
          <w:i w:val="0"/>
          <w:sz w:val="23"/>
          <w:vertAlign w:val="subscript"/>
        </w:rPr>
        <w:t>Enf</w:t>
      </w:r>
      <w:r>
        <w:rPr>
          <w:rFonts w:ascii="Cambria Math" w:hAnsi="Cambria Math"/>
          <w:i w:val="0"/>
          <w:sz w:val="23"/>
        </w:rPr>
        <w:t>, d</w:t>
      </w:r>
      <w:r>
        <w:rPr>
          <w:rFonts w:ascii="Cambria Math" w:hAnsi="Cambria Math"/>
          <w:i w:val="0"/>
          <w:sz w:val="23"/>
          <w:vertAlign w:val="subscript"/>
        </w:rPr>
        <w:t>Ret</w:t>
      </w:r>
      <w:r>
        <w:rPr>
          <w:rFonts w:ascii="Cambria Math" w:hAnsi="Cambria Math"/>
          <w:i w:val="0"/>
          <w:sz w:val="23"/>
        </w:rPr>
        <w:t>)</w:t>
      </w:r>
      <w:r>
        <w:rPr>
          <w:rFonts w:ascii="Times New Roman" w:hAnsi="Times New Roman"/>
          <w:i/>
          <w:color w:val="666666"/>
          <w:sz w:val="19"/>
        </w:rPr>
        <w:t xml:space="preserve">    typed defect vector</w:t>
      </w:r>
    </w:p>
    <w:p>
      <w:pPr>
        <w:pStyle w:val="BodyText"/>
      </w:pPr>
      <w:r>
        <w:rPr>
          <w:rFonts w:ascii="Times New Roman" w:hAnsi="Times New Roman"/>
          <w:sz w:val="22"/>
        </w:rPr>
        <w:t>A run is admissible only if every declared component condition is satisfied. This preserves the possibility that semantics remain close while authority or retention fails—a distinction that a single aggregate score could hide.</w:t>
      </w:r>
    </w:p>
    <w:p>
      <w:pPr>
        <w:pStyle w:val="Heading2"/>
      </w:pPr>
      <w:r>
        <w:t>3.2 Admissibility gate</w:t>
      </w:r>
    </w:p>
    <w:p>
      <w:pPr>
        <w:spacing w:before="100" w:after="100"/>
        <w:jc w:val="center"/>
      </w:pPr>
      <w:r>
        <w:rPr>
          <w:rFonts w:ascii="Cambria Math" w:hAnsi="Cambria Math"/>
          <w:i w:val="0"/>
          <w:sz w:val="23"/>
        </w:rPr>
        <w:t>Adm</w:t>
      </w:r>
      <w:r>
        <w:rPr>
          <w:rFonts w:ascii="Cambria Math" w:hAnsi="Cambria Math"/>
          <w:i w:val="0"/>
          <w:sz w:val="23"/>
          <w:vertAlign w:val="subscript"/>
        </w:rPr>
        <w:t>δ</w:t>
      </w:r>
      <w:r>
        <w:rPr>
          <w:rFonts w:ascii="Cambria Math" w:hAnsi="Cambria Math"/>
          <w:i w:val="0"/>
          <w:sz w:val="23"/>
        </w:rPr>
        <w:t>(z) = 1  iff  [h</w:t>
      </w:r>
      <w:r>
        <w:rPr>
          <w:rFonts w:ascii="Cambria Math" w:hAnsi="Cambria Math"/>
          <w:i w:val="0"/>
          <w:sz w:val="23"/>
          <w:vertAlign w:val="subscript"/>
        </w:rPr>
        <w:t>δ</w:t>
      </w:r>
      <w:r>
        <w:rPr>
          <w:rFonts w:ascii="Cambria Math" w:hAnsi="Cambria Math"/>
          <w:i w:val="0"/>
          <w:sz w:val="23"/>
        </w:rPr>
        <w:t>(z) &lt; 1] ∧ [L²</w:t>
      </w:r>
      <w:r>
        <w:rPr>
          <w:rFonts w:ascii="Cambria Math" w:hAnsi="Cambria Math"/>
          <w:i w:val="0"/>
          <w:sz w:val="23"/>
          <w:vertAlign w:val="subscript"/>
        </w:rPr>
        <w:t>C</w:t>
      </w:r>
      <w:r>
        <w:rPr>
          <w:rFonts w:ascii="Cambria Math" w:hAnsi="Cambria Math"/>
          <w:i w:val="0"/>
          <w:sz w:val="23"/>
        </w:rPr>
        <w:t xml:space="preserve"> preserved] ∧ [HELD corrections retained] ∧ [SAVER conditions satisfied]</w:t>
      </w:r>
    </w:p>
    <w:p>
      <w:pPr>
        <w:pStyle w:val="BodyText"/>
      </w:pPr>
      <w:r>
        <w:rPr>
          <w:rFonts w:ascii="Times New Roman" w:hAnsi="Times New Roman"/>
          <w:sz w:val="22"/>
        </w:rPr>
        <w:t>The operator can be evaluated even when admissibility fails; failure is itself an observation. h &lt; 1 is therefore a gate on accepted system behavior, not a term inside curl. Likewise, L²_C constrains preservation but is not used to redefine the mathematics of Del or curl.</w:t>
      </w:r>
    </w:p>
    <w:p>
      <w:pPr>
        <w:pStyle w:val="Heading1"/>
      </w:pPr>
      <w:r>
        <w:t>4. Proposed Definition of SIUS</w:t>
      </w:r>
    </w:p>
    <w:p>
      <w:pPr>
        <w:pStyle w:val="BodyText"/>
      </w:pPr>
      <w:r>
        <w:rPr>
          <w:rFonts w:ascii="Times New Roman" w:hAnsi="Times New Roman"/>
          <w:sz w:val="22"/>
        </w:rPr>
        <w:t>Let a finite run be observed at a fine scale δ and a coarse scale ρ. SIUS is evaluated only after the experiment has specified (i) a coarse stagnation tolerance η_ρ, (ii) a minimum fine-scale activity threshold μ_δ, (iii) the SAVER preservation predicates, (iv) the h &lt; 1 interpretation, and (v) the measurable C and D quantities used by L²_C.</w:t>
      </w:r>
    </w:p>
    <w:tbl>
      <w:tblPr>
        <w:tblW w:type="auto" w:w="0"/>
        <w:jc w:val="center"/>
        <w:tblLayout w:type="autofit"/>
        <w:tblLook w:firstColumn="1" w:firstRow="1" w:lastColumn="0" w:lastRow="0" w:noHBand="0" w:noVBand="1" w:val="04A0"/>
      </w:tblPr>
      <w:tblGrid>
        <w:gridCol w:w="9648"/>
      </w:tblGrid>
      <w:tr>
        <w:trPr>
          <w:tblHeader w:val="true"/>
          <w:cantSplit/>
        </w:trPr>
        <w:tc>
          <w:tcPr>
            <w:tcW w:type="dxa" w:w="9648"/>
            <w:shd w:fill="EEF5F2"/>
            <w:tcBorders>
              <w:top w:val="single" w:sz="8" w:color="1F6F5C"/>
              <w:left w:val="single" w:sz="8" w:color="1F6F5C"/>
              <w:bottom w:val="single" w:sz="8" w:color="1F6F5C"/>
              <w:right w:val="single" w:sz="8" w:color="1F6F5C"/>
            </w:tcBorders>
            <w:vAlign w:val="center"/>
          </w:tcPr>
          <w:p>
            <w:pPr>
              <w:spacing w:after="0"/>
            </w:pPr>
            <w:r>
              <w:rPr>
                <w:rFonts w:ascii="Times New Roman" w:hAnsi="Times New Roman"/>
                <w:b/>
                <w:color w:val="1F6F5C"/>
                <w:sz w:val="21"/>
              </w:rPr>
              <w:t>Proposed Definition (SIUS at scales δ, ρ).</w:t>
              <w:br/>
            </w:r>
            <w:r>
              <w:rPr>
                <w:rFonts w:ascii="Times New Roman" w:hAnsi="Times New Roman"/>
                <w:sz w:val="21"/>
              </w:rPr>
              <w:t>A run satisfies SIUS if: (1) coarse progress is within the declared stagnation tolerance; (2) fine-scale activity is nonzero by the declared activity functional; (3) each accepted correction remains attached to its source/authority lineage at every admissible downstream descendant and tested scale unless explicitly superseded; (4) the SAVER preservation predicates remain satisfied; (5) h &lt; 1 holds for the evaluator relation; and (6) the declared L²_C preservation condition remains satisfied.</w:t>
            </w:r>
          </w:p>
        </w:tc>
      </w:tr>
    </w:tbl>
    <w:p>
      <w:pPr>
        <w:spacing w:after="0"/>
      </w:pPr>
    </w:p>
    <w:p>
      <w:pPr>
        <w:spacing w:before="100" w:after="100"/>
        <w:jc w:val="center"/>
      </w:pPr>
      <w:r>
        <w:rPr>
          <w:rFonts w:ascii="Cambria Math" w:hAnsi="Cambria Math"/>
          <w:i w:val="0"/>
          <w:sz w:val="23"/>
        </w:rPr>
        <w:t>SIUS</w:t>
      </w:r>
      <w:r>
        <w:rPr>
          <w:rFonts w:ascii="Cambria Math" w:hAnsi="Cambria Math"/>
          <w:i w:val="0"/>
          <w:sz w:val="23"/>
          <w:vertAlign w:val="subscript"/>
        </w:rPr>
        <w:t>δ,ρ</w:t>
      </w:r>
      <w:r>
        <w:rPr>
          <w:rFonts w:ascii="Cambria Math" w:hAnsi="Cambria Math"/>
          <w:i w:val="0"/>
          <w:sz w:val="23"/>
        </w:rPr>
        <w:t xml:space="preserve"> = Stag</w:t>
      </w:r>
      <w:r>
        <w:rPr>
          <w:rFonts w:ascii="Cambria Math" w:hAnsi="Cambria Math"/>
          <w:i w:val="0"/>
          <w:sz w:val="23"/>
          <w:vertAlign w:val="subscript"/>
        </w:rPr>
        <w:t>ρ</w:t>
      </w:r>
      <w:r>
        <w:rPr>
          <w:rFonts w:ascii="Cambria Math" w:hAnsi="Cambria Math"/>
          <w:i w:val="0"/>
          <w:sz w:val="23"/>
        </w:rPr>
        <w:t xml:space="preserve"> ∧ Active</w:t>
      </w:r>
      <w:r>
        <w:rPr>
          <w:rFonts w:ascii="Cambria Math" w:hAnsi="Cambria Math"/>
          <w:i w:val="0"/>
          <w:sz w:val="23"/>
          <w:vertAlign w:val="subscript"/>
        </w:rPr>
        <w:t>δ</w:t>
      </w:r>
      <w:r>
        <w:rPr>
          <w:rFonts w:ascii="Cambria Math" w:hAnsi="Cambria Math"/>
          <w:i w:val="0"/>
          <w:sz w:val="23"/>
        </w:rPr>
        <w:t xml:space="preserve"> ∧ HELD</w:t>
      </w:r>
      <w:r>
        <w:rPr>
          <w:rFonts w:ascii="Cambria Math" w:hAnsi="Cambria Math"/>
          <w:i w:val="0"/>
          <w:sz w:val="23"/>
          <w:vertAlign w:val="subscript"/>
        </w:rPr>
        <w:t>δ,ρ</w:t>
      </w:r>
      <w:r>
        <w:rPr>
          <w:rFonts w:ascii="Cambria Math" w:hAnsi="Cambria Math"/>
          <w:i w:val="0"/>
          <w:sz w:val="23"/>
        </w:rPr>
        <w:t xml:space="preserve"> ∧ SAVER</w:t>
      </w:r>
      <w:r>
        <w:rPr>
          <w:rFonts w:ascii="Cambria Math" w:hAnsi="Cambria Math"/>
          <w:i w:val="0"/>
          <w:sz w:val="23"/>
          <w:vertAlign w:val="subscript"/>
        </w:rPr>
        <w:t>δ,ρ</w:t>
      </w:r>
      <w:r>
        <w:rPr>
          <w:rFonts w:ascii="Cambria Math" w:hAnsi="Cambria Math"/>
          <w:i w:val="0"/>
          <w:sz w:val="23"/>
        </w:rPr>
        <w:t xml:space="preserve"> ∧ (h &lt; 1) ∧ L²</w:t>
      </w:r>
      <w:r>
        <w:rPr>
          <w:rFonts w:ascii="Cambria Math" w:hAnsi="Cambria Math"/>
          <w:i w:val="0"/>
          <w:sz w:val="23"/>
          <w:vertAlign w:val="subscript"/>
        </w:rPr>
        <w:t>C</w:t>
      </w:r>
      <w:r>
        <w:rPr>
          <w:rFonts w:ascii="Times New Roman" w:hAnsi="Times New Roman"/>
          <w:i/>
          <w:color w:val="666666"/>
          <w:sz w:val="19"/>
        </w:rPr>
        <w:t xml:space="preserve">    compact test predicate</w:t>
      </w:r>
    </w:p>
    <w:p>
      <w:pPr>
        <w:pStyle w:val="Heading2"/>
      </w:pPr>
      <w:r>
        <w:t>4.1 L²_C preservation form</w:t>
      </w:r>
    </w:p>
    <w:p>
      <w:pPr>
        <w:pStyle w:val="BodyText"/>
      </w:pPr>
      <w:r>
        <w:rPr>
          <w:rFonts w:ascii="Times New Roman" w:hAnsi="Times New Roman"/>
          <w:sz w:val="22"/>
        </w:rPr>
        <w:t>The working L²_C relation remains S_C = C² − D. Because C and D do not yet have finalized empirical measurement maps in this SIUS testbed, the manuscript does not assign arbitrary numerical thresholds. A practical experiment should declare a preservation rule before execution, for example a bounded degradation relative to the initial state:</w:t>
      </w:r>
    </w:p>
    <w:p>
      <w:pPr>
        <w:spacing w:before="100" w:after="100"/>
        <w:jc w:val="center"/>
      </w:pPr>
      <w:r>
        <w:rPr>
          <w:rFonts w:ascii="Cambria Math" w:hAnsi="Cambria Math"/>
          <w:i w:val="0"/>
          <w:sz w:val="23"/>
        </w:rPr>
        <w:t>S</w:t>
      </w:r>
      <w:r>
        <w:rPr>
          <w:rFonts w:ascii="Cambria Math" w:hAnsi="Cambria Math"/>
          <w:i w:val="0"/>
          <w:sz w:val="23"/>
          <w:vertAlign w:val="subscript"/>
        </w:rPr>
        <w:t>C,t</w:t>
      </w:r>
      <w:r>
        <w:rPr>
          <w:rFonts w:ascii="Cambria Math" w:hAnsi="Cambria Math"/>
          <w:i w:val="0"/>
          <w:sz w:val="23"/>
        </w:rPr>
        <w:t xml:space="preserve"> ≥ S</w:t>
      </w:r>
      <w:r>
        <w:rPr>
          <w:rFonts w:ascii="Cambria Math" w:hAnsi="Cambria Math"/>
          <w:i w:val="0"/>
          <w:sz w:val="23"/>
          <w:vertAlign w:val="subscript"/>
        </w:rPr>
        <w:t>C,0</w:t>
      </w:r>
      <w:r>
        <w:rPr>
          <w:rFonts w:ascii="Cambria Math" w:hAnsi="Cambria Math"/>
          <w:i w:val="0"/>
          <w:sz w:val="23"/>
        </w:rPr>
        <w:t xml:space="preserve"> − ε</w:t>
      </w:r>
      <w:r>
        <w:rPr>
          <w:rFonts w:ascii="Cambria Math" w:hAnsi="Cambria Math"/>
          <w:i w:val="0"/>
          <w:sz w:val="23"/>
          <w:vertAlign w:val="subscript"/>
        </w:rPr>
        <w:t>S</w:t>
      </w:r>
      <w:r>
        <w:rPr>
          <w:rFonts w:ascii="Times New Roman" w:hAnsi="Times New Roman"/>
          <w:i/>
          <w:color w:val="666666"/>
          <w:sz w:val="19"/>
        </w:rPr>
        <w:t xml:space="preserve">    example preservation rule; ε_S must be declared, not fitted after the run</w:t>
      </w:r>
    </w:p>
    <w:p>
      <w:pPr>
        <w:pStyle w:val="Heading1"/>
      </w:pPr>
      <w:r>
        <w:t>5. Multiscale Scaffold from Sticky Kakeya Geometry</w:t>
      </w:r>
    </w:p>
    <w:p>
      <w:pPr>
        <w:pStyle w:val="BodyText"/>
      </w:pPr>
      <w:r>
        <w:rPr>
          <w:rFonts w:ascii="Times New Roman" w:hAnsi="Times New Roman"/>
          <w:sz w:val="22"/>
        </w:rPr>
        <w:t>The Perron/sticky-set construction is used here as a finite multiscale scaffold, not as a proof of the operator. Katz, Łaba, and Tao identified stickiness, planiness, and graininess as structural properties in near-extremal Besicovitch configurations [2]. Wang and Zahl formalized sticky Kakeya sets and proved the sticky Kakeya conjecture in R³; their exposition describes fine 1×δ tubes arranging into coarse 1×ρ tubes and emphasizes approximate multiscale self-similarity [1]. In their three-dimensional analysis, local pieces can be organized into rectangular grains, and the fine tubes inside a coarse tube can be anisotropically rescaled to a comparable fine-scale configuration [1].</w:t>
      </w:r>
    </w:p>
    <w:p>
      <w:pPr>
        <w:jc w:val="center"/>
      </w:pPr>
      <w:r>
        <w:drawing>
          <wp:inline xmlns:a="http://schemas.openxmlformats.org/drawingml/2006/main" xmlns:pic="http://schemas.openxmlformats.org/drawingml/2006/picture">
            <wp:extent cx="6126480" cy="1557386"/>
            <wp:docPr id="2" name="Picture 2"/>
            <wp:cNvGraphicFramePr>
              <a:graphicFrameLocks noChangeAspect="1"/>
            </wp:cNvGraphicFramePr>
            <a:graphic>
              <a:graphicData uri="http://schemas.openxmlformats.org/drawingml/2006/picture">
                <pic:pic>
                  <pic:nvPicPr>
                    <pic:cNvPr id="0" name="sius_figure2_multiscale.png"/>
                    <pic:cNvPicPr/>
                  </pic:nvPicPr>
                  <pic:blipFill>
                    <a:blip r:embed="rId12"/>
                    <a:stretch>
                      <a:fillRect/>
                    </a:stretch>
                  </pic:blipFill>
                  <pic:spPr>
                    <a:xfrm>
                      <a:off x="0" y="0"/>
                      <a:ext cx="6126480" cy="1557386"/>
                    </a:xfrm>
                    <a:prstGeom prst="rect"/>
                  </pic:spPr>
                </pic:pic>
              </a:graphicData>
            </a:graphic>
          </wp:inline>
        </w:drawing>
      </w:r>
    </w:p>
    <w:p>
      <w:pPr>
        <w:spacing w:before="40" w:after="160"/>
        <w:jc w:val="center"/>
      </w:pPr>
      <w:r>
        <w:rPr>
          <w:rFonts w:ascii="Times New Roman" w:hAnsi="Times New Roman"/>
          <w:i/>
          <w:color w:val="666666"/>
          <w:sz w:val="19"/>
        </w:rPr>
        <w:t>Figure 2. Four-stage scale scaffold used in the SIUS testbed: fine δ structure, coarse ρ parent structure, localization to one parent, and rescaling to δ/ρ.</w:t>
      </w:r>
    </w:p>
    <w:p>
      <w:pPr>
        <w:pStyle w:val="Heading2"/>
      </w:pPr>
      <w:r>
        <w:t>5.1 Operator evaluation across the four stages</w:t>
      </w:r>
    </w:p>
    <w:p>
      <w:pPr>
        <w:pStyle w:val="BodyText"/>
      </w:pPr>
      <w:r>
        <w:rPr>
          <w:rFonts w:ascii="Times New Roman" w:hAnsi="Times New Roman"/>
          <w:sz w:val="22"/>
        </w:rPr>
        <w:t>The four-stage animation now has a direct experimental interpretation. The same correction and safeguard lineage is checked at each observed scale rather than assumed to survive coarsening automatically:</w:t>
      </w:r>
    </w:p>
    <w:p>
      <w:pPr>
        <w:pStyle w:val="ListBullet"/>
        <w:spacing w:after="40"/>
      </w:pPr>
      <w:r>
        <w:rPr>
          <w:rFonts w:ascii="Times New Roman" w:hAnsi="Times New Roman"/>
          <w:sz w:val="22"/>
        </w:rPr>
        <w:t>Stage 1 — Fine δ: evaluate directional finite differences and local grain integrity at the finest available resolution.</w:t>
      </w:r>
    </w:p>
    <w:p>
      <w:pPr>
        <w:pStyle w:val="ListBullet"/>
        <w:spacing w:after="40"/>
      </w:pPr>
      <w:r>
        <w:rPr>
          <w:rFonts w:ascii="Times New Roman" w:hAnsi="Times New Roman"/>
          <w:sz w:val="22"/>
        </w:rPr>
        <w:t>Stage 2 — Coarse ρ: group fine directions into parent tubes/grains and test whether source identity, authority, visibility, enforceability, and retention survive the coarse representation.</w:t>
      </w:r>
    </w:p>
    <w:p>
      <w:pPr>
        <w:pStyle w:val="ListBullet"/>
        <w:spacing w:after="40"/>
      </w:pPr>
      <w:r>
        <w:rPr>
          <w:rFonts w:ascii="Times New Roman" w:hAnsi="Times New Roman"/>
          <w:sz w:val="22"/>
        </w:rPr>
        <w:t>Stage 3 — Zoom: isolate one parent object and verify that its internal fine lineage can still be resolved rather than having been semantically or authoritatively merged away.</w:t>
      </w:r>
    </w:p>
    <w:p>
      <w:pPr>
        <w:pStyle w:val="ListBullet"/>
        <w:spacing w:after="40"/>
      </w:pPr>
      <w:r>
        <w:rPr>
          <w:rFonts w:ascii="Times New Roman" w:hAnsi="Times New Roman"/>
          <w:sz w:val="22"/>
        </w:rPr>
        <w:t>Stage 4 — Rescale δ/ρ: evaluate the internal family in normalized coordinates and repeat the operator diagnostics and HELD checks.</w:t>
      </w:r>
    </w:p>
    <w:p>
      <w:pPr>
        <w:pStyle w:val="BodyText"/>
      </w:pPr>
      <w:r>
        <w:rPr>
          <w:rFonts w:ascii="Times New Roman" w:hAnsi="Times New Roman"/>
          <w:sz w:val="22"/>
        </w:rPr>
        <w:t>This structure is analogous to induction-on-scales reasoning only at the level of experimental organization: establish a property at one scale, relate it to a coarser structure, localize, rescale, and retest. The present manuscript does not claim an induction proof or a scale-limit theorem.</w:t>
      </w:r>
    </w:p>
    <w:p>
      <w:pPr>
        <w:pStyle w:val="Heading1"/>
      </w:pPr>
      <w:r>
        <w:t>6. HELD Correction Record</w:t>
      </w:r>
    </w:p>
    <w:tbl>
      <w:tblPr>
        <w:tblW w:type="auto" w:w="0"/>
        <w:jc w:val="center"/>
        <w:tblLayout w:type="autofit"/>
        <w:tblLook w:firstColumn="1" w:firstRow="1" w:lastColumn="0" w:lastRow="0" w:noHBand="0" w:noVBand="1" w:val="04A0"/>
      </w:tblPr>
      <w:tblGrid>
        <w:gridCol w:w="9648"/>
      </w:tblGrid>
      <w:tr>
        <w:trPr>
          <w:tblHeader w:val="true"/>
          <w:cantSplit/>
        </w:trPr>
        <w:tc>
          <w:tcPr>
            <w:tcW w:type="dxa" w:w="9648"/>
            <w:shd w:fill="FFF8E8"/>
            <w:tcBorders>
              <w:top w:val="single" w:sz="8" w:color="9D6B00"/>
              <w:left w:val="single" w:sz="8" w:color="9D6B00"/>
              <w:bottom w:val="single" w:sz="8" w:color="9D6B00"/>
              <w:right w:val="single" w:sz="8" w:color="9D6B00"/>
            </w:tcBorders>
            <w:vAlign w:val="center"/>
          </w:tcPr>
          <w:p>
            <w:pPr>
              <w:spacing w:after="0"/>
            </w:pPr>
            <w:r>
              <w:rPr>
                <w:rFonts w:ascii="Times New Roman" w:hAnsi="Times New Roman"/>
                <w:b/>
                <w:color w:val="9D6B00"/>
                <w:sz w:val="21"/>
              </w:rPr>
              <w:t>HC-AC-01 — HELD.</w:t>
              <w:br/>
            </w:r>
            <w:r>
              <w:rPr>
                <w:rFonts w:ascii="Times New Roman" w:hAnsi="Times New Roman"/>
                <w:sz w:val="21"/>
              </w:rPr>
              <w:t>Analytic continuation was used only as working intuition during development. It is not a derivation source, named Kakeyalogic object, continuation operator, reclaim operator, or formal abstraction in this manuscript. The formal vocabulary remains finite-scale Del/difference operators, local circulation/curl, SAVER, h &lt; 1, L²_C, SIUS, and the explicit multiscale grain scaffold.</w:t>
            </w:r>
          </w:p>
        </w:tc>
      </w:tr>
    </w:tbl>
    <w:p>
      <w:pPr>
        <w:spacing w:after="0"/>
      </w:pP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cantSplit/>
        </w:trPr>
        <w:tc>
          <w:tcPr>
            <w:tcW w:type="dxa" w:w="2412"/>
            <w:shd w:fill="F4EEDB"/>
          </w:tcPr>
          <w:p>
            <w:r>
              <w:rPr>
                <w:rFonts w:ascii="Times New Roman" w:hAnsi="Times New Roman"/>
                <w:b/>
                <w:sz w:val="18"/>
              </w:rPr>
              <w:t>ID</w:t>
            </w:r>
          </w:p>
        </w:tc>
        <w:tc>
          <w:tcPr>
            <w:tcW w:type="dxa" w:w="2412"/>
            <w:shd w:fill="F4EEDB"/>
          </w:tcPr>
          <w:p>
            <w:r>
              <w:rPr>
                <w:rFonts w:ascii="Times New Roman" w:hAnsi="Times New Roman"/>
                <w:b/>
                <w:sz w:val="18"/>
              </w:rPr>
              <w:t>Correction</w:t>
            </w:r>
          </w:p>
        </w:tc>
        <w:tc>
          <w:tcPr>
            <w:tcW w:type="dxa" w:w="2412"/>
            <w:shd w:fill="F4EEDB"/>
          </w:tcPr>
          <w:p>
            <w:r>
              <w:rPr>
                <w:rFonts w:ascii="Times New Roman" w:hAnsi="Times New Roman"/>
                <w:b/>
                <w:sz w:val="18"/>
              </w:rPr>
              <w:t>Status</w:t>
            </w:r>
          </w:p>
        </w:tc>
        <w:tc>
          <w:tcPr>
            <w:tcW w:type="dxa" w:w="2412"/>
            <w:shd w:fill="F4EEDB"/>
          </w:tcPr>
          <w:p>
            <w:r>
              <w:rPr>
                <w:rFonts w:ascii="Times New Roman" w:hAnsi="Times New Roman"/>
                <w:b/>
                <w:sz w:val="18"/>
              </w:rPr>
              <w:t>Consequence for this manuscript</w:t>
            </w:r>
          </w:p>
        </w:tc>
      </w:tr>
      <w:tr>
        <w:trPr>
          <w:cantSplit/>
        </w:trPr>
        <w:tc>
          <w:tcPr>
            <w:tcW w:type="dxa" w:w="2412"/>
          </w:tcPr>
          <w:p>
            <w:r>
              <w:rPr>
                <w:rFonts w:ascii="Times New Roman" w:hAnsi="Times New Roman"/>
                <w:sz w:val="17"/>
              </w:rPr>
              <w:t>HC-AC-01</w:t>
            </w:r>
          </w:p>
        </w:tc>
        <w:tc>
          <w:tcPr>
            <w:tcW w:type="dxa" w:w="2412"/>
          </w:tcPr>
          <w:p>
            <w:r>
              <w:rPr>
                <w:rFonts w:ascii="Times New Roman" w:hAnsi="Times New Roman"/>
                <w:sz w:val="17"/>
              </w:rPr>
              <w:t>Analytic continuation is intuition only, not formal Kakeyalogic machinery.</w:t>
            </w:r>
          </w:p>
        </w:tc>
        <w:tc>
          <w:tcPr>
            <w:tcW w:type="dxa" w:w="2412"/>
          </w:tcPr>
          <w:p>
            <w:r>
              <w:rPr>
                <w:rFonts w:ascii="Times New Roman" w:hAnsi="Times New Roman"/>
                <w:sz w:val="17"/>
              </w:rPr>
              <w:t>HELD</w:t>
            </w:r>
          </w:p>
        </w:tc>
        <w:tc>
          <w:tcPr>
            <w:tcW w:type="dxa" w:w="2412"/>
          </w:tcPr>
          <w:p>
            <w:r>
              <w:rPr>
                <w:rFonts w:ascii="Times New Roman" w:hAnsi="Times New Roman"/>
                <w:sz w:val="17"/>
              </w:rPr>
              <w:t>No continuation/reclaim derivation or named object is defined.</w:t>
            </w:r>
          </w:p>
        </w:tc>
      </w:tr>
      <w:tr>
        <w:trPr>
          <w:cantSplit/>
        </w:trPr>
        <w:tc>
          <w:tcPr>
            <w:tcW w:type="dxa" w:w="2412"/>
          </w:tcPr>
          <w:p>
            <w:r>
              <w:rPr>
                <w:rFonts w:ascii="Times New Roman" w:hAnsi="Times New Roman"/>
                <w:sz w:val="17"/>
              </w:rPr>
              <w:t>HC-∇-01</w:t>
            </w:r>
          </w:p>
        </w:tc>
        <w:tc>
          <w:tcPr>
            <w:tcW w:type="dxa" w:w="2412"/>
          </w:tcPr>
          <w:p>
            <w:r>
              <w:rPr>
                <w:rFonts w:ascii="Times New Roman" w:hAnsi="Times New Roman"/>
                <w:sz w:val="17"/>
              </w:rPr>
              <w:t>A segment is not ∇. A segment supplies direction and scale for a finite-difference operator.</w:t>
            </w:r>
          </w:p>
        </w:tc>
        <w:tc>
          <w:tcPr>
            <w:tcW w:type="dxa" w:w="2412"/>
          </w:tcPr>
          <w:p>
            <w:r>
              <w:rPr>
                <w:rFonts w:ascii="Times New Roman" w:hAnsi="Times New Roman"/>
                <w:sz w:val="17"/>
              </w:rPr>
              <w:t>HELD</w:t>
            </w:r>
          </w:p>
        </w:tc>
        <w:tc>
          <w:tcPr>
            <w:tcW w:type="dxa" w:w="2412"/>
          </w:tcPr>
          <w:p>
            <w:r>
              <w:rPr>
                <w:rFonts w:ascii="Times New Roman" w:hAnsi="Times New Roman"/>
                <w:sz w:val="17"/>
              </w:rPr>
              <w:t>The operator is attached to sampled fields, not to bare geometry.</w:t>
            </w:r>
          </w:p>
        </w:tc>
      </w:tr>
      <w:tr>
        <w:trPr>
          <w:cantSplit/>
        </w:trPr>
        <w:tc>
          <w:tcPr>
            <w:tcW w:type="dxa" w:w="2412"/>
          </w:tcPr>
          <w:p>
            <w:r>
              <w:rPr>
                <w:rFonts w:ascii="Times New Roman" w:hAnsi="Times New Roman"/>
                <w:sz w:val="17"/>
              </w:rPr>
              <w:t>HC-CURL-01</w:t>
            </w:r>
          </w:p>
        </w:tc>
        <w:tc>
          <w:tcPr>
            <w:tcW w:type="dxa" w:w="2412"/>
          </w:tcPr>
          <w:p>
            <w:r>
              <w:rPr>
                <w:rFonts w:ascii="Times New Roman" w:hAnsi="Times New Roman"/>
                <w:sz w:val="17"/>
              </w:rPr>
              <w:t>A radial fan alone does not determine 3D curl at A.</w:t>
            </w:r>
          </w:p>
        </w:tc>
        <w:tc>
          <w:tcPr>
            <w:tcW w:type="dxa" w:w="2412"/>
          </w:tcPr>
          <w:p>
            <w:r>
              <w:rPr>
                <w:rFonts w:ascii="Times New Roman" w:hAnsi="Times New Roman"/>
                <w:sz w:val="17"/>
              </w:rPr>
              <w:t>HELD</w:t>
            </w:r>
          </w:p>
        </w:tc>
        <w:tc>
          <w:tcPr>
            <w:tcW w:type="dxa" w:w="2412"/>
          </w:tcPr>
          <w:p>
            <w:r>
              <w:rPr>
                <w:rFonts w:ascii="Times New Roman" w:hAnsi="Times New Roman"/>
                <w:sz w:val="17"/>
              </w:rPr>
              <w:t>Local transverse neighbors/oriented cell loops are required.</w:t>
            </w:r>
          </w:p>
        </w:tc>
      </w:tr>
      <w:tr>
        <w:trPr>
          <w:cantSplit/>
        </w:trPr>
        <w:tc>
          <w:tcPr>
            <w:tcW w:type="dxa" w:w="2412"/>
          </w:tcPr>
          <w:p>
            <w:r>
              <w:rPr>
                <w:rFonts w:ascii="Times New Roman" w:hAnsi="Times New Roman"/>
                <w:sz w:val="17"/>
              </w:rPr>
              <w:t>HC-KAK-01</w:t>
            </w:r>
          </w:p>
        </w:tc>
        <w:tc>
          <w:tcPr>
            <w:tcW w:type="dxa" w:w="2412"/>
          </w:tcPr>
          <w:p>
            <w:r>
              <w:rPr>
                <w:rFonts w:ascii="Times New Roman" w:hAnsi="Times New Roman"/>
                <w:sz w:val="17"/>
              </w:rPr>
              <w:t>Sticky Kakeya results do not validate Kakeyalogic.</w:t>
            </w:r>
          </w:p>
        </w:tc>
        <w:tc>
          <w:tcPr>
            <w:tcW w:type="dxa" w:w="2412"/>
          </w:tcPr>
          <w:p>
            <w:r>
              <w:rPr>
                <w:rFonts w:ascii="Times New Roman" w:hAnsi="Times New Roman"/>
                <w:sz w:val="17"/>
              </w:rPr>
              <w:t>HELD</w:t>
            </w:r>
          </w:p>
        </w:tc>
        <w:tc>
          <w:tcPr>
            <w:tcW w:type="dxa" w:w="2412"/>
          </w:tcPr>
          <w:p>
            <w:r>
              <w:rPr>
                <w:rFonts w:ascii="Times New Roman" w:hAnsi="Times New Roman"/>
                <w:sz w:val="17"/>
              </w:rPr>
              <w:t>They are cited only for multiscale geometry, stickiness, and grain structure.</w:t>
            </w:r>
          </w:p>
        </w:tc>
      </w:tr>
    </w:tbl>
    <w:p>
      <w:pPr>
        <w:pStyle w:val="Heading2"/>
      </w:pPr>
      <w:r>
        <w:t>6.1 HELD correction rule for downstream systems</w:t>
      </w:r>
    </w:p>
    <w:p>
      <w:pPr>
        <w:pStyle w:val="BodyText"/>
      </w:pPr>
      <w:r>
        <w:rPr>
          <w:rFonts w:ascii="Times New Roman" w:hAnsi="Times New Roman"/>
          <w:sz w:val="22"/>
        </w:rPr>
        <w:t>The operational HELD rule can be represented as a provenance requirement rather than as a scalar score. Once a correction κ* is accepted at grain g_k, every admissible downstream descendant that uses the corrected claim must retain the correction, its evidence link, and its authority lineage unless a later correction explicitly supersedes it under the declared authority rules.</w:t>
      </w:r>
    </w:p>
    <w:p>
      <w:pPr>
        <w:spacing w:before="100" w:after="100"/>
        <w:jc w:val="center"/>
      </w:pPr>
      <w:r>
        <w:rPr>
          <w:rFonts w:ascii="Cambria Math" w:hAnsi="Cambria Math"/>
          <w:i w:val="0"/>
          <w:sz w:val="23"/>
        </w:rPr>
        <w:t>HELD(κ*; g</w:t>
      </w:r>
      <w:r>
        <w:rPr>
          <w:rFonts w:ascii="Cambria Math" w:hAnsi="Cambria Math"/>
          <w:i w:val="0"/>
          <w:sz w:val="23"/>
          <w:vertAlign w:val="subscript"/>
        </w:rPr>
        <w:t>j</w:t>
      </w:r>
      <w:r>
        <w:rPr>
          <w:rFonts w:ascii="Cambria Math" w:hAnsi="Cambria Math"/>
          <w:i w:val="0"/>
          <w:sz w:val="23"/>
        </w:rPr>
        <w:t>, σ) = 1</w:t>
      </w:r>
      <w:r>
        <w:rPr>
          <w:rFonts w:ascii="Times New Roman" w:hAnsi="Times New Roman"/>
          <w:i/>
          <w:color w:val="666666"/>
          <w:sz w:val="19"/>
        </w:rPr>
        <w:t xml:space="preserve">    for every admissible descendant g_j and tested scale σ after acceptance, unless explicitly superseded</w:t>
      </w:r>
    </w:p>
    <w:p>
      <w:pPr>
        <w:pStyle w:val="BodyText"/>
      </w:pPr>
      <w:r>
        <w:rPr>
          <w:rFonts w:ascii="Times New Roman" w:hAnsi="Times New Roman"/>
          <w:sz w:val="22"/>
        </w:rPr>
        <w:t>A correction is therefore not considered retained merely because the final wording resembles the corrected wording. Retention is typed: the provenance and authority relation must remain recoverable.</w:t>
      </w:r>
    </w:p>
    <w:p>
      <w:pPr>
        <w:pStyle w:val="Heading1"/>
      </w:pPr>
      <w:r>
        <w:t>7. Falsifiable SIUS Test Protocol</w:t>
      </w:r>
    </w:p>
    <w:p>
      <w:pPr>
        <w:pStyle w:val="BodyText"/>
      </w:pPr>
      <w:r>
        <w:rPr>
          <w:rFonts w:ascii="Times New Roman" w:hAnsi="Times New Roman"/>
          <w:sz w:val="22"/>
        </w:rPr>
        <w:t>The following protocol turns the current formulation into a finite experiment. It is designed to produce explicit PASS/FAIL receipts rather than interpretive success claims.</w:t>
      </w:r>
    </w:p>
    <w:p>
      <w:pPr>
        <w:pStyle w:val="ListNumber"/>
        <w:spacing w:after="40"/>
      </w:pPr>
      <w:r>
        <w:rPr>
          <w:rFonts w:ascii="Times New Roman" w:hAnsi="Times New Roman"/>
          <w:sz w:val="22"/>
        </w:rPr>
        <w:t>Choose a finite three-dimensional grain domain Ω_δ, a fine scale δ, and an intermediate coarse scale ρ with δ &lt; ρ.</w:t>
      </w:r>
    </w:p>
    <w:p>
      <w:pPr>
        <w:pStyle w:val="ListNumber"/>
        <w:spacing w:after="40"/>
      </w:pPr>
      <w:r>
        <w:rPr>
          <w:rFonts w:ascii="Times New Roman" w:hAnsi="Times New Roman"/>
          <w:sz w:val="22"/>
        </w:rPr>
        <w:t>Define the parent map Q_ρ that groups fine grains/directions into coarse parents. Record the anisotropic rescaling used for the δ/ρ stage.</w:t>
      </w:r>
    </w:p>
    <w:p>
      <w:pPr>
        <w:pStyle w:val="ListNumber"/>
        <w:spacing w:after="40"/>
      </w:pPr>
      <w:r>
        <w:rPr>
          <w:rFonts w:ascii="Times New Roman" w:hAnsi="Times New Roman"/>
          <w:sz w:val="22"/>
        </w:rPr>
        <w:t>Assign a downstream routing field v_δ or a discrete edge-flow representation. Ensure the local neighborhood around each tested point A contains enough transverse samples to support a curl/circulation estimate.</w:t>
      </w:r>
    </w:p>
    <w:p>
      <w:pPr>
        <w:pStyle w:val="ListNumber"/>
        <w:spacing w:after="40"/>
      </w:pPr>
      <w:r>
        <w:rPr>
          <w:rFonts w:ascii="Times New Roman" w:hAnsi="Times New Roman"/>
          <w:sz w:val="22"/>
        </w:rPr>
        <w:t>Attach a typed SAVER grain Γ = (Sem, Auth, Vis, Enf, Ret) and at least one accepted correction κ* with source, authority, evidence, and supersession fields.</w:t>
      </w:r>
    </w:p>
    <w:p>
      <w:pPr>
        <w:pStyle w:val="ListNumber"/>
        <w:spacing w:after="40"/>
      </w:pPr>
      <w:r>
        <w:rPr>
          <w:rFonts w:ascii="Times New Roman" w:hAnsi="Times New Roman"/>
          <w:sz w:val="22"/>
        </w:rPr>
        <w:t>Induce a stagnation interval in which coarse displacement is below η_ρ while fine activity exceeds μ_δ. Do not define stagnation retrospectively from the observed result.</w:t>
      </w:r>
    </w:p>
    <w:p>
      <w:pPr>
        <w:pStyle w:val="ListNumber"/>
        <w:spacing w:after="40"/>
      </w:pPr>
      <w:r>
        <w:rPr>
          <w:rFonts w:ascii="Times New Roman" w:hAnsi="Times New Roman"/>
          <w:sz w:val="22"/>
        </w:rPr>
        <w:t>Evaluate K_δ at selected grains and record ∇_δv_δ, curl_δv_δ or circulation proxies, SAVER defects, HELD state, h, and L²_C state.</w:t>
      </w:r>
    </w:p>
    <w:p>
      <w:pPr>
        <w:pStyle w:val="ListNumber"/>
        <w:spacing w:after="40"/>
      </w:pPr>
      <w:r>
        <w:rPr>
          <w:rFonts w:ascii="Times New Roman" w:hAnsi="Times New Roman"/>
          <w:sz w:val="22"/>
        </w:rPr>
        <w:t>Repeat the integrity checks after coarse grouping, after isolating one parent, and after δ/ρ rescaling.</w:t>
      </w:r>
    </w:p>
    <w:p>
      <w:pPr>
        <w:pStyle w:val="ListNumber"/>
        <w:spacing w:after="40"/>
      </w:pPr>
      <w:r>
        <w:rPr>
          <w:rFonts w:ascii="Times New Roman" w:hAnsi="Times New Roman"/>
          <w:sz w:val="22"/>
        </w:rPr>
        <w:t>Return FAIL if any accepted correction is silently dropped, reassigned to the wrong authority, made invisible when visibility is required, rendered unenforceable, or retained without its evidence lineage.</w:t>
      </w:r>
    </w:p>
    <w:p>
      <w:pPr>
        <w:pStyle w:val="ListNumber"/>
        <w:spacing w:after="40"/>
      </w:pPr>
      <w:r>
        <w:rPr>
          <w:rFonts w:ascii="Times New Roman" w:hAnsi="Times New Roman"/>
          <w:sz w:val="22"/>
        </w:rPr>
        <w:t>Return FAIL if h ≥ 1 under the declared evaluator relation or if the predeclared L²_C preservation condition is violated.</w:t>
      </w:r>
    </w:p>
    <w:p>
      <w:pPr>
        <w:pStyle w:val="ListNumber"/>
        <w:spacing w:after="40"/>
      </w:pPr>
      <w:r>
        <w:rPr>
          <w:rFonts w:ascii="Times New Roman" w:hAnsi="Times New Roman"/>
          <w:sz w:val="22"/>
        </w:rPr>
        <w:t>Return PASS only for the tested finite configuration and thresholds. Do not infer mathematical compactness, asymptotic scale transfer, or live generative-system performance from the finite result.</w:t>
      </w:r>
    </w:p>
    <w:p>
      <w:pPr>
        <w:pStyle w:val="Heading2"/>
      </w:pPr>
      <w:r>
        <w:t>7.1 Suggested receipt schema</w:t>
      </w:r>
    </w:p>
    <w:tbl>
      <w:tblPr>
        <w:tblStyle w:val="TableGrid"/>
        <w:tblW w:type="auto" w:w="0"/>
        <w:jc w:val="center"/>
        <w:tblLook w:firstColumn="1" w:firstRow="1" w:lastColumn="0" w:lastRow="0" w:noHBand="0" w:noVBand="1" w:val="04A0"/>
      </w:tblPr>
      <w:tblGrid>
        <w:gridCol w:w="4824"/>
        <w:gridCol w:w="4824"/>
      </w:tblGrid>
      <w:tr>
        <w:trPr>
          <w:tblHeader w:val="true"/>
          <w:cantSplit/>
        </w:trPr>
        <w:tc>
          <w:tcPr>
            <w:tcW w:type="dxa" w:w="4824"/>
            <w:shd w:fill="E8F0ED"/>
          </w:tcPr>
          <w:p>
            <w:r>
              <w:rPr>
                <w:rFonts w:ascii="Times New Roman" w:hAnsi="Times New Roman"/>
                <w:b/>
                <w:sz w:val="18"/>
              </w:rPr>
              <w:t>Field</w:t>
            </w:r>
          </w:p>
        </w:tc>
        <w:tc>
          <w:tcPr>
            <w:tcW w:type="dxa" w:w="4824"/>
            <w:shd w:fill="E8F0ED"/>
          </w:tcPr>
          <w:p>
            <w:r>
              <w:rPr>
                <w:rFonts w:ascii="Times New Roman" w:hAnsi="Times New Roman"/>
                <w:b/>
                <w:sz w:val="18"/>
              </w:rPr>
              <w:t>Receipt content</w:t>
            </w:r>
          </w:p>
        </w:tc>
      </w:tr>
      <w:tr>
        <w:trPr>
          <w:cantSplit/>
        </w:trPr>
        <w:tc>
          <w:tcPr>
            <w:tcW w:type="dxa" w:w="4824"/>
          </w:tcPr>
          <w:p>
            <w:r>
              <w:rPr>
                <w:rFonts w:ascii="Times New Roman" w:hAnsi="Times New Roman"/>
                <w:sz w:val="18"/>
              </w:rPr>
              <w:t>run_id</w:t>
            </w:r>
          </w:p>
        </w:tc>
        <w:tc>
          <w:tcPr>
            <w:tcW w:type="dxa" w:w="4824"/>
          </w:tcPr>
          <w:p>
            <w:r>
              <w:rPr>
                <w:rFonts w:ascii="Times New Roman" w:hAnsi="Times New Roman"/>
                <w:sz w:val="18"/>
              </w:rPr>
              <w:t>Unique finite experiment identifier.</w:t>
            </w:r>
          </w:p>
        </w:tc>
      </w:tr>
      <w:tr>
        <w:trPr>
          <w:cantSplit/>
        </w:trPr>
        <w:tc>
          <w:tcPr>
            <w:tcW w:type="dxa" w:w="4824"/>
          </w:tcPr>
          <w:p>
            <w:r>
              <w:rPr>
                <w:rFonts w:ascii="Times New Roman" w:hAnsi="Times New Roman"/>
                <w:sz w:val="18"/>
              </w:rPr>
              <w:t>δ, ρ, δ/ρ</w:t>
            </w:r>
          </w:p>
        </w:tc>
        <w:tc>
          <w:tcPr>
            <w:tcW w:type="dxa" w:w="4824"/>
          </w:tcPr>
          <w:p>
            <w:r>
              <w:rPr>
                <w:rFonts w:ascii="Times New Roman" w:hAnsi="Times New Roman"/>
                <w:sz w:val="18"/>
              </w:rPr>
              <w:t>Declared tested scales.</w:t>
            </w:r>
          </w:p>
        </w:tc>
      </w:tr>
      <w:tr>
        <w:trPr>
          <w:cantSplit/>
        </w:trPr>
        <w:tc>
          <w:tcPr>
            <w:tcW w:type="dxa" w:w="4824"/>
          </w:tcPr>
          <w:p>
            <w:r>
              <w:rPr>
                <w:rFonts w:ascii="Times New Roman" w:hAnsi="Times New Roman"/>
                <w:sz w:val="18"/>
              </w:rPr>
              <w:t>stagnation rule</w:t>
            </w:r>
          </w:p>
        </w:tc>
        <w:tc>
          <w:tcPr>
            <w:tcW w:type="dxa" w:w="4824"/>
          </w:tcPr>
          <w:p>
            <w:r>
              <w:rPr>
                <w:rFonts w:ascii="Times New Roman" w:hAnsi="Times New Roman"/>
                <w:sz w:val="18"/>
              </w:rPr>
              <w:t>Q_ρ, η_ρ, and the start/end state.</w:t>
            </w:r>
          </w:p>
        </w:tc>
      </w:tr>
      <w:tr>
        <w:trPr>
          <w:cantSplit/>
        </w:trPr>
        <w:tc>
          <w:tcPr>
            <w:tcW w:type="dxa" w:w="4824"/>
          </w:tcPr>
          <w:p>
            <w:r>
              <w:rPr>
                <w:rFonts w:ascii="Times New Roman" w:hAnsi="Times New Roman"/>
                <w:sz w:val="18"/>
              </w:rPr>
              <w:t>activity rule</w:t>
            </w:r>
          </w:p>
        </w:tc>
        <w:tc>
          <w:tcPr>
            <w:tcW w:type="dxa" w:w="4824"/>
          </w:tcPr>
          <w:p>
            <w:r>
              <w:rPr>
                <w:rFonts w:ascii="Times New Roman" w:hAnsi="Times New Roman"/>
                <w:sz w:val="18"/>
              </w:rPr>
              <w:t>A_δ and μ_δ.</w:t>
            </w:r>
          </w:p>
        </w:tc>
      </w:tr>
      <w:tr>
        <w:trPr>
          <w:cantSplit/>
        </w:trPr>
        <w:tc>
          <w:tcPr>
            <w:tcW w:type="dxa" w:w="4824"/>
          </w:tcPr>
          <w:p>
            <w:r>
              <w:rPr>
                <w:rFonts w:ascii="Times New Roman" w:hAnsi="Times New Roman"/>
                <w:sz w:val="18"/>
              </w:rPr>
              <w:t>point / cell</w:t>
            </w:r>
          </w:p>
        </w:tc>
        <w:tc>
          <w:tcPr>
            <w:tcW w:type="dxa" w:w="4824"/>
          </w:tcPr>
          <w:p>
            <w:r>
              <w:rPr>
                <w:rFonts w:ascii="Times New Roman" w:hAnsi="Times New Roman"/>
                <w:sz w:val="18"/>
              </w:rPr>
              <w:t>A and the local stencil or oriented loop used for curl.</w:t>
            </w:r>
          </w:p>
        </w:tc>
      </w:tr>
      <w:tr>
        <w:trPr>
          <w:cantSplit/>
        </w:trPr>
        <w:tc>
          <w:tcPr>
            <w:tcW w:type="dxa" w:w="4824"/>
          </w:tcPr>
          <w:p>
            <w:r>
              <w:rPr>
                <w:rFonts w:ascii="Times New Roman" w:hAnsi="Times New Roman"/>
                <w:sz w:val="18"/>
              </w:rPr>
              <w:t>correction_id</w:t>
            </w:r>
          </w:p>
        </w:tc>
        <w:tc>
          <w:tcPr>
            <w:tcW w:type="dxa" w:w="4824"/>
          </w:tcPr>
          <w:p>
            <w:r>
              <w:rPr>
                <w:rFonts w:ascii="Times New Roman" w:hAnsi="Times New Roman"/>
                <w:sz w:val="18"/>
              </w:rPr>
              <w:t>κ*, source, authority, evidence, acceptance time, supersession link.</w:t>
            </w:r>
          </w:p>
        </w:tc>
      </w:tr>
      <w:tr>
        <w:trPr>
          <w:cantSplit/>
        </w:trPr>
        <w:tc>
          <w:tcPr>
            <w:tcW w:type="dxa" w:w="4824"/>
          </w:tcPr>
          <w:p>
            <w:r>
              <w:rPr>
                <w:rFonts w:ascii="Times New Roman" w:hAnsi="Times New Roman"/>
                <w:sz w:val="18"/>
              </w:rPr>
              <w:t>SAVER result</w:t>
            </w:r>
          </w:p>
        </w:tc>
        <w:tc>
          <w:tcPr>
            <w:tcW w:type="dxa" w:w="4824"/>
          </w:tcPr>
          <w:p>
            <w:r>
              <w:rPr>
                <w:rFonts w:ascii="Times New Roman" w:hAnsi="Times New Roman"/>
                <w:sz w:val="18"/>
              </w:rPr>
              <w:t>Five typed outcomes; no silent scalar collapse.</w:t>
            </w:r>
          </w:p>
        </w:tc>
      </w:tr>
      <w:tr>
        <w:trPr>
          <w:cantSplit/>
        </w:trPr>
        <w:tc>
          <w:tcPr>
            <w:tcW w:type="dxa" w:w="4824"/>
          </w:tcPr>
          <w:p>
            <w:r>
              <w:rPr>
                <w:rFonts w:ascii="Times New Roman" w:hAnsi="Times New Roman"/>
                <w:sz w:val="18"/>
              </w:rPr>
              <w:t>h result</w:t>
            </w:r>
          </w:p>
        </w:tc>
        <w:tc>
          <w:tcPr>
            <w:tcW w:type="dxa" w:w="4824"/>
          </w:tcPr>
          <w:p>
            <w:r>
              <w:rPr>
                <w:rFonts w:ascii="Times New Roman" w:hAnsi="Times New Roman"/>
                <w:sz w:val="18"/>
              </w:rPr>
              <w:t>Observed value/relation and h &lt; 1 PASS/FAIL.</w:t>
            </w:r>
          </w:p>
        </w:tc>
      </w:tr>
      <w:tr>
        <w:trPr>
          <w:cantSplit/>
        </w:trPr>
        <w:tc>
          <w:tcPr>
            <w:tcW w:type="dxa" w:w="4824"/>
          </w:tcPr>
          <w:p>
            <w:r>
              <w:rPr>
                <w:rFonts w:ascii="Times New Roman" w:hAnsi="Times New Roman"/>
                <w:sz w:val="18"/>
              </w:rPr>
              <w:t>L²_C result</w:t>
            </w:r>
          </w:p>
        </w:tc>
        <w:tc>
          <w:tcPr>
            <w:tcW w:type="dxa" w:w="4824"/>
          </w:tcPr>
          <w:p>
            <w:r>
              <w:rPr>
                <w:rFonts w:ascii="Times New Roman" w:hAnsi="Times New Roman"/>
                <w:sz w:val="18"/>
              </w:rPr>
              <w:t>C, D, S_C and declared preservation rule.</w:t>
            </w:r>
          </w:p>
        </w:tc>
      </w:tr>
      <w:tr>
        <w:trPr>
          <w:cantSplit/>
        </w:trPr>
        <w:tc>
          <w:tcPr>
            <w:tcW w:type="dxa" w:w="4824"/>
          </w:tcPr>
          <w:p>
            <w:r>
              <w:rPr>
                <w:rFonts w:ascii="Times New Roman" w:hAnsi="Times New Roman"/>
                <w:sz w:val="18"/>
              </w:rPr>
              <w:t>scale results</w:t>
            </w:r>
          </w:p>
        </w:tc>
        <w:tc>
          <w:tcPr>
            <w:tcW w:type="dxa" w:w="4824"/>
          </w:tcPr>
          <w:p>
            <w:r>
              <w:rPr>
                <w:rFonts w:ascii="Times New Roman" w:hAnsi="Times New Roman"/>
                <w:sz w:val="18"/>
              </w:rPr>
              <w:t>Fine, coarse, zoom, rescaled outcomes.</w:t>
            </w:r>
          </w:p>
        </w:tc>
      </w:tr>
      <w:tr>
        <w:trPr>
          <w:cantSplit/>
        </w:trPr>
        <w:tc>
          <w:tcPr>
            <w:tcW w:type="dxa" w:w="4824"/>
          </w:tcPr>
          <w:p>
            <w:r>
              <w:rPr>
                <w:rFonts w:ascii="Times New Roman" w:hAnsi="Times New Roman"/>
                <w:sz w:val="18"/>
              </w:rPr>
              <w:t>final status</w:t>
            </w:r>
          </w:p>
        </w:tc>
        <w:tc>
          <w:tcPr>
            <w:tcW w:type="dxa" w:w="4824"/>
          </w:tcPr>
          <w:p>
            <w:r>
              <w:rPr>
                <w:rFonts w:ascii="Times New Roman" w:hAnsi="Times New Roman"/>
                <w:sz w:val="18"/>
              </w:rPr>
              <w:t>PASS, FAIL, or UNRESOLVED with explicit reason.</w:t>
            </w:r>
          </w:p>
        </w:tc>
      </w:tr>
    </w:tbl>
    <w:p>
      <w:pPr>
        <w:pStyle w:val="Heading1"/>
      </w:pPr>
      <w:r>
        <w:t>8. Open Problems and Non-Claims</w:t>
      </w:r>
    </w:p>
    <w:p>
      <w:pPr>
        <w:pStyle w:val="ListBullet"/>
        <w:spacing w:after="40"/>
      </w:pPr>
      <w:r>
        <w:rPr>
          <w:rFonts w:ascii="Times New Roman" w:hAnsi="Times New Roman"/>
          <w:sz w:val="22"/>
        </w:rPr>
        <w:t>Measurement maps for C and D in L²_C are not fixed here. Without them, L²_C remains a declared preservation relation rather than a numerically validated invariant.</w:t>
      </w:r>
    </w:p>
    <w:p>
      <w:pPr>
        <w:pStyle w:val="ListBullet"/>
        <w:spacing w:after="40"/>
      </w:pPr>
      <w:r>
        <w:rPr>
          <w:rFonts w:ascii="Times New Roman" w:hAnsi="Times New Roman"/>
          <w:sz w:val="22"/>
        </w:rPr>
        <w:t>The operational meaning and measurement of h are not derived from vector calculus. h &lt; 1 remains a framework-specific non-sovereignty condition that must be defined independently for each implementation.</w:t>
      </w:r>
    </w:p>
    <w:p>
      <w:pPr>
        <w:pStyle w:val="ListBullet"/>
        <w:spacing w:after="40"/>
      </w:pPr>
      <w:r>
        <w:rPr>
          <w:rFonts w:ascii="Times New Roman" w:hAnsi="Times New Roman"/>
          <w:sz w:val="22"/>
        </w:rPr>
        <w:t>The finite-scale Del/curl construction does not establish differentiability of an AI-system state space. A deployed system requires an explicit embedding or graph/mesh representation before R³ differential language can be used literally.</w:t>
      </w:r>
    </w:p>
    <w:p>
      <w:pPr>
        <w:pStyle w:val="ListBullet"/>
        <w:spacing w:after="40"/>
      </w:pPr>
      <w:r>
        <w:rPr>
          <w:rFonts w:ascii="Times New Roman" w:hAnsi="Times New Roman"/>
          <w:sz w:val="22"/>
        </w:rPr>
        <w:t>Nonzero curl is neither necessary nor sufficient for SIUS. Curl is one diagnostic of local circulation; SIUS is a safeguard-preservation test under stagnation.</w:t>
      </w:r>
    </w:p>
    <w:p>
      <w:pPr>
        <w:pStyle w:val="ListBullet"/>
        <w:spacing w:after="40"/>
      </w:pPr>
      <w:r>
        <w:rPr>
          <w:rFonts w:ascii="Times New Roman" w:hAnsi="Times New Roman"/>
          <w:sz w:val="22"/>
        </w:rPr>
        <w:t>The four-stage sticky/Perron scaffold does not prove cross-scale preservation. It supplies a concrete finite test architecture.</w:t>
      </w:r>
    </w:p>
    <w:p>
      <w:pPr>
        <w:pStyle w:val="ListBullet"/>
        <w:spacing w:after="40"/>
      </w:pPr>
      <w:r>
        <w:rPr>
          <w:rFonts w:ascii="Times New Roman" w:hAnsi="Times New Roman"/>
          <w:sz w:val="22"/>
        </w:rPr>
        <w:t>No mathematical compactness theorem, limit transfer as δ → 0, or longitudinal live-model performance result is established by this manuscript.</w:t>
      </w:r>
    </w:p>
    <w:p>
      <w:pPr>
        <w:pStyle w:val="ListBullet"/>
        <w:spacing w:after="40"/>
      </w:pPr>
      <w:r>
        <w:rPr>
          <w:rFonts w:ascii="Times New Roman" w:hAnsi="Times New Roman"/>
          <w:sz w:val="22"/>
        </w:rPr>
        <w:t>The operator is currently descriptive/diagnostic. A causal control law for changing downstream behavior has not yet been defined.</w:t>
      </w:r>
    </w:p>
    <w:p>
      <w:pPr>
        <w:pStyle w:val="Heading1"/>
      </w:pPr>
      <w:r>
        <w:t>9. Relation to Established Mathematics</w:t>
      </w:r>
    </w:p>
    <w:p>
      <w:pPr>
        <w:pStyle w:val="Heading2"/>
      </w:pPr>
      <w:r>
        <w:t>9.1 Del and curl</w:t>
      </w:r>
    </w:p>
    <w:p>
      <w:pPr>
        <w:pStyle w:val="BodyText"/>
      </w:pPr>
      <w:r>
        <w:rPr>
          <w:rFonts w:ascii="Times New Roman" w:hAnsi="Times New Roman"/>
          <w:sz w:val="22"/>
        </w:rPr>
        <w:t>In standard vector calculus, Del is the vector differential operator ∇ = (∂/∂x, ∂/∂y, ∂/∂z), and curl of a vector field v is written ∇ × v [4]. This manuscript borrows the notation and local-variation intuition but replaces infinitesimal derivatives with declared finite-scale approximations when operating on a grain model.</w:t>
      </w:r>
    </w:p>
    <w:p>
      <w:pPr>
        <w:pStyle w:val="Heading2"/>
      </w:pPr>
      <w:r>
        <w:t>9.2 Mimetic / compatible finite differences</w:t>
      </w:r>
    </w:p>
    <w:p>
      <w:pPr>
        <w:pStyle w:val="BodyText"/>
      </w:pPr>
      <w:r>
        <w:rPr>
          <w:rFonts w:ascii="Times New Roman" w:hAnsi="Times New Roman"/>
          <w:sz w:val="22"/>
        </w:rPr>
        <w:t>Hyman and Shashkov show that discrete analogues of gradient, divergence, and curl can be designed to satisfy discrete counterparts of important vector-calculus identities [3]. Their work is a useful methodological precedent for insisting that the Kakeyalogic finite-scale operator be built on compatible local geometry rather than on isolated symbolic analogy.</w:t>
      </w:r>
    </w:p>
    <w:p>
      <w:pPr>
        <w:pStyle w:val="Heading2"/>
      </w:pPr>
      <w:r>
        <w:t>9.3 Kakeya stickiness and graininess</w:t>
      </w:r>
    </w:p>
    <w:p>
      <w:pPr>
        <w:pStyle w:val="BodyText"/>
      </w:pPr>
      <w:r>
        <w:rPr>
          <w:rFonts w:ascii="Times New Roman" w:hAnsi="Times New Roman"/>
          <w:sz w:val="22"/>
        </w:rPr>
        <w:t>Katz, Łaba, and Tao introduced the language of stickiness, planiness, and graininess in the study of near-minimal Besicovitch sets [2]. Wang and Zahl later formalized sticky Kakeya sets, described their approximate multiscale self-similarity, and proved in three dimensions that every sticky Kakeya set has Hausdorff dimension three [1]. Their proof architecture includes coarse/fine tube organization, anisotropic rescaling, planiness, and grains. These results justify the geometric vocabulary used in the SIUS test scaffold; they do not imply that semantic or authority information obeys Kakeya theorems.</w:t>
      </w:r>
    </w:p>
    <w:p>
      <w:pPr>
        <w:pStyle w:val="Heading2"/>
      </w:pPr>
      <w:r>
        <w:t>9.4 Induction on scales</w:t>
      </w:r>
    </w:p>
    <w:p>
      <w:pPr>
        <w:pStyle w:val="BodyText"/>
      </w:pPr>
      <w:r>
        <w:rPr>
          <w:rFonts w:ascii="Times New Roman" w:hAnsi="Times New Roman"/>
          <w:sz w:val="22"/>
        </w:rPr>
        <w:t>Induction-on-scales arguments are common in Kakeya and harmonic-analysis work; modern Kakeya estimates explicitly exploit recursive multiscale structure [5]. The SIUS four-stage procedure borrows only the methodological discipline of retesting structure after coarsening/localization/rescaling. No inductive theorem is asserted here.</w:t>
      </w:r>
    </w:p>
    <w:p>
      <w:pPr>
        <w:pStyle w:val="Heading1"/>
      </w:pPr>
      <w:r>
        <w:t>10. Next Build: Operator Closure Tasks</w:t>
      </w:r>
    </w:p>
    <w:p>
      <w:pPr>
        <w:pStyle w:val="BodyText"/>
      </w:pPr>
      <w:r>
        <w:rPr>
          <w:rFonts w:ascii="Times New Roman" w:hAnsi="Times New Roman"/>
          <w:sz w:val="22"/>
        </w:rPr>
        <w:t>The operator is now specific enough to move from notation design to controlled finite experiments. The next research tasks are:</w:t>
      </w:r>
    </w:p>
    <w:p>
      <w:pPr>
        <w:pStyle w:val="ListBullet"/>
        <w:spacing w:after="40"/>
      </w:pPr>
      <w:r>
        <w:rPr>
          <w:rFonts w:ascii="Times New Roman" w:hAnsi="Times New Roman"/>
          <w:sz w:val="22"/>
        </w:rPr>
        <w:t>Fix a concrete local grain cell in R³ and implement curl_δ by oriented face circulation, not by a radial fan alone.</w:t>
      </w:r>
    </w:p>
    <w:p>
      <w:pPr>
        <w:pStyle w:val="ListBullet"/>
        <w:spacing w:after="40"/>
      </w:pPr>
      <w:r>
        <w:rPr>
          <w:rFonts w:ascii="Times New Roman" w:hAnsi="Times New Roman"/>
          <w:sz w:val="22"/>
        </w:rPr>
        <w:t>Define the measurable h relation for evaluator non-sovereignty so h &lt; 1 can be tested rather than asserted.</w:t>
      </w:r>
    </w:p>
    <w:p>
      <w:pPr>
        <w:pStyle w:val="ListBullet"/>
        <w:spacing w:after="40"/>
      </w:pPr>
      <w:r>
        <w:rPr>
          <w:rFonts w:ascii="Times New Roman" w:hAnsi="Times New Roman"/>
          <w:sz w:val="22"/>
        </w:rPr>
        <w:t>Define C and D observables for the SIUS experiment and pre-register the L²_C preservation rule.</w:t>
      </w:r>
    </w:p>
    <w:p>
      <w:pPr>
        <w:pStyle w:val="ListBullet"/>
        <w:spacing w:after="40"/>
      </w:pPr>
      <w:r>
        <w:rPr>
          <w:rFonts w:ascii="Times New Roman" w:hAnsi="Times New Roman"/>
          <w:sz w:val="22"/>
        </w:rPr>
        <w:t>Specify a typed SAVER defect schema with explicit PASS/FAIL conditions for Semantic, Authority, Visibility, Enforceability, and Retention.</w:t>
      </w:r>
    </w:p>
    <w:p>
      <w:pPr>
        <w:pStyle w:val="ListBullet"/>
        <w:spacing w:after="40"/>
      </w:pPr>
      <w:r>
        <w:rPr>
          <w:rFonts w:ascii="Times New Roman" w:hAnsi="Times New Roman"/>
          <w:sz w:val="22"/>
        </w:rPr>
        <w:t>Implement one HELD correction κ* through the four stages and produce a scale-by-scale receipt.</w:t>
      </w:r>
    </w:p>
    <w:p>
      <w:pPr>
        <w:pStyle w:val="ListBullet"/>
        <w:spacing w:after="40"/>
      </w:pPr>
      <w:r>
        <w:rPr>
          <w:rFonts w:ascii="Times New Roman" w:hAnsi="Times New Roman"/>
          <w:sz w:val="22"/>
        </w:rPr>
        <w:t>Run a counterexample test in which wording is preserved but Authority or Retention is intentionally broken; verify that the operator reports failure.</w:t>
      </w:r>
    </w:p>
    <w:p>
      <w:pPr>
        <w:pStyle w:val="ListBullet"/>
        <w:spacing w:after="40"/>
      </w:pPr>
      <w:r>
        <w:rPr>
          <w:rFonts w:ascii="Times New Roman" w:hAnsi="Times New Roman"/>
          <w:sz w:val="22"/>
        </w:rPr>
        <w:t>Only after the finite geometric test is stable, map the operator to a live multi-agent or generative-system handoff and measure longitudinal behavior.</w:t>
      </w:r>
    </w:p>
    <w:tbl>
      <w:tblPr>
        <w:tblW w:type="auto" w:w="0"/>
        <w:jc w:val="center"/>
        <w:tblLayout w:type="autofit"/>
        <w:tblLook w:firstColumn="1" w:firstRow="1" w:lastColumn="0" w:lastRow="0" w:noHBand="0" w:noVBand="1" w:val="04A0"/>
      </w:tblPr>
      <w:tblGrid>
        <w:gridCol w:w="9648"/>
      </w:tblGrid>
      <w:tr>
        <w:trPr>
          <w:tblHeader w:val="true"/>
          <w:cantSplit/>
        </w:trPr>
        <w:tc>
          <w:tcPr>
            <w:tcW w:type="dxa" w:w="9648"/>
            <w:shd w:fill="EEF5F2"/>
            <w:tcBorders>
              <w:top w:val="single" w:sz="8" w:color="1F6F5C"/>
              <w:left w:val="single" w:sz="8" w:color="1F6F5C"/>
              <w:bottom w:val="single" w:sz="8" w:color="1F6F5C"/>
              <w:right w:val="single" w:sz="8" w:color="1F6F5C"/>
            </w:tcBorders>
            <w:vAlign w:val="center"/>
          </w:tcPr>
          <w:p>
            <w:pPr>
              <w:spacing w:after="0"/>
            </w:pPr>
            <w:r>
              <w:rPr>
                <w:rFonts w:ascii="Times New Roman" w:hAnsi="Times New Roman"/>
                <w:b/>
                <w:color w:val="1F6F5C"/>
                <w:sz w:val="21"/>
              </w:rPr>
              <w:t>Current working claim.</w:t>
              <w:br/>
            </w:r>
            <w:r>
              <w:rPr>
                <w:rFonts w:ascii="Times New Roman" w:hAnsi="Times New Roman"/>
                <w:sz w:val="21"/>
              </w:rPr>
              <w:t>SIUS is best treated as a finite, falsifiable preservation condition over a typed downstream system under coarse stagnation. The Del/curl layer supplies a local geometric diagnostic of change and circulation; SAVER, h &lt; 1, HELD corrections, and L²_C supply the framework-specific integrity conditions. The layers remain separate by design.</w:t>
            </w:r>
          </w:p>
        </w:tc>
      </w:tr>
    </w:tbl>
    <w:p>
      <w:pPr>
        <w:spacing w:after="0"/>
      </w:pPr>
    </w:p>
    <w:p>
      <w:pPr>
        <w:pStyle w:val="Heading1"/>
      </w:pPr>
      <w:r>
        <w:t>References</w:t>
      </w:r>
    </w:p>
    <w:p>
      <w:pPr>
        <w:spacing w:after="100"/>
        <w:ind w:left="288" w:hanging="288"/>
      </w:pPr>
      <w:r>
        <w:rPr>
          <w:rFonts w:ascii="Times New Roman" w:hAnsi="Times New Roman"/>
          <w:sz w:val="19"/>
        </w:rPr>
        <w:t xml:space="preserve">[1] H. Wang and J. Zahl, “Sticky Kakeya sets and the sticky Kakeya conjecture,” Journal of the American Mathematical Society, vol. 39, 2026, pp. 515–585. arXiv:2210.09581v2. </w:t>
      </w:r>
      <w:hyperlink r:id="rId13">
        <w:r>
          <w:rPr>
            <w:color w:val="345995"/>
            <w:u w:val="single"/>
          </w:rPr>
          <w:t>https://arxiv.org/abs/2210.09581</w:t>
        </w:r>
      </w:hyperlink>
    </w:p>
    <w:p>
      <w:pPr>
        <w:spacing w:after="100"/>
        <w:ind w:left="288" w:hanging="288"/>
      </w:pPr>
      <w:r>
        <w:rPr>
          <w:rFonts w:ascii="Times New Roman" w:hAnsi="Times New Roman"/>
          <w:sz w:val="19"/>
        </w:rPr>
        <w:t xml:space="preserve">[2] N. H. Katz, I. Łaba, and T. Tao, “An improved bound on the Minkowski dimension of Besicovitch sets in R^3,” Annals of Mathematics, vol. 152, no. 2, 2000, pp. 383–446. DOI: 10.2307/2661389. </w:t>
      </w:r>
      <w:hyperlink r:id="rId14">
        <w:r>
          <w:rPr>
            <w:color w:val="345995"/>
            <w:u w:val="single"/>
          </w:rPr>
          <w:t>https://annals.math.princeton.edu/articles/11845</w:t>
        </w:r>
      </w:hyperlink>
    </w:p>
    <w:p>
      <w:pPr>
        <w:spacing w:after="100"/>
        <w:ind w:left="288" w:hanging="288"/>
      </w:pPr>
      <w:r>
        <w:rPr>
          <w:rFonts w:ascii="Times New Roman" w:hAnsi="Times New Roman"/>
          <w:sz w:val="19"/>
        </w:rPr>
        <w:t xml:space="preserve">[3] J. M. Hyman and M. Shashkov, “The Orthogonal Decomposition Theorems for Mimetic Finite Difference Methods,” SIAM Journal on Numerical Analysis, vol. 36, no. 3, 1999, pp. 788–818. DOI: 10.1137/S0036142996314044. </w:t>
      </w:r>
      <w:hyperlink r:id="rId15">
        <w:r>
          <w:rPr>
            <w:color w:val="345995"/>
            <w:u w:val="single"/>
          </w:rPr>
          <w:t>https://epubs.siam.org/doi/10.1137/S0036142996314044</w:t>
        </w:r>
      </w:hyperlink>
    </w:p>
    <w:p>
      <w:pPr>
        <w:spacing w:after="100"/>
        <w:ind w:left="288" w:hanging="288"/>
      </w:pPr>
      <w:r>
        <w:rPr>
          <w:rFonts w:ascii="Times New Roman" w:hAnsi="Times New Roman"/>
          <w:sz w:val="19"/>
        </w:rPr>
        <w:t xml:space="preserve">[4] B. Poonen, 18.02 Multivariable Calculus lecture notes, MIT, Definition 14.10 and related discussion of curl. </w:t>
      </w:r>
      <w:hyperlink r:id="rId16">
        <w:r>
          <w:rPr>
            <w:color w:val="345995"/>
            <w:u w:val="single"/>
          </w:rPr>
          <w:t>https://math.mit.edu/~poonen/notes02.pdf</w:t>
        </w:r>
      </w:hyperlink>
    </w:p>
    <w:p>
      <w:pPr>
        <w:spacing w:after="100"/>
        <w:ind w:left="288" w:hanging="288"/>
      </w:pPr>
      <w:r>
        <w:rPr>
          <w:rFonts w:ascii="Times New Roman" w:hAnsi="Times New Roman"/>
          <w:sz w:val="19"/>
        </w:rPr>
        <w:t xml:space="preserve">[5] J. Hickman, K. M. Rogers, and R. Zhang, “Improved bounds for the Kakeya maximal conjecture in higher dimensions,” arXiv:1908.05589, 2019. </w:t>
      </w:r>
      <w:hyperlink r:id="rId17">
        <w:r>
          <w:rPr>
            <w:color w:val="345995"/>
            <w:u w:val="single"/>
          </w:rPr>
          <w:t>https://arxiv.org/abs/1908.05589</w:t>
        </w:r>
      </w:hyperlink>
    </w:p>
    <w:p>
      <w:pPr>
        <w:spacing w:after="100"/>
        <w:ind w:left="288" w:hanging="288"/>
      </w:pPr>
      <w:r>
        <w:rPr>
          <w:rFonts w:ascii="Times New Roman" w:hAnsi="Times New Roman"/>
          <w:sz w:val="19"/>
        </w:rPr>
        <w:t xml:space="preserve">[6] MathOverflow, “Basic examples of induction on scales arguments,” online discussion, accessed September 2026. </w:t>
      </w:r>
      <w:hyperlink r:id="rId18">
        <w:r>
          <w:rPr>
            <w:color w:val="345995"/>
            <w:u w:val="single"/>
          </w:rPr>
          <w:t>https://mathoverflow.net/questions/87497/basic-examples-of-induction-on-scales-arguments</w:t>
        </w:r>
      </w:hyperlink>
    </w:p>
    <w:p>
      <w:pPr>
        <w:pStyle w:val="Heading1"/>
      </w:pPr>
      <w:r>
        <w:t>Appendix A. Minimal Formal Summary</w:t>
      </w:r>
    </w:p>
    <w:p>
      <w:pPr>
        <w:pStyle w:val="BodyText"/>
      </w:pPr>
      <w:r>
        <w:rPr>
          <w:rFonts w:ascii="Times New Roman" w:hAnsi="Times New Roman"/>
          <w:sz w:val="22"/>
        </w:rPr>
        <w:t>For quick reuse, the current finite formulation can be reduced to the following dependency chain:</w:t>
      </w:r>
    </w:p>
    <w:p>
      <w:pPr>
        <w:spacing w:before="100" w:after="100"/>
        <w:jc w:val="center"/>
      </w:pPr>
      <w:r>
        <w:rPr>
          <w:rFonts w:ascii="Cambria Math" w:hAnsi="Cambria Math"/>
          <w:i w:val="0"/>
          <w:sz w:val="23"/>
        </w:rPr>
        <w:t>segment (u</w:t>
      </w:r>
      <w:r>
        <w:rPr>
          <w:rFonts w:ascii="Cambria Math" w:hAnsi="Cambria Math"/>
          <w:i w:val="0"/>
          <w:sz w:val="23"/>
          <w:vertAlign w:val="subscript"/>
        </w:rPr>
        <w:t>i</w:t>
      </w:r>
      <w:r>
        <w:rPr>
          <w:rFonts w:ascii="Cambria Math" w:hAnsi="Cambria Math"/>
          <w:i w:val="0"/>
          <w:sz w:val="23"/>
        </w:rPr>
        <w:t>, δ) → D</w:t>
      </w:r>
      <w:r>
        <w:rPr>
          <w:rFonts w:ascii="Cambria Math" w:hAnsi="Cambria Math"/>
          <w:i w:val="0"/>
          <w:sz w:val="23"/>
          <w:vertAlign w:val="subscript"/>
        </w:rPr>
        <w:t>uᵢ,δ</w:t>
      </w:r>
      <w:r>
        <w:rPr>
          <w:rFonts w:ascii="Cambria Math" w:hAnsi="Cambria Math"/>
          <w:i w:val="0"/>
          <w:sz w:val="23"/>
        </w:rPr>
        <w:t xml:space="preserve"> → ∇</w:t>
      </w:r>
      <w:r>
        <w:rPr>
          <w:rFonts w:ascii="Cambria Math" w:hAnsi="Cambria Math"/>
          <w:i w:val="0"/>
          <w:sz w:val="23"/>
          <w:vertAlign w:val="subscript"/>
        </w:rPr>
        <w:t>δ</w:t>
      </w:r>
      <w:r>
        <w:rPr>
          <w:rFonts w:ascii="Cambria Math" w:hAnsi="Cambria Math"/>
          <w:i w:val="0"/>
          <w:sz w:val="23"/>
        </w:rPr>
        <w:t xml:space="preserve"> → local curl/circulation on grain cells</w:t>
      </w:r>
    </w:p>
    <w:p>
      <w:pPr>
        <w:spacing w:before="100" w:after="100"/>
        <w:jc w:val="center"/>
      </w:pPr>
      <w:r>
        <w:rPr>
          <w:rFonts w:ascii="Cambria Math" w:hAnsi="Cambria Math"/>
          <w:i w:val="0"/>
          <w:sz w:val="23"/>
        </w:rPr>
        <w:t>K</w:t>
      </w:r>
      <w:r>
        <w:rPr>
          <w:rFonts w:ascii="Cambria Math" w:hAnsi="Cambria Math"/>
          <w:i w:val="0"/>
          <w:sz w:val="23"/>
          <w:vertAlign w:val="subscript"/>
        </w:rPr>
        <w:t>δ</w:t>
      </w:r>
      <w:r>
        <w:rPr>
          <w:rFonts w:ascii="Cambria Math" w:hAnsi="Cambria Math"/>
          <w:i w:val="0"/>
          <w:sz w:val="23"/>
        </w:rPr>
        <w:t xml:space="preserve"> = (differential diagnostics ; SAVER ; HELD ; h &lt; 1 ; L²</w:t>
      </w:r>
      <w:r>
        <w:rPr>
          <w:rFonts w:ascii="Cambria Math" w:hAnsi="Cambria Math"/>
          <w:i w:val="0"/>
          <w:sz w:val="23"/>
          <w:vertAlign w:val="subscript"/>
        </w:rPr>
        <w:t>C</w:t>
      </w:r>
      <w:r>
        <w:rPr>
          <w:rFonts w:ascii="Cambria Math" w:hAnsi="Cambria Math"/>
          <w:i w:val="0"/>
          <w:sz w:val="23"/>
        </w:rPr>
        <w:t>)</w:t>
      </w:r>
    </w:p>
    <w:p>
      <w:pPr>
        <w:spacing w:before="100" w:after="100"/>
        <w:jc w:val="center"/>
      </w:pPr>
      <w:r>
        <w:rPr>
          <w:rFonts w:ascii="Cambria Math" w:hAnsi="Cambria Math"/>
          <w:i w:val="0"/>
          <w:sz w:val="23"/>
        </w:rPr>
        <w:t>SIUS</w:t>
      </w:r>
      <w:r>
        <w:rPr>
          <w:rFonts w:ascii="Cambria Math" w:hAnsi="Cambria Math"/>
          <w:i w:val="0"/>
          <w:sz w:val="23"/>
          <w:vertAlign w:val="subscript"/>
        </w:rPr>
        <w:t>δ,ρ</w:t>
      </w:r>
      <w:r>
        <w:rPr>
          <w:rFonts w:ascii="Cambria Math" w:hAnsi="Cambria Math"/>
          <w:i w:val="0"/>
          <w:sz w:val="23"/>
        </w:rPr>
        <w:t xml:space="preserve"> = coarse stagnation ∧ fine activity ∧ admissible integrity at δ, ρ, and δ/ρ</w:t>
      </w:r>
    </w:p>
    <w:p>
      <w:pPr>
        <w:pStyle w:val="BodyText"/>
      </w:pPr>
      <w:r>
        <w:rPr>
          <w:rFonts w:ascii="Times New Roman" w:hAnsi="Times New Roman"/>
          <w:sz w:val="22"/>
        </w:rPr>
        <w:t>The formal model ends there at the current stage. Analytic continuation remains outside the formal vocabulary. Mathematical compactness and asymptotic limit transfer remain open.</w:t>
      </w:r>
    </w:p>
    <w:sectPr w:rsidR="00FC693F" w:rsidRPr="0006063C" w:rsidSect="00034616">
      <w:headerReference w:type="default" r:id="rId9"/>
      <w:footerReference w:type="default" r:id="rId10"/>
      <w:pgSz w:w="12240" w:h="15840"/>
      <w:pgMar w:top="1224"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17"/>
      </w:rPr>
      <w:t>SIUS / Kakeyalogic Operator — Working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6F5C"/>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6F5C"/>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F6F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ind w:firstLine="317"/>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210.09581" TargetMode="External"/><Relationship Id="rId14" Type="http://schemas.openxmlformats.org/officeDocument/2006/relationships/hyperlink" Target="https://annals.math.princeton.edu/articles/11845" TargetMode="External"/><Relationship Id="rId15" Type="http://schemas.openxmlformats.org/officeDocument/2006/relationships/hyperlink" Target="https://epubs.siam.org/doi/10.1137/S0036142996314044" TargetMode="External"/><Relationship Id="rId16" Type="http://schemas.openxmlformats.org/officeDocument/2006/relationships/hyperlink" Target="https://math.mit.edu/~poonen/notes02.pdf" TargetMode="External"/><Relationship Id="rId17" Type="http://schemas.openxmlformats.org/officeDocument/2006/relationships/hyperlink" Target="https://arxiv.org/abs/1908.05589" TargetMode="External"/><Relationship Id="rId18" Type="http://schemas.openxmlformats.org/officeDocument/2006/relationships/hyperlink" Target="https://mathoverflow.net/questions/87497/basic-examples-of-induction-on-scales-arg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Safeguard Integrity Under Stagnation (SIUS): A Finite-Scale Del/Curl Formulation for the Kakeyalogic Operator</dc:title>
  <dc:subject>Working academic formulation and HELD correction record</dc:subject>
  <dc:creator>Manuel Coleman</dc:creator>
  <cp:keywords>SIUS; Kakeyalogic; SAVER; Del; curl; L2_C; sticky Kakeya; graininess</cp:keywords>
  <dc:description>generated by python-docx</dc:description>
  <cp:lastModifiedBy/>
  <cp:revision>1</cp:revision>
  <dcterms:created xsi:type="dcterms:W3CDTF">2013-12-23T23:15:00Z</dcterms:created>
  <dcterms:modified xsi:type="dcterms:W3CDTF">2013-12-23T23:15:00Z</dcterms:modified>
  <cp:category/>
</cp:coreProperties>
</file>