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5A54"/>
          <w:sz w:val="40"/>
          <w:szCs w:val="40"/>
        </w:rPr>
        <w:t xml:space="preserve">Intelligent Disease Surveillance System</w:t>
      </w:r>
    </w:p>
    <w:p>
      <w:pPr>
        <w:spacing w:after="60"/>
      </w:pPr>
      <w:r>
        <w:rPr>
          <w:b/>
          <w:bCs/>
          <w:color w:val="0F766E"/>
          <w:sz w:val="26"/>
          <w:szCs w:val="26"/>
        </w:rPr>
        <w:t xml:space="preserve">A Plain-English Guide</w:t>
      </w:r>
    </w:p>
    <w:p>
      <w:pPr>
        <w:spacing w:after="40"/>
      </w:pPr>
      <w:r>
        <w:rPr>
          <w:i/>
          <w:iCs/>
          <w:color w:val="52606D"/>
          <w:sz w:val="22"/>
          <w:szCs w:val="22"/>
        </w:rPr>
        <w:t xml:space="preserve">An Adaptive SVM Model for Intelligent Disease Surveillance</w:t>
      </w:r>
    </w:p>
    <w:p>
      <w:pPr>
        <w:pBdr>
          <w:bottom w:val="single" w:color="B8D8D2" w:sz="6"/>
        </w:pBdr>
        <w:spacing w:after="160" w:before="60"/>
      </w:pPr>
      <w:r>
        <w:rPr>
          <w:sz w:val="2"/>
          <w:szCs w:val="2"/>
        </w:rPr>
        <w:t xml:space="preserve"/>
      </w:r>
    </w:p>
    <w:p>
      <w:pPr>
        <w:pStyle w:val="Heading1"/>
        <w:spacing w:after="120" w:before="340"/>
      </w:pPr>
      <w:r>
        <w:rPr>
          <w:b/>
          <w:bCs/>
          <w:color w:val="0F766E"/>
          <w:sz w:val="30"/>
          <w:szCs w:val="30"/>
        </w:rPr>
        <w:t xml:space="preserve">1.  In one sentence</w:t>
      </w:r>
    </w:p>
    <w:p>
      <w:pPr>
        <w:spacing w:after="140" w:line="300"/>
      </w:pPr>
      <w:r>
        <w:rPr>
          <w:color w:val="1F2933"/>
          <w:sz w:val="22"/>
          <w:szCs w:val="22"/>
        </w:rPr>
        <w:t xml:space="preserve">It is a computer system that reads real disease-case records as they arrive, learns what an outbreak looks like, predicts where Lassa fever is likely flaring up, and automatically alerts the health officials in charge — and it </w:t>
      </w:r>
      <w:r>
        <w:rPr>
          <w:b/>
          <w:bCs/>
          <w:color w:val="1F2933"/>
          <w:sz w:val="22"/>
          <w:szCs w:val="22"/>
        </w:rPr>
        <w:t xml:space="preserve">keeps getting smarter with every new case</w:t>
      </w:r>
      <w:r>
        <w:rPr>
          <w:color w:val="1F2933"/>
          <w:sz w:val="22"/>
          <w:szCs w:val="22"/>
        </w:rPr>
        <w:t xml:space="preserve">, without ever being shut down to be retrained.</w:t>
      </w:r>
    </w:p>
    <w:p>
      <w:pPr>
        <w:pStyle w:val="Heading1"/>
        <w:spacing w:after="120" w:before="340"/>
      </w:pPr>
      <w:r>
        <w:rPr>
          <w:b/>
          <w:bCs/>
          <w:color w:val="0F766E"/>
          <w:sz w:val="30"/>
          <w:szCs w:val="30"/>
        </w:rPr>
        <w:t xml:space="preserve">2.  The problem it solves</w:t>
      </w:r>
    </w:p>
    <w:p>
      <w:pPr>
        <w:pStyle w:val="ListParagraph"/>
        <w:numPr>
          <w:ilvl w:val="0"/>
          <w:numId w:val="2"/>
        </w:numPr>
        <w:spacing w:after="70" w:line="288"/>
      </w:pPr>
      <w:r>
        <w:rPr>
          <w:b/>
          <w:bCs/>
          <w:color w:val="1F2933"/>
          <w:sz w:val="22"/>
          <w:szCs w:val="22"/>
        </w:rPr>
        <w:t xml:space="preserve">Reporting is slow. </w:t>
      </w:r>
      <w:r>
        <w:rPr>
          <w:color w:val="1F2933"/>
          <w:sz w:val="22"/>
          <w:szCs w:val="22"/>
        </w:rPr>
        <w:t xml:space="preserve">Outbreaks are often spotted only after they have already spread.</w:t>
      </w:r>
    </w:p>
    <w:p>
      <w:pPr>
        <w:pStyle w:val="ListParagraph"/>
        <w:numPr>
          <w:ilvl w:val="0"/>
          <w:numId w:val="2"/>
        </w:numPr>
        <w:spacing w:after="70" w:line="288"/>
      </w:pPr>
      <w:r>
        <w:rPr>
          <w:b/>
          <w:bCs/>
          <w:color w:val="1F2933"/>
          <w:sz w:val="22"/>
          <w:szCs w:val="22"/>
        </w:rPr>
        <w:t xml:space="preserve">Models go stale. </w:t>
      </w:r>
      <w:r>
        <w:rPr>
          <w:color w:val="1F2933"/>
          <w:sz w:val="22"/>
          <w:szCs w:val="22"/>
        </w:rPr>
        <w:t xml:space="preserve">A prediction model trained once on old data slowly drifts out of date as reality changes.</w:t>
      </w:r>
    </w:p>
    <w:p>
      <w:pPr>
        <w:pStyle w:val="ListParagraph"/>
        <w:numPr>
          <w:ilvl w:val="0"/>
          <w:numId w:val="2"/>
        </w:numPr>
        <w:spacing w:after="70" w:line="288"/>
      </w:pPr>
      <w:r>
        <w:rPr>
          <w:b/>
          <w:bCs/>
          <w:color w:val="1F2933"/>
          <w:sz w:val="22"/>
          <w:szCs w:val="22"/>
        </w:rPr>
        <w:t xml:space="preserve">People notice too late. </w:t>
      </w:r>
      <w:r>
        <w:rPr>
          <w:color w:val="1F2933"/>
          <w:sz w:val="22"/>
          <w:szCs w:val="22"/>
        </w:rPr>
        <w:t xml:space="preserve">By the time a human manually spots a spike in the numbers, people are already sick.</w:t>
      </w:r>
    </w:p>
    <w:p>
      <w:pPr>
        <w:spacing w:after="140" w:line="300"/>
      </w:pPr>
      <w:r>
        <w:rPr>
          <w:color w:val="1F2933"/>
          <w:sz w:val="22"/>
          <w:szCs w:val="22"/>
        </w:rPr>
        <w:t xml:space="preserve">This system watches the data </w:t>
      </w:r>
      <w:r>
        <w:rPr>
          <w:b/>
          <w:bCs/>
          <w:color w:val="1F2933"/>
          <w:sz w:val="22"/>
          <w:szCs w:val="22"/>
        </w:rPr>
        <w:t xml:space="preserve">continuously</w:t>
      </w:r>
      <w:r>
        <w:rPr>
          <w:color w:val="1F2933"/>
          <w:sz w:val="22"/>
          <w:szCs w:val="22"/>
        </w:rPr>
        <w:t xml:space="preserve">, flags rising risk </w:t>
      </w:r>
      <w:r>
        <w:rPr>
          <w:b/>
          <w:bCs/>
          <w:color w:val="1F2933"/>
          <w:sz w:val="22"/>
          <w:szCs w:val="22"/>
        </w:rPr>
        <w:t xml:space="preserve">early</w:t>
      </w:r>
      <w:r>
        <w:rPr>
          <w:color w:val="1F2933"/>
          <w:sz w:val="22"/>
          <w:szCs w:val="22"/>
        </w:rPr>
        <w:t xml:space="preserve">, and tells the right people </w:t>
      </w:r>
      <w:r>
        <w:rPr>
          <w:b/>
          <w:bCs/>
          <w:color w:val="1F2933"/>
          <w:sz w:val="22"/>
          <w:szCs w:val="22"/>
        </w:rPr>
        <w:t xml:space="preserve">immediately</w:t>
      </w:r>
      <w:r>
        <w:rPr>
          <w:color w:val="1F2933"/>
          <w:sz w:val="22"/>
          <w:szCs w:val="22"/>
        </w:rPr>
        <w:t xml:space="preserve">.</w:t>
      </w:r>
    </w:p>
    <w:p>
      <w:pPr>
        <w:pStyle w:val="Heading1"/>
        <w:spacing w:after="120" w:before="340"/>
      </w:pPr>
      <w:r>
        <w:rPr>
          <w:b/>
          <w:bCs/>
          <w:color w:val="0F766E"/>
          <w:sz w:val="30"/>
          <w:szCs w:val="30"/>
        </w:rPr>
        <w:t xml:space="preserve">3.  The five jobs it does</w:t>
      </w:r>
    </w:p>
    <w:tbl>
      <w:tblPr>
        <w:tblW w:type="dxa" w:w="9360"/>
        <w:tblBorders>
          <w:top w:val="single" w:color="B8D8D2" w:sz="4"/>
          <w:left w:val="single" w:color="B8D8D2" w:sz="4"/>
          <w:bottom w:val="single" w:color="B8D8D2" w:sz="4"/>
          <w:right w:val="single" w:color="B8D8D2" w:sz="4"/>
          <w:insideH w:val="single" w:color="B8D8D2" w:sz="4"/>
          <w:insideV w:val="single" w:color="B8D8D2" w:sz="4"/>
        </w:tblBorders>
      </w:tblPr>
      <w:tblGrid>
        <w:gridCol w:w="2400"/>
        <w:gridCol w:w="6960"/>
      </w:tblGrid>
      <w:tr>
        <w:trPr>
          <w:tblHeader/>
        </w:trPr>
        <w:tc>
          <w:tcPr>
            <w:tcW w:type="dxa" w:w="2400"/>
            <w:shd w:fill="0F766E" w:color="auto" w:val="clear"/>
            <w:tcMar>
              <w:top w:type="dxa" w:w="60"/>
              <w:left w:type="dxa" w:w="120"/>
              <w:bottom w:type="dxa" w:w="60"/>
              <w:right w:type="dxa" w:w="120"/>
            </w:tcMar>
          </w:tcPr>
          <w:p>
            <w:r>
              <w:rPr>
                <w:b/>
                <w:bCs/>
                <w:color w:val="FFFFFF"/>
                <w:sz w:val="21"/>
                <w:szCs w:val="21"/>
              </w:rPr>
              <w:t xml:space="preserve">Job</w:t>
            </w:r>
          </w:p>
        </w:tc>
        <w:tc>
          <w:tcPr>
            <w:tcW w:type="dxa" w:w="6960"/>
            <w:shd w:fill="0F766E" w:color="auto" w:val="clear"/>
            <w:tcMar>
              <w:top w:type="dxa" w:w="60"/>
              <w:left w:type="dxa" w:w="120"/>
              <w:bottom w:type="dxa" w:w="60"/>
              <w:right w:type="dxa" w:w="120"/>
            </w:tcMar>
          </w:tcPr>
          <w:p>
            <w:r>
              <w:rPr>
                <w:b/>
                <w:bCs/>
                <w:color w:val="FFFFFF"/>
                <w:sz w:val="21"/>
                <w:szCs w:val="21"/>
              </w:rPr>
              <w:t xml:space="preserve">What it means</w:t>
            </w:r>
          </w:p>
        </w:tc>
      </w:tr>
      <w:tr>
        <w:tc>
          <w:tcPr>
            <w:tcW w:type="dxa" w:w="2400"/>
            <w:tcMar>
              <w:top w:type="dxa" w:w="60"/>
              <w:left w:type="dxa" w:w="120"/>
              <w:bottom w:type="dxa" w:w="60"/>
              <w:right w:type="dxa" w:w="120"/>
            </w:tcMar>
          </w:tcPr>
          <w:p>
            <w:pPr>
              <w:spacing w:line="280"/>
            </w:pPr>
            <w:r>
              <w:rPr>
                <w:b/>
                <w:bCs/>
                <w:color w:val="1F2933"/>
                <w:sz w:val="22"/>
                <w:szCs w:val="22"/>
              </w:rPr>
              <w:t xml:space="preserve">Diagnose</w:t>
            </w:r>
          </w:p>
        </w:tc>
        <w:tc>
          <w:tcPr>
            <w:tcW w:type="dxa" w:w="6960"/>
            <w:tcMar>
              <w:top w:type="dxa" w:w="60"/>
              <w:left w:type="dxa" w:w="120"/>
              <w:bottom w:type="dxa" w:w="60"/>
              <w:right w:type="dxa" w:w="120"/>
            </w:tcMar>
          </w:tcPr>
          <w:p>
            <w:pPr>
              <w:spacing w:line="280"/>
            </w:pPr>
            <w:r>
              <w:rPr>
                <w:color w:val="1F2933"/>
                <w:sz w:val="21"/>
                <w:szCs w:val="21"/>
              </w:rPr>
              <w:t xml:space="preserve">Given a suspected patient's symptoms, exposure and location, estimate whether it is really Lassa fever.</w:t>
            </w:r>
          </w:p>
        </w:tc>
      </w:tr>
      <w:tr>
        <w:tc>
          <w:tcPr>
            <w:tcW w:type="dxa" w:w="2400"/>
            <w:shd w:fill="E6F4F1" w:color="auto" w:val="clear"/>
            <w:tcMar>
              <w:top w:type="dxa" w:w="60"/>
              <w:left w:type="dxa" w:w="120"/>
              <w:bottom w:type="dxa" w:w="60"/>
              <w:right w:type="dxa" w:w="120"/>
            </w:tcMar>
          </w:tcPr>
          <w:p>
            <w:pPr>
              <w:spacing w:line="280"/>
            </w:pPr>
            <w:r>
              <w:rPr>
                <w:b/>
                <w:bCs/>
                <w:color w:val="1F2933"/>
                <w:sz w:val="22"/>
                <w:szCs w:val="22"/>
              </w:rPr>
              <w:t xml:space="preserve">Predict outbreaks</w:t>
            </w:r>
          </w:p>
        </w:tc>
        <w:tc>
          <w:tcPr>
            <w:tcW w:type="dxa" w:w="6960"/>
            <w:shd w:fill="E6F4F1" w:color="auto" w:val="clear"/>
            <w:tcMar>
              <w:top w:type="dxa" w:w="60"/>
              <w:left w:type="dxa" w:w="120"/>
              <w:bottom w:type="dxa" w:w="60"/>
              <w:right w:type="dxa" w:w="120"/>
            </w:tcMar>
          </w:tcPr>
          <w:p>
            <w:pPr>
              <w:spacing w:line="280"/>
            </w:pPr>
            <w:r>
              <w:rPr>
                <w:color w:val="1F2933"/>
                <w:sz w:val="21"/>
                <w:szCs w:val="21"/>
              </w:rPr>
              <w:t xml:space="preserve">For each state, forecast whether the coming period looks like an outbreak.</w:t>
            </w:r>
          </w:p>
        </w:tc>
      </w:tr>
      <w:tr>
        <w:tc>
          <w:tcPr>
            <w:tcW w:type="dxa" w:w="2400"/>
            <w:tcMar>
              <w:top w:type="dxa" w:w="60"/>
              <w:left w:type="dxa" w:w="120"/>
              <w:bottom w:type="dxa" w:w="60"/>
              <w:right w:type="dxa" w:w="120"/>
            </w:tcMar>
          </w:tcPr>
          <w:p>
            <w:pPr>
              <w:spacing w:line="280"/>
            </w:pPr>
            <w:r>
              <w:rPr>
                <w:b/>
                <w:bCs/>
                <w:color w:val="1F2933"/>
                <w:sz w:val="22"/>
                <w:szCs w:val="22"/>
              </w:rPr>
              <w:t xml:space="preserve">Assess severity</w:t>
            </w:r>
          </w:p>
        </w:tc>
        <w:tc>
          <w:tcPr>
            <w:tcW w:type="dxa" w:w="6960"/>
            <w:tcMar>
              <w:top w:type="dxa" w:w="60"/>
              <w:left w:type="dxa" w:w="120"/>
              <w:bottom w:type="dxa" w:w="60"/>
              <w:right w:type="dxa" w:w="120"/>
            </w:tcMar>
          </w:tcPr>
          <w:p>
            <w:pPr>
              <w:spacing w:line="280"/>
            </w:pPr>
            <w:r>
              <w:rPr>
                <w:color w:val="1F2933"/>
                <w:sz w:val="21"/>
                <w:szCs w:val="21"/>
              </w:rPr>
              <w:t xml:space="preserve">For a confirmed case, estimate whether it is high-risk (elevated death risk).</w:t>
            </w:r>
          </w:p>
        </w:tc>
      </w:tr>
      <w:tr>
        <w:tc>
          <w:tcPr>
            <w:tcW w:type="dxa" w:w="2400"/>
            <w:shd w:fill="E6F4F1" w:color="auto" w:val="clear"/>
            <w:tcMar>
              <w:top w:type="dxa" w:w="60"/>
              <w:left w:type="dxa" w:w="120"/>
              <w:bottom w:type="dxa" w:w="60"/>
              <w:right w:type="dxa" w:w="120"/>
            </w:tcMar>
          </w:tcPr>
          <w:p>
            <w:pPr>
              <w:spacing w:line="280"/>
            </w:pPr>
            <w:r>
              <w:rPr>
                <w:b/>
                <w:bCs/>
                <w:color w:val="1F2933"/>
                <w:sz w:val="22"/>
                <w:szCs w:val="22"/>
              </w:rPr>
              <w:t xml:space="preserve">Send alerts</w:t>
            </w:r>
          </w:p>
        </w:tc>
        <w:tc>
          <w:tcPr>
            <w:tcW w:type="dxa" w:w="6960"/>
            <w:shd w:fill="E6F4F1" w:color="auto" w:val="clear"/>
            <w:tcMar>
              <w:top w:type="dxa" w:w="60"/>
              <w:left w:type="dxa" w:w="120"/>
              <w:bottom w:type="dxa" w:w="60"/>
              <w:right w:type="dxa" w:w="120"/>
            </w:tcMar>
          </w:tcPr>
          <w:p>
            <w:pPr>
              <w:spacing w:line="280"/>
            </w:pPr>
            <w:r>
              <w:rPr>
                <w:color w:val="1F2933"/>
                <w:sz w:val="21"/>
                <w:szCs w:val="21"/>
              </w:rPr>
              <w:t xml:space="preserve">Automatically notify the people in charge the moment risk is high.</w:t>
            </w:r>
          </w:p>
        </w:tc>
      </w:tr>
      <w:tr>
        <w:tc>
          <w:tcPr>
            <w:tcW w:type="dxa" w:w="2400"/>
            <w:tcMar>
              <w:top w:type="dxa" w:w="60"/>
              <w:left w:type="dxa" w:w="120"/>
              <w:bottom w:type="dxa" w:w="60"/>
              <w:right w:type="dxa" w:w="120"/>
            </w:tcMar>
          </w:tcPr>
          <w:p>
            <w:pPr>
              <w:spacing w:line="280"/>
            </w:pPr>
            <w:r>
              <w:rPr>
                <w:b/>
                <w:bCs/>
                <w:color w:val="1F2933"/>
                <w:sz w:val="22"/>
                <w:szCs w:val="22"/>
              </w:rPr>
              <w:t xml:space="preserve">Show a dashboard</w:t>
            </w:r>
          </w:p>
        </w:tc>
        <w:tc>
          <w:tcPr>
            <w:tcW w:type="dxa" w:w="6960"/>
            <w:tcMar>
              <w:top w:type="dxa" w:w="60"/>
              <w:left w:type="dxa" w:w="120"/>
              <w:bottom w:type="dxa" w:w="60"/>
              <w:right w:type="dxa" w:w="120"/>
            </w:tcMar>
          </w:tcPr>
          <w:p>
            <w:pPr>
              <w:spacing w:line="280"/>
            </w:pPr>
            <w:r>
              <w:rPr>
                <w:color w:val="1F2933"/>
                <w:sz w:val="21"/>
                <w:szCs w:val="21"/>
              </w:rPr>
              <w:t xml:space="preserve">A live screen where officials see risk by state, triage cases, view trends, and read the alert log.</w:t>
            </w:r>
          </w:p>
        </w:tc>
      </w:tr>
    </w:tbl>
    <w:p>
      <w:pPr>
        <w:pStyle w:val="Heading1"/>
        <w:spacing w:after="120" w:before="340"/>
      </w:pPr>
      <w:r>
        <w:rPr>
          <w:b/>
          <w:bCs/>
          <w:color w:val="0F766E"/>
          <w:sz w:val="30"/>
          <w:szCs w:val="30"/>
        </w:rPr>
        <w:t xml:space="preserve">4.  The “brain” — the Adaptive SVM</w:t>
      </w:r>
    </w:p>
    <w:p>
      <w:pPr>
        <w:spacing w:after="140" w:line="300"/>
      </w:pPr>
      <w:r>
        <w:rPr>
          <w:b/>
          <w:bCs/>
          <w:color w:val="1F2933"/>
          <w:sz w:val="22"/>
          <w:szCs w:val="22"/>
        </w:rPr>
        <w:t xml:space="preserve">SVM = Support Vector Machine. </w:t>
      </w:r>
      <w:r>
        <w:rPr>
          <w:color w:val="1F2933"/>
          <w:sz w:val="22"/>
          <w:szCs w:val="22"/>
        </w:rPr>
        <w:t xml:space="preserve">A classic, well-trusted machine-learning method that draws the best possible dividing line between two groups — for example, </w:t>
      </w:r>
      <w:r>
        <w:rPr>
          <w:color w:val="1F2933"/>
          <w:sz w:val="22"/>
          <w:szCs w:val="22"/>
        </w:rPr>
        <w:t xml:space="preserve">“outbreak” versus “not an outbreak.”</w:t>
      </w:r>
    </w:p>
    <w:p>
      <w:pPr>
        <w:spacing w:after="140" w:line="300"/>
      </w:pPr>
      <w:r>
        <w:rPr>
          <w:b/>
          <w:bCs/>
          <w:color w:val="1F2933"/>
          <w:sz w:val="22"/>
          <w:szCs w:val="22"/>
        </w:rPr>
        <w:t xml:space="preserve">“Adaptive” (online learning) is the special part. </w:t>
      </w:r>
      <w:r>
        <w:rPr>
          <w:color w:val="1F2933"/>
          <w:sz w:val="22"/>
          <w:szCs w:val="22"/>
        </w:rPr>
        <w:t xml:space="preserve">Instead of being trained once on a big pile of old data and then frozen, this model learns </w:t>
      </w:r>
      <w:r>
        <w:rPr>
          <w:b/>
          <w:bCs/>
          <w:color w:val="1F2933"/>
          <w:sz w:val="22"/>
          <w:szCs w:val="22"/>
        </w:rPr>
        <w:t xml:space="preserve">one small batch at a time</w:t>
      </w:r>
      <w:r>
        <w:rPr>
          <w:color w:val="1F2933"/>
          <w:sz w:val="22"/>
          <w:szCs w:val="22"/>
        </w:rPr>
        <w:t xml:space="preserve"> and updates itself with every new case. Think of a nurse who gets sharper with each patient she sees — not one who studied years ago and then stopped learning.</w:t>
      </w:r>
    </w:p>
    <w:p>
      <w:pPr>
        <w:spacing w:after="140" w:line="300"/>
      </w:pPr>
      <w:r>
        <w:rPr>
          <w:color w:val="1F2933"/>
          <w:sz w:val="22"/>
          <w:szCs w:val="22"/>
        </w:rPr>
        <w:t xml:space="preserve">Under the hood it is a </w:t>
      </w:r>
      <w:r>
        <w:rPr>
          <w:b/>
          <w:bCs/>
          <w:color w:val="1F2933"/>
          <w:sz w:val="22"/>
          <w:szCs w:val="22"/>
        </w:rPr>
        <w:t xml:space="preserve">SGDClassifier(loss='hinge')</w:t>
      </w:r>
      <w:r>
        <w:rPr>
          <w:color w:val="1F2933"/>
          <w:sz w:val="22"/>
          <w:szCs w:val="22"/>
        </w:rPr>
        <w:t xml:space="preserve"> updated with </w:t>
      </w:r>
      <w:r>
        <w:rPr>
          <w:b/>
          <w:bCs/>
          <w:color w:val="1F2933"/>
          <w:sz w:val="22"/>
          <w:szCs w:val="22"/>
        </w:rPr>
        <w:t xml:space="preserve">partial_fit()</w:t>
      </w:r>
      <w:r>
        <w:rPr>
          <w:color w:val="1F2933"/>
          <w:sz w:val="22"/>
          <w:szCs w:val="22"/>
        </w:rPr>
        <w:t xml:space="preserve">. The “hinge loss” is what makes it an SVM; the </w:t>
      </w:r>
      <w:r>
        <w:rPr>
          <w:color w:val="1F2933"/>
          <w:sz w:val="22"/>
          <w:szCs w:val="22"/>
        </w:rPr>
        <w:t xml:space="preserve">partial_fit</w:t>
      </w:r>
      <w:r>
        <w:rPr>
          <w:color w:val="1F2933"/>
          <w:sz w:val="22"/>
          <w:szCs w:val="22"/>
        </w:rPr>
        <w:t xml:space="preserve"> step is what lets it keep learning on the fly. </w:t>
      </w:r>
      <w:r>
        <w:rPr>
          <w:b/>
          <w:bCs/>
          <w:color w:val="1F2933"/>
          <w:sz w:val="22"/>
          <w:szCs w:val="22"/>
        </w:rPr>
        <w:t xml:space="preserve">This always-learning ability is the core contribution of the thesis.</w:t>
      </w:r>
    </w:p>
    <w:p>
      <w:pPr>
        <w:pStyle w:val="Heading1"/>
        <w:spacing w:after="120" w:before="340"/>
      </w:pPr>
      <w:r>
        <w:rPr>
          <w:b/>
          <w:bCs/>
          <w:color w:val="0F766E"/>
          <w:sz w:val="30"/>
          <w:szCs w:val="30"/>
        </w:rPr>
        <w:t xml:space="preserve">5.  The real data (not mock data)</w:t>
      </w:r>
    </w:p>
    <w:p>
      <w:pPr>
        <w:pStyle w:val="ListParagraph"/>
        <w:numPr>
          <w:ilvl w:val="0"/>
          <w:numId w:val="2"/>
        </w:numPr>
        <w:spacing w:after="70" w:line="288"/>
      </w:pPr>
      <w:r>
        <w:rPr>
          <w:b/>
          <w:bCs/>
          <w:color w:val="1F2933"/>
          <w:sz w:val="22"/>
          <w:szCs w:val="22"/>
        </w:rPr>
        <w:t xml:space="preserve">Source: </w:t>
      </w:r>
      <w:r>
        <w:rPr>
          <w:color w:val="1F2933"/>
          <w:sz w:val="22"/>
          <w:szCs w:val="22"/>
        </w:rPr>
        <w:t xml:space="preserve">the real SORMAS / NCDC Lassa fever line-list, published on Zenodo (record 7309567).</w:t>
      </w:r>
    </w:p>
    <w:p>
      <w:pPr>
        <w:pStyle w:val="ListParagraph"/>
        <w:numPr>
          <w:ilvl w:val="0"/>
          <w:numId w:val="2"/>
        </w:numPr>
        <w:spacing w:after="70" w:line="288"/>
      </w:pPr>
      <w:r>
        <w:rPr>
          <w:b/>
          <w:bCs/>
          <w:color w:val="1F2933"/>
          <w:sz w:val="22"/>
          <w:szCs w:val="22"/>
        </w:rPr>
        <w:t xml:space="preserve">Size: </w:t>
      </w:r>
      <w:r>
        <w:rPr>
          <w:color w:val="1F2933"/>
          <w:sz w:val="22"/>
          <w:szCs w:val="22"/>
        </w:rPr>
        <w:t xml:space="preserve">20,062 real cases from 2018–2021, across 774 local government areas in 37 states.</w:t>
      </w:r>
    </w:p>
    <w:p>
      <w:pPr>
        <w:pStyle w:val="ListParagraph"/>
        <w:numPr>
          <w:ilvl w:val="0"/>
          <w:numId w:val="2"/>
        </w:numPr>
        <w:spacing w:after="70" w:line="288"/>
      </w:pPr>
      <w:r>
        <w:rPr>
          <w:b/>
          <w:bCs/>
          <w:color w:val="1F2933"/>
          <w:sz w:val="22"/>
          <w:szCs w:val="22"/>
        </w:rPr>
        <w:t xml:space="preserve">Confirmed: </w:t>
      </w:r>
      <w:r>
        <w:rPr>
          <w:color w:val="1F2933"/>
          <w:sz w:val="22"/>
          <w:szCs w:val="22"/>
        </w:rPr>
        <w:t xml:space="preserve">3,162 of those cases were laboratory-confirmed positive.</w:t>
      </w:r>
    </w:p>
    <w:p>
      <w:pPr>
        <w:pStyle w:val="ListParagraph"/>
        <w:numPr>
          <w:ilvl w:val="0"/>
          <w:numId w:val="2"/>
        </w:numPr>
        <w:spacing w:after="70" w:line="288"/>
      </w:pPr>
      <w:r>
        <w:rPr>
          <w:b/>
          <w:bCs/>
          <w:color w:val="1F2933"/>
          <w:sz w:val="22"/>
          <w:szCs w:val="22"/>
        </w:rPr>
        <w:t xml:space="preserve">Detail per case: </w:t>
      </w:r>
      <w:r>
        <w:rPr>
          <w:color w:val="1F2933"/>
          <w:sz w:val="22"/>
          <w:szCs w:val="22"/>
        </w:rPr>
        <w:t xml:space="preserve">about 40 symptom flags, plus demographics, exposure history, outcome (recovered / deceased), dates and location.</w:t>
      </w:r>
    </w:p>
    <w:p>
      <w:pPr>
        <w:spacing w:after="120"/>
      </w:pPr>
      <w:r>
        <w:rPr>
          <w:color w:val="1F2933"/>
          <w:sz w:val="22"/>
          <w:szCs w:val="22"/>
        </w:rPr>
        <w:t xml:space="preserve">These are actual Nigerian disease-surveillance records — not made-up numbers.</w:t>
      </w:r>
    </w:p>
    <w:p>
      <w:pPr>
        <w:pStyle w:val="Heading1"/>
        <w:spacing w:after="120" w:before="340"/>
      </w:pPr>
      <w:r>
        <w:rPr>
          <w:b/>
          <w:bCs/>
          <w:color w:val="0F766E"/>
          <w:sz w:val="30"/>
          <w:szCs w:val="30"/>
        </w:rPr>
        <w:t xml:space="preserve">6.  The results (told honestly)</w:t>
      </w:r>
    </w:p>
    <w:tbl>
      <w:tblPr>
        <w:tblW w:type="dxa" w:w="9360"/>
        <w:tblBorders>
          <w:top w:val="single" w:color="B8D8D2" w:sz="4"/>
          <w:left w:val="single" w:color="B8D8D2" w:sz="4"/>
          <w:bottom w:val="single" w:color="B8D8D2" w:sz="4"/>
          <w:right w:val="single" w:color="B8D8D2" w:sz="4"/>
          <w:insideH w:val="single" w:color="B8D8D2" w:sz="4"/>
          <w:insideV w:val="single" w:color="B8D8D2" w:sz="4"/>
        </w:tblBorders>
      </w:tblPr>
      <w:tblGrid>
        <w:gridCol w:w="2700"/>
        <w:gridCol w:w="2160"/>
        <w:gridCol w:w="4500"/>
      </w:tblGrid>
      <w:tr>
        <w:trPr>
          <w:tblHeader/>
        </w:trPr>
        <w:tc>
          <w:tcPr>
            <w:tcW w:type="dxa" w:w="2700"/>
            <w:shd w:fill="0F766E" w:color="auto" w:val="clear"/>
            <w:tcMar>
              <w:top w:type="dxa" w:w="60"/>
              <w:left w:type="dxa" w:w="120"/>
              <w:bottom w:type="dxa" w:w="60"/>
              <w:right w:type="dxa" w:w="120"/>
            </w:tcMar>
          </w:tcPr>
          <w:p>
            <w:r>
              <w:rPr>
                <w:b/>
                <w:bCs/>
                <w:color w:val="FFFFFF"/>
                <w:sz w:val="21"/>
                <w:szCs w:val="21"/>
              </w:rPr>
              <w:t xml:space="preserve">Task</w:t>
            </w:r>
          </w:p>
        </w:tc>
        <w:tc>
          <w:tcPr>
            <w:tcW w:type="dxa" w:w="2160"/>
            <w:shd w:fill="0F766E" w:color="auto" w:val="clear"/>
            <w:tcMar>
              <w:top w:type="dxa" w:w="60"/>
              <w:left w:type="dxa" w:w="120"/>
              <w:bottom w:type="dxa" w:w="60"/>
              <w:right w:type="dxa" w:w="120"/>
            </w:tcMar>
          </w:tcPr>
          <w:p>
            <w:r>
              <w:rPr>
                <w:b/>
                <w:bCs/>
                <w:color w:val="FFFFFF"/>
                <w:sz w:val="21"/>
                <w:szCs w:val="21"/>
              </w:rPr>
              <w:t xml:space="preserve">Accuracy (AUC)</w:t>
            </w:r>
          </w:p>
        </w:tc>
        <w:tc>
          <w:tcPr>
            <w:tcW w:type="dxa" w:w="4500"/>
            <w:shd w:fill="0F766E" w:color="auto" w:val="clear"/>
            <w:tcMar>
              <w:top w:type="dxa" w:w="60"/>
              <w:left w:type="dxa" w:w="120"/>
              <w:bottom w:type="dxa" w:w="60"/>
              <w:right w:type="dxa" w:w="120"/>
            </w:tcMar>
          </w:tcPr>
          <w:p>
            <w:r>
              <w:rPr>
                <w:b/>
                <w:bCs/>
                <w:color w:val="FFFFFF"/>
                <w:sz w:val="21"/>
                <w:szCs w:val="21"/>
              </w:rPr>
              <w:t xml:space="preserve">What it means</w:t>
            </w:r>
          </w:p>
        </w:tc>
      </w:tr>
      <w:tr>
        <w:tc>
          <w:tcPr>
            <w:tcW w:type="dxa" w:w="2700"/>
            <w:tcMar>
              <w:top w:type="dxa" w:w="60"/>
              <w:left w:type="dxa" w:w="120"/>
              <w:bottom w:type="dxa" w:w="60"/>
              <w:right w:type="dxa" w:w="120"/>
            </w:tcMar>
          </w:tcPr>
          <w:p>
            <w:pPr>
              <w:spacing w:line="280"/>
            </w:pPr>
            <w:r>
              <w:rPr>
                <w:b/>
                <w:bCs/>
                <w:color w:val="1F2933"/>
                <w:sz w:val="22"/>
                <w:szCs w:val="22"/>
              </w:rPr>
              <w:t xml:space="preserve">Outbreak prediction</w:t>
            </w:r>
          </w:p>
        </w:tc>
        <w:tc>
          <w:tcPr>
            <w:tcW w:type="dxa" w:w="2160"/>
            <w:tcMar>
              <w:top w:type="dxa" w:w="60"/>
              <w:left w:type="dxa" w:w="120"/>
              <w:bottom w:type="dxa" w:w="60"/>
              <w:right w:type="dxa" w:w="120"/>
            </w:tcMar>
          </w:tcPr>
          <w:p>
            <w:pPr>
              <w:spacing w:line="280"/>
            </w:pPr>
            <w:r>
              <w:rPr>
                <w:b/>
                <w:bCs/>
                <w:color w:val="1F2933"/>
                <w:sz w:val="22"/>
                <w:szCs w:val="22"/>
              </w:rPr>
              <w:t xml:space="preserve">~0.89  (strong)</w:t>
            </w:r>
          </w:p>
        </w:tc>
        <w:tc>
          <w:tcPr>
            <w:tcW w:type="dxa" w:w="4500"/>
            <w:tcMar>
              <w:top w:type="dxa" w:w="60"/>
              <w:left w:type="dxa" w:w="120"/>
              <w:bottom w:type="dxa" w:w="60"/>
              <w:right w:type="dxa" w:w="120"/>
            </w:tcMar>
          </w:tcPr>
          <w:p>
            <w:pPr>
              <w:spacing w:line="280"/>
            </w:pPr>
            <w:r>
              <w:rPr>
                <w:color w:val="1F2933"/>
                <w:sz w:val="21"/>
                <w:szCs w:val="21"/>
              </w:rPr>
              <w:t xml:space="preserve">Correctly ranks Edo, Ondo and Bauchi — the real Lassa hotspots — as the highest-risk states.</w:t>
            </w:r>
          </w:p>
        </w:tc>
      </w:tr>
      <w:tr>
        <w:tc>
          <w:tcPr>
            <w:tcW w:type="dxa" w:w="2700"/>
            <w:shd w:fill="E6F4F1" w:color="auto" w:val="clear"/>
            <w:tcMar>
              <w:top w:type="dxa" w:w="60"/>
              <w:left w:type="dxa" w:w="120"/>
              <w:bottom w:type="dxa" w:w="60"/>
              <w:right w:type="dxa" w:w="120"/>
            </w:tcMar>
          </w:tcPr>
          <w:p>
            <w:pPr>
              <w:spacing w:line="280"/>
            </w:pPr>
            <w:r>
              <w:rPr>
                <w:b/>
                <w:bCs/>
                <w:color w:val="1F2933"/>
                <w:sz w:val="22"/>
                <w:szCs w:val="22"/>
              </w:rPr>
              <w:t xml:space="preserve">Diagnosis from symptoms</w:t>
            </w:r>
          </w:p>
        </w:tc>
        <w:tc>
          <w:tcPr>
            <w:tcW w:type="dxa" w:w="2160"/>
            <w:shd w:fill="E6F4F1" w:color="auto" w:val="clear"/>
            <w:tcMar>
              <w:top w:type="dxa" w:w="60"/>
              <w:left w:type="dxa" w:w="120"/>
              <w:bottom w:type="dxa" w:w="60"/>
              <w:right w:type="dxa" w:w="120"/>
            </w:tcMar>
          </w:tcPr>
          <w:p>
            <w:pPr>
              <w:spacing w:line="280"/>
            </w:pPr>
            <w:r>
              <w:rPr>
                <w:color w:val="1F2933"/>
                <w:sz w:val="21"/>
                <w:szCs w:val="21"/>
              </w:rPr>
              <w:t xml:space="preserve">~0.64  (modest)</w:t>
            </w:r>
          </w:p>
        </w:tc>
        <w:tc>
          <w:tcPr>
            <w:tcW w:type="dxa" w:w="4500"/>
            <w:shd w:fill="E6F4F1" w:color="auto" w:val="clear"/>
            <w:tcMar>
              <w:top w:type="dxa" w:w="60"/>
              <w:left w:type="dxa" w:w="120"/>
              <w:bottom w:type="dxa" w:w="60"/>
              <w:right w:type="dxa" w:w="120"/>
            </w:tcMar>
          </w:tcPr>
          <w:p>
            <w:pPr>
              <w:spacing w:line="280"/>
            </w:pPr>
            <w:r>
              <w:rPr>
                <w:color w:val="1F2933"/>
                <w:sz w:val="21"/>
                <w:szCs w:val="21"/>
              </w:rPr>
              <w:t xml:space="preserve">Early Lassa symptoms look like malaria or flu, so symptoms alone are genuinely limited. This is a real, documented finding — not a bug.</w:t>
            </w:r>
          </w:p>
        </w:tc>
      </w:tr>
      <w:tr>
        <w:tc>
          <w:tcPr>
            <w:tcW w:type="dxa" w:w="2700"/>
            <w:tcMar>
              <w:top w:type="dxa" w:w="60"/>
              <w:left w:type="dxa" w:w="120"/>
              <w:bottom w:type="dxa" w:w="60"/>
              <w:right w:type="dxa" w:w="120"/>
            </w:tcMar>
          </w:tcPr>
          <w:p>
            <w:pPr>
              <w:spacing w:line="280"/>
            </w:pPr>
            <w:r>
              <w:rPr>
                <w:b/>
                <w:bCs/>
                <w:color w:val="1F2933"/>
                <w:sz w:val="22"/>
                <w:szCs w:val="22"/>
              </w:rPr>
              <w:t xml:space="preserve">Outcome / death risk</w:t>
            </w:r>
          </w:p>
        </w:tc>
        <w:tc>
          <w:tcPr>
            <w:tcW w:type="dxa" w:w="2160"/>
            <w:tcMar>
              <w:top w:type="dxa" w:w="60"/>
              <w:left w:type="dxa" w:w="120"/>
              <w:bottom w:type="dxa" w:w="60"/>
              <w:right w:type="dxa" w:w="120"/>
            </w:tcMar>
          </w:tcPr>
          <w:p>
            <w:pPr>
              <w:spacing w:line="280"/>
            </w:pPr>
            <w:r>
              <w:rPr>
                <w:color w:val="1F2933"/>
                <w:sz w:val="21"/>
                <w:szCs w:val="21"/>
              </w:rPr>
              <w:t xml:space="preserve">~0.57  (weak)</w:t>
            </w:r>
          </w:p>
        </w:tc>
        <w:tc>
          <w:tcPr>
            <w:tcW w:type="dxa" w:w="4500"/>
            <w:tcMar>
              <w:top w:type="dxa" w:w="60"/>
              <w:left w:type="dxa" w:w="120"/>
              <w:bottom w:type="dxa" w:w="60"/>
              <w:right w:type="dxa" w:w="120"/>
            </w:tcMar>
          </w:tcPr>
          <w:p>
            <w:pPr>
              <w:spacing w:line="280"/>
            </w:pPr>
            <w:r>
              <w:rPr>
                <w:color w:val="1F2933"/>
                <w:sz w:val="21"/>
                <w:szCs w:val="21"/>
              </w:rPr>
              <w:t xml:space="preserve">Reported honestly: symptoms are only a faint signal of who will survive.</w:t>
            </w:r>
          </w:p>
        </w:tc>
      </w:tr>
    </w:tbl>
    <w:p>
      <w:pPr>
        <w:spacing w:after="140" w:line="300"/>
      </w:pPr>
      <w:r>
        <w:rPr>
          <w:b/>
          <w:bCs/>
          <w:color w:val="1F2933"/>
          <w:sz w:val="22"/>
          <w:szCs w:val="22"/>
        </w:rPr>
        <w:t xml:space="preserve">The headline finding: </w:t>
      </w:r>
      <w:r>
        <w:rPr>
          <w:color w:val="1F2933"/>
          <w:sz w:val="22"/>
          <w:szCs w:val="22"/>
        </w:rPr>
        <w:t xml:space="preserve">the adaptive, always-learning model (0.89) is essentially as accurate as a traditional “train-once” batch model (0.91). </w:t>
      </w:r>
      <w:r>
        <w:rPr>
          <w:color w:val="1F2933"/>
          <w:sz w:val="22"/>
          <w:szCs w:val="22"/>
        </w:rPr>
        <w:t xml:space="preserve">In other words, you get the continuous-learning benefit at </w:t>
      </w:r>
      <w:r>
        <w:rPr>
          <w:b/>
          <w:bCs/>
          <w:color w:val="1F2933"/>
          <w:sz w:val="22"/>
          <w:szCs w:val="22"/>
        </w:rPr>
        <w:t xml:space="preserve">almost no cost in accuracy</w:t>
      </w:r>
      <w:r>
        <w:rPr>
          <w:color w:val="1F2933"/>
          <w:sz w:val="22"/>
          <w:szCs w:val="22"/>
        </w:rPr>
        <w:t xml:space="preserve"> — which is exactly the point the thesis sets out to prove.</w:t>
      </w:r>
    </w:p>
    <w:p>
      <w:pPr>
        <w:pStyle w:val="Heading1"/>
        <w:spacing w:after="120" w:before="340"/>
      </w:pPr>
      <w:r>
        <w:rPr>
          <w:b/>
          <w:bCs/>
          <w:color w:val="0F766E"/>
          <w:sz w:val="30"/>
          <w:szCs w:val="30"/>
        </w:rPr>
        <w:t xml:space="preserve">7.  The tools, in plain English</w:t>
      </w:r>
    </w:p>
    <w:p>
      <w:pPr>
        <w:spacing w:after="140" w:line="300"/>
      </w:pPr>
      <w:r>
        <w:rPr>
          <w:color w:val="1F2933"/>
          <w:sz w:val="22"/>
          <w:szCs w:val="22"/>
        </w:rPr>
        <w:t xml:space="preserve">These are deliberately lightweight stand-ins for the heavy “big-data” tools in the original design, chosen so the whole system runs on a single laptop.</w:t>
      </w:r>
    </w:p>
    <w:tbl>
      <w:tblPr>
        <w:tblW w:type="dxa" w:w="9360"/>
        <w:tblBorders>
          <w:top w:val="single" w:color="B8D8D2" w:sz="4"/>
          <w:left w:val="single" w:color="B8D8D2" w:sz="4"/>
          <w:bottom w:val="single" w:color="B8D8D2" w:sz="4"/>
          <w:right w:val="single" w:color="B8D8D2" w:sz="4"/>
          <w:insideH w:val="single" w:color="B8D8D2" w:sz="4"/>
          <w:insideV w:val="single" w:color="B8D8D2" w:sz="4"/>
        </w:tblBorders>
      </w:tblPr>
      <w:tblGrid>
        <w:gridCol w:w="3000"/>
        <w:gridCol w:w="6360"/>
      </w:tblGrid>
      <w:tr>
        <w:trPr>
          <w:tblHeader/>
        </w:trPr>
        <w:tc>
          <w:tcPr>
            <w:tcW w:type="dxa" w:w="3000"/>
            <w:shd w:fill="0F766E" w:color="auto" w:val="clear"/>
            <w:tcMar>
              <w:top w:type="dxa" w:w="60"/>
              <w:left w:type="dxa" w:w="120"/>
              <w:bottom w:type="dxa" w:w="60"/>
              <w:right w:type="dxa" w:w="120"/>
            </w:tcMar>
          </w:tcPr>
          <w:p>
            <w:r>
              <w:rPr>
                <w:b/>
                <w:bCs/>
                <w:color w:val="FFFFFF"/>
                <w:sz w:val="21"/>
                <w:szCs w:val="21"/>
              </w:rPr>
              <w:t xml:space="preserve">Tool</w:t>
            </w:r>
          </w:p>
        </w:tc>
        <w:tc>
          <w:tcPr>
            <w:tcW w:type="dxa" w:w="6360"/>
            <w:shd w:fill="0F766E" w:color="auto" w:val="clear"/>
            <w:tcMar>
              <w:top w:type="dxa" w:w="60"/>
              <w:left w:type="dxa" w:w="120"/>
              <w:bottom w:type="dxa" w:w="60"/>
              <w:right w:type="dxa" w:w="120"/>
            </w:tcMar>
          </w:tcPr>
          <w:p>
            <w:r>
              <w:rPr>
                <w:b/>
                <w:bCs/>
                <w:color w:val="FFFFFF"/>
                <w:sz w:val="21"/>
                <w:szCs w:val="21"/>
              </w:rPr>
              <w:t xml:space="preserve">Its plain-English role</w:t>
            </w:r>
          </w:p>
        </w:tc>
      </w:tr>
      <w:tr>
        <w:tc>
          <w:tcPr>
            <w:tcW w:type="dxa" w:w="3000"/>
            <w:tcMar>
              <w:top w:type="dxa" w:w="60"/>
              <w:left w:type="dxa" w:w="120"/>
              <w:bottom w:type="dxa" w:w="60"/>
              <w:right w:type="dxa" w:w="120"/>
            </w:tcMar>
          </w:tcPr>
          <w:p>
            <w:pPr>
              <w:spacing w:line="280"/>
            </w:pPr>
            <w:r>
              <w:rPr>
                <w:b/>
                <w:bCs/>
                <w:color w:val="1F2933"/>
                <w:sz w:val="22"/>
                <w:szCs w:val="22"/>
              </w:rPr>
              <w:t xml:space="preserve">Redis Streams</w:t>
            </w:r>
          </w:p>
        </w:tc>
        <w:tc>
          <w:tcPr>
            <w:tcW w:type="dxa" w:w="6360"/>
            <w:tcMar>
              <w:top w:type="dxa" w:w="60"/>
              <w:left w:type="dxa" w:w="120"/>
              <w:bottom w:type="dxa" w:w="60"/>
              <w:right w:type="dxa" w:w="120"/>
            </w:tcMar>
          </w:tcPr>
          <w:p>
            <w:pPr>
              <w:spacing w:line="280"/>
            </w:pPr>
            <w:r>
              <w:rPr>
                <w:color w:val="1F2933"/>
                <w:sz w:val="21"/>
                <w:szCs w:val="21"/>
              </w:rPr>
              <w:t xml:space="preserve">The conveyor belt — carries new case records into the system one after another.</w:t>
            </w:r>
          </w:p>
        </w:tc>
      </w:tr>
      <w:tr>
        <w:tc>
          <w:tcPr>
            <w:tcW w:type="dxa" w:w="3000"/>
            <w:shd w:fill="E6F4F1" w:color="auto" w:val="clear"/>
            <w:tcMar>
              <w:top w:type="dxa" w:w="60"/>
              <w:left w:type="dxa" w:w="120"/>
              <w:bottom w:type="dxa" w:w="60"/>
              <w:right w:type="dxa" w:w="120"/>
            </w:tcMar>
          </w:tcPr>
          <w:p>
            <w:pPr>
              <w:spacing w:line="280"/>
            </w:pPr>
            <w:r>
              <w:rPr>
                <w:b/>
                <w:bCs/>
                <w:color w:val="1F2933"/>
                <w:sz w:val="22"/>
                <w:szCs w:val="22"/>
              </w:rPr>
              <w:t xml:space="preserve">Pandas (streaming loop)</w:t>
            </w:r>
          </w:p>
        </w:tc>
        <w:tc>
          <w:tcPr>
            <w:tcW w:type="dxa" w:w="6360"/>
            <w:shd w:fill="E6F4F1" w:color="auto" w:val="clear"/>
            <w:tcMar>
              <w:top w:type="dxa" w:w="60"/>
              <w:left w:type="dxa" w:w="120"/>
              <w:bottom w:type="dxa" w:w="60"/>
              <w:right w:type="dxa" w:w="120"/>
            </w:tcMar>
          </w:tcPr>
          <w:p>
            <w:pPr>
              <w:spacing w:line="280"/>
            </w:pPr>
            <w:r>
              <w:rPr>
                <w:color w:val="1F2933"/>
                <w:sz w:val="21"/>
                <w:szCs w:val="21"/>
              </w:rPr>
              <w:t xml:space="preserve">The workbench — cleans and shapes each incoming batch of data.</w:t>
            </w:r>
          </w:p>
        </w:tc>
      </w:tr>
      <w:tr>
        <w:tc>
          <w:tcPr>
            <w:tcW w:type="dxa" w:w="3000"/>
            <w:tcMar>
              <w:top w:type="dxa" w:w="60"/>
              <w:left w:type="dxa" w:w="120"/>
              <w:bottom w:type="dxa" w:w="60"/>
              <w:right w:type="dxa" w:w="120"/>
            </w:tcMar>
          </w:tcPr>
          <w:p>
            <w:pPr>
              <w:spacing w:line="280"/>
            </w:pPr>
            <w:r>
              <w:rPr>
                <w:b/>
                <w:bCs/>
                <w:color w:val="1F2933"/>
                <w:sz w:val="22"/>
                <w:szCs w:val="22"/>
              </w:rPr>
              <w:t xml:space="preserve">MongoDB + SQLite</w:t>
            </w:r>
          </w:p>
        </w:tc>
        <w:tc>
          <w:tcPr>
            <w:tcW w:type="dxa" w:w="6360"/>
            <w:tcMar>
              <w:top w:type="dxa" w:w="60"/>
              <w:left w:type="dxa" w:w="120"/>
              <w:bottom w:type="dxa" w:w="60"/>
              <w:right w:type="dxa" w:w="120"/>
            </w:tcMar>
          </w:tcPr>
          <w:p>
            <w:pPr>
              <w:spacing w:line="280"/>
            </w:pPr>
            <w:r>
              <w:rPr>
                <w:color w:val="1F2933"/>
                <w:sz w:val="21"/>
                <w:szCs w:val="21"/>
              </w:rPr>
              <w:t xml:space="preserve">The filing cabinets — MongoDB holds the case records; SQLite holds the alert log.</w:t>
            </w:r>
          </w:p>
        </w:tc>
      </w:tr>
      <w:tr>
        <w:tc>
          <w:tcPr>
            <w:tcW w:type="dxa" w:w="3000"/>
            <w:shd w:fill="E6F4F1" w:color="auto" w:val="clear"/>
            <w:tcMar>
              <w:top w:type="dxa" w:w="60"/>
              <w:left w:type="dxa" w:w="120"/>
              <w:bottom w:type="dxa" w:w="60"/>
              <w:right w:type="dxa" w:w="120"/>
            </w:tcMar>
          </w:tcPr>
          <w:p>
            <w:pPr>
              <w:spacing w:line="280"/>
            </w:pPr>
            <w:r>
              <w:rPr>
                <w:b/>
                <w:bCs/>
                <w:color w:val="1F2933"/>
                <w:sz w:val="22"/>
                <w:szCs w:val="22"/>
              </w:rPr>
              <w:t xml:space="preserve">Adaptive SVM (scikit-learn)</w:t>
            </w:r>
          </w:p>
        </w:tc>
        <w:tc>
          <w:tcPr>
            <w:tcW w:type="dxa" w:w="6360"/>
            <w:shd w:fill="E6F4F1" w:color="auto" w:val="clear"/>
            <w:tcMar>
              <w:top w:type="dxa" w:w="60"/>
              <w:left w:type="dxa" w:w="120"/>
              <w:bottom w:type="dxa" w:w="60"/>
              <w:right w:type="dxa" w:w="120"/>
            </w:tcMar>
          </w:tcPr>
          <w:p>
            <w:pPr>
              <w:spacing w:line="280"/>
            </w:pPr>
            <w:r>
              <w:rPr>
                <w:color w:val="1F2933"/>
                <w:sz w:val="21"/>
                <w:szCs w:val="21"/>
              </w:rPr>
              <w:t xml:space="preserve">The brain — learns from each batch and makes the predictions.</w:t>
            </w:r>
          </w:p>
        </w:tc>
      </w:tr>
      <w:tr>
        <w:tc>
          <w:tcPr>
            <w:tcW w:type="dxa" w:w="3000"/>
            <w:tcMar>
              <w:top w:type="dxa" w:w="60"/>
              <w:left w:type="dxa" w:w="120"/>
              <w:bottom w:type="dxa" w:w="60"/>
              <w:right w:type="dxa" w:w="120"/>
            </w:tcMar>
          </w:tcPr>
          <w:p>
            <w:pPr>
              <w:spacing w:line="280"/>
            </w:pPr>
            <w:r>
              <w:rPr>
                <w:b/>
                <w:bCs/>
                <w:color w:val="1F2933"/>
                <w:sz w:val="22"/>
                <w:szCs w:val="22"/>
              </w:rPr>
              <w:t xml:space="preserve">Streamlit</w:t>
            </w:r>
          </w:p>
        </w:tc>
        <w:tc>
          <w:tcPr>
            <w:tcW w:type="dxa" w:w="6360"/>
            <w:tcMar>
              <w:top w:type="dxa" w:w="60"/>
              <w:left w:type="dxa" w:w="120"/>
              <w:bottom w:type="dxa" w:w="60"/>
              <w:right w:type="dxa" w:w="120"/>
            </w:tcMar>
          </w:tcPr>
          <w:p>
            <w:pPr>
              <w:spacing w:line="280"/>
            </w:pPr>
            <w:r>
              <w:rPr>
                <w:color w:val="1F2933"/>
                <w:sz w:val="21"/>
                <w:szCs w:val="21"/>
              </w:rPr>
              <w:t xml:space="preserve">The control-room screen — the dashboard officials actually look at.</w:t>
            </w:r>
          </w:p>
        </w:tc>
      </w:tr>
      <w:tr>
        <w:tc>
          <w:tcPr>
            <w:tcW w:type="dxa" w:w="3000"/>
            <w:shd w:fill="E6F4F1" w:color="auto" w:val="clear"/>
            <w:tcMar>
              <w:top w:type="dxa" w:w="60"/>
              <w:left w:type="dxa" w:w="120"/>
              <w:bottom w:type="dxa" w:w="60"/>
              <w:right w:type="dxa" w:w="120"/>
            </w:tcMar>
          </w:tcPr>
          <w:p>
            <w:pPr>
              <w:spacing w:line="280"/>
            </w:pPr>
            <w:r>
              <w:rPr>
                <w:b/>
                <w:bCs/>
                <w:color w:val="1F2933"/>
                <w:sz w:val="22"/>
                <w:szCs w:val="22"/>
              </w:rPr>
              <w:t xml:space="preserve">Docker Compose</w:t>
            </w:r>
          </w:p>
        </w:tc>
        <w:tc>
          <w:tcPr>
            <w:tcW w:type="dxa" w:w="6360"/>
            <w:shd w:fill="E6F4F1" w:color="auto" w:val="clear"/>
            <w:tcMar>
              <w:top w:type="dxa" w:w="60"/>
              <w:left w:type="dxa" w:w="120"/>
              <w:bottom w:type="dxa" w:w="60"/>
              <w:right w:type="dxa" w:w="120"/>
            </w:tcMar>
          </w:tcPr>
          <w:p>
            <w:pPr>
              <w:spacing w:line="280"/>
            </w:pPr>
            <w:r>
              <w:rPr>
                <w:color w:val="1F2933"/>
                <w:sz w:val="21"/>
                <w:szCs w:val="21"/>
              </w:rPr>
              <w:t xml:space="preserve">The moving box — packs the whole system so it runs anywhere with one command.</w:t>
            </w:r>
          </w:p>
        </w:tc>
      </w:tr>
    </w:tbl>
    <w:p>
      <w:pPr>
        <w:spacing w:after="140" w:line="300"/>
      </w:pPr>
      <w:r>
        <w:rPr>
          <w:b/>
          <w:bCs/>
          <w:color w:val="1F2933"/>
          <w:sz w:val="22"/>
          <w:szCs w:val="22"/>
        </w:rPr>
        <w:t xml:space="preserve">Why these? </w:t>
      </w:r>
      <w:r>
        <w:rPr>
          <w:color w:val="1F2933"/>
          <w:sz w:val="22"/>
          <w:szCs w:val="22"/>
        </w:rPr>
        <w:t xml:space="preserve">They replace the enterprise tools from the original plan — Redis for Kafka, Pandas for Spark, MongoDB + SQLite for Cassandra — so the entire system builds and runs on one laptop instead of a data centre.</w:t>
      </w:r>
    </w:p>
    <w:p>
      <w:pPr>
        <w:pStyle w:val="Heading1"/>
        <w:spacing w:after="120" w:before="340"/>
      </w:pPr>
      <w:r>
        <w:rPr>
          <w:b/>
          <w:bCs/>
          <w:color w:val="0F766E"/>
          <w:sz w:val="30"/>
          <w:szCs w:val="30"/>
        </w:rPr>
        <w:t xml:space="preserve">8.  What has actually been built</w:t>
      </w:r>
    </w:p>
    <w:p>
      <w:pPr>
        <w:pStyle w:val="Heading2"/>
        <w:spacing w:after="80" w:before="220"/>
      </w:pPr>
      <w:r>
        <w:rPr>
          <w:b/>
          <w:bCs/>
          <w:color w:val="0B5A54"/>
          <w:sz w:val="24"/>
          <w:szCs w:val="24"/>
        </w:rPr>
        <w:t xml:space="preserve">Main system — the Adaptive SVM (the thesis)</w:t>
      </w:r>
    </w:p>
    <w:p>
      <w:pPr>
        <w:pStyle w:val="ListParagraph"/>
        <w:numPr>
          <w:ilvl w:val="0"/>
          <w:numId w:val="2"/>
        </w:numPr>
        <w:spacing w:after="70" w:line="288"/>
      </w:pPr>
      <w:r>
        <w:rPr>
          <w:color w:val="1F2933"/>
          <w:sz w:val="22"/>
          <w:szCs w:val="22"/>
        </w:rPr>
        <w:t xml:space="preserve">Real SORMAS Lassa data loaded, cleaned and prepared.</w:t>
      </w:r>
    </w:p>
    <w:p>
      <w:pPr>
        <w:pStyle w:val="ListParagraph"/>
        <w:numPr>
          <w:ilvl w:val="0"/>
          <w:numId w:val="2"/>
        </w:numPr>
        <w:spacing w:after="70" w:line="288"/>
      </w:pPr>
      <w:r>
        <w:rPr>
          <w:color w:val="1F2933"/>
          <w:sz w:val="22"/>
          <w:szCs w:val="22"/>
        </w:rPr>
        <w:t xml:space="preserve">Three trained online SVMs — one each for diagnosis, outbreak prediction and outcome.</w:t>
      </w:r>
    </w:p>
    <w:p>
      <w:pPr>
        <w:pStyle w:val="ListParagraph"/>
        <w:numPr>
          <w:ilvl w:val="0"/>
          <w:numId w:val="2"/>
        </w:numPr>
        <w:spacing w:after="70" w:line="288"/>
      </w:pPr>
      <w:r>
        <w:rPr>
          <w:color w:val="1F2933"/>
          <w:sz w:val="22"/>
          <w:szCs w:val="22"/>
        </w:rPr>
        <w:t xml:space="preserve">A notification layer that logs every alert to SQLite and can e-mail the officials in charge.</w:t>
      </w:r>
    </w:p>
    <w:p>
      <w:pPr>
        <w:pStyle w:val="ListParagraph"/>
        <w:numPr>
          <w:ilvl w:val="0"/>
          <w:numId w:val="2"/>
        </w:numPr>
        <w:spacing w:after="70" w:line="288"/>
      </w:pPr>
      <w:r>
        <w:rPr>
          <w:color w:val="1F2933"/>
          <w:sz w:val="22"/>
          <w:szCs w:val="22"/>
        </w:rPr>
        <w:t xml:space="preserve">A 5-tab Streamlit dashboard: Overview, Outbreak monitor, Case triage, Trends, and Notifications.</w:t>
      </w:r>
    </w:p>
    <w:p>
      <w:pPr>
        <w:pStyle w:val="Heading2"/>
        <w:spacing w:after="80" w:before="220"/>
      </w:pPr>
      <w:r>
        <w:rPr>
          <w:b/>
          <w:bCs/>
          <w:color w:val="0B5A54"/>
          <w:sz w:val="24"/>
          <w:szCs w:val="24"/>
        </w:rPr>
        <w:t xml:space="preserve">Bonus system — the earlier build (still live online)</w:t>
      </w:r>
    </w:p>
    <w:p>
      <w:pPr>
        <w:pStyle w:val="ListParagraph"/>
        <w:numPr>
          <w:ilvl w:val="0"/>
          <w:numId w:val="2"/>
        </w:numPr>
        <w:spacing w:after="70" w:line="288"/>
      </w:pPr>
      <w:r>
        <w:rPr>
          <w:color w:val="1F2933"/>
          <w:sz w:val="22"/>
          <w:szCs w:val="22"/>
        </w:rPr>
        <w:t xml:space="preserve">An LSTM forecasting + anomaly-detection system covering four diseases (Lassa, cholera, meningitis, mpox).</w:t>
      </w:r>
    </w:p>
    <w:p>
      <w:pPr>
        <w:pStyle w:val="ListParagraph"/>
        <w:numPr>
          <w:ilvl w:val="0"/>
          <w:numId w:val="2"/>
        </w:numPr>
        <w:spacing w:after="70" w:line="288"/>
      </w:pPr>
      <w:r>
        <w:rPr>
          <w:color w:val="1F2933"/>
          <w:sz w:val="22"/>
          <w:szCs w:val="22"/>
        </w:rPr>
        <w:t xml:space="preserve">Fully deployed on the internet: React dashboard on Vercel, FastAPI backend on Render, database on MongoDB Atlas.</w:t>
      </w:r>
    </w:p>
    <w:p>
      <w:pPr>
        <w:pStyle w:val="ListParagraph"/>
        <w:numPr>
          <w:ilvl w:val="0"/>
          <w:numId w:val="2"/>
        </w:numPr>
        <w:spacing w:after="70" w:line="288"/>
      </w:pPr>
      <w:r>
        <w:rPr>
          <w:b/>
          <w:bCs/>
          <w:color w:val="1F2933"/>
          <w:sz w:val="22"/>
          <w:szCs w:val="22"/>
        </w:rPr>
        <w:t xml:space="preserve">Live: </w:t>
      </w:r>
      <w:r>
        <w:rPr>
          <w:color w:val="1F2933"/>
          <w:sz w:val="22"/>
          <w:szCs w:val="22"/>
        </w:rPr>
        <w:t xml:space="preserve">disease-surveillance-early-outbreak.vercel.app</w:t>
      </w:r>
    </w:p>
    <w:p>
      <w:pPr>
        <w:pStyle w:val="Heading1"/>
        <w:spacing w:after="120" w:before="340"/>
      </w:pPr>
      <w:r>
        <w:rPr>
          <w:b/>
          <w:bCs/>
          <w:color w:val="0F766E"/>
          <w:sz w:val="30"/>
          <w:szCs w:val="30"/>
        </w:rPr>
        <w:t xml:space="preserve">9.  The 30-second version (to say out loud)</w:t>
      </w:r>
    </w:p>
    <w:p>
      <w:pPr>
        <w:pBdr>
          <w:left w:val="single" w:color="0F766E" w:sz="18" w:space="12"/>
        </w:pBdr>
        <w:spacing w:after="120" w:before="40" w:line="320"/>
        <w:ind w:left="360" w:right="360"/>
      </w:pPr>
      <w:r>
        <w:rPr>
          <w:i/>
          <w:iCs/>
          <w:color w:val="1F2933"/>
          <w:sz w:val="23"/>
          <w:szCs w:val="23"/>
        </w:rPr>
        <w:t xml:space="preserve">“I built an intelligent disease-surveillance system for Nigeria. It uses an adaptive SVM — a machine-learning model that keeps learning from every new case instead of being trained once and going stale. Working on 20,000 real Lassa fever records, it predicts which states are heading into an outbreak with about 89% accuracy, and automatically alerts the health officials in charge. The novel part is that it learns continuously while running — and I proved it is just as accurate as a traditional model that has to be shut down and retrained.”</w:t>
      </w:r>
    </w:p>
    <w:p>
      <w:pPr>
        <w:spacing w:after="120"/>
      </w:pPr>
      <w:r>
        <w:rPr>
          <w:sz w:val="2"/>
          <w:szCs w:val="2"/>
        </w:rPr>
        <w:t xml:space="preserve"/>
      </w:r>
    </w:p>
    <w:p>
      <w:pPr>
        <w:pBdr>
          <w:bottom w:val="single" w:color="B8D8D2" w:sz="6"/>
        </w:pBdr>
        <w:spacing w:after="160" w:before="60"/>
      </w:pPr>
      <w:r>
        <w:rPr>
          <w:sz w:val="2"/>
          <w:szCs w:val="2"/>
        </w:rPr>
        <w:t xml:space="preserve"/>
      </w:r>
    </w:p>
    <w:p>
      <w:pPr>
        <w:jc w:val="center"/>
      </w:pPr>
      <w:r>
        <w:rPr>
          <w:i/>
          <w:iCs/>
          <w:color w:val="52606D"/>
          <w:sz w:val="18"/>
          <w:szCs w:val="18"/>
        </w:rPr>
        <w:t xml:space="preserve">Prepared for the thesis: “An Adaptive SVM Model for Intelligent Disease Surveillance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F766E"/>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Disease Surveillance System — A Plain-English Guide</dc:title>
  <dc:creator>Disease Surveillance Project</dc:creator>
  <cp:lastModifiedBy>Un-named</cp:lastModifiedBy>
  <cp:revision>1</cp:revision>
  <dcterms:created xsi:type="dcterms:W3CDTF">2026-07-20T23:08:29.263Z</dcterms:created>
  <dcterms:modified xsi:type="dcterms:W3CDTF">2026-07-20T23:08:29.265Z</dcterms:modified>
</cp:coreProperties>
</file>

<file path=docProps/custom.xml><?xml version="1.0" encoding="utf-8"?>
<Properties xmlns="http://schemas.openxmlformats.org/officeDocument/2006/custom-properties" xmlns:vt="http://schemas.openxmlformats.org/officeDocument/2006/docPropsVTypes"/>
</file>