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5A54"/>
          <w:sz w:val="40"/>
          <w:szCs w:val="40"/>
        </w:rPr>
        <w:t xml:space="preserve">Intelligent Disease Surveillance System</w:t>
      </w:r>
    </w:p>
    <w:p>
      <w:pPr>
        <w:spacing w:after="60"/>
      </w:pPr>
      <w:r>
        <w:rPr>
          <w:b/>
          <w:bCs/>
          <w:color w:val="0F766E"/>
          <w:sz w:val="26"/>
          <w:szCs w:val="26"/>
        </w:rPr>
        <w:t xml:space="preserve">User Manual — how to use the dashboard</w:t>
      </w:r>
    </w:p>
    <w:p>
      <w:pPr>
        <w:spacing w:after="40"/>
      </w:pPr>
      <w:r>
        <w:rPr>
          <w:color w:val="1F2933"/>
          <w:sz w:val="22"/>
          <w:szCs w:val="22"/>
        </w:rPr>
        <w:t xml:space="preserve">Live app: </w:t>
      </w:r>
      <w:r>
        <w:rPr>
          <w:i/>
          <w:iCs/>
          <w:color w:val="52606D"/>
          <w:sz w:val="22"/>
          <w:szCs w:val="22"/>
        </w:rPr>
        <w:t xml:space="preserve">disease-surveillance-early-outbreak-detection.streamlit.app</w:t>
      </w:r>
    </w:p>
    <w:p>
      <w:pPr>
        <w:pBdr>
          <w:bottom w:val="single" w:color="B8D8D2" w:sz="6"/>
        </w:pBdr>
        <w:spacing w:after="150" w:before="40"/>
      </w:pPr>
      <w:r>
        <w:rPr>
          <w:sz w:val="2"/>
          <w:szCs w:val="2"/>
        </w:rPr>
        <w:t xml:space="preserve"/>
      </w:r>
    </w:p>
    <w:p>
      <w:pPr>
        <w:pStyle w:val="Heading1"/>
        <w:spacing w:after="120" w:before="320"/>
      </w:pPr>
      <w:r>
        <w:rPr>
          <w:b/>
          <w:bCs/>
          <w:color w:val="0F766E"/>
          <w:sz w:val="30"/>
          <w:szCs w:val="30"/>
        </w:rPr>
        <w:t xml:space="preserve">1.  Getting started</w:t>
      </w:r>
    </w:p>
    <w:p>
      <w:pPr>
        <w:spacing w:after="130" w:line="300"/>
      </w:pPr>
      <w:r>
        <w:rPr>
          <w:color w:val="1F2933"/>
          <w:sz w:val="22"/>
          <w:szCs w:val="22"/>
        </w:rPr>
        <w:t xml:space="preserve">The system runs in any web browser — there is nothing to install. Just open the link:</w:t>
      </w:r>
    </w:p>
    <w:p>
      <w:pPr>
        <w:spacing w:after="120"/>
      </w:pPr>
      <w:r>
        <w:rPr>
          <w:b/>
          <w:bCs/>
          <w:color w:val="1F2933"/>
          <w:sz w:val="22"/>
          <w:szCs w:val="22"/>
        </w:rPr>
        <w:t xml:space="preserve">disease-surveillance-early-outbreak-detection.streamlit.app</w:t>
      </w:r>
    </w:p>
    <w:p>
      <w:pPr>
        <w:pStyle w:val="ListParagraph"/>
        <w:numPr>
          <w:ilvl w:val="0"/>
          <w:numId w:val="2"/>
        </w:numPr>
        <w:spacing w:after="60" w:line="288"/>
      </w:pPr>
      <w:r>
        <w:rPr>
          <w:b/>
          <w:bCs/>
          <w:color w:val="1F2933"/>
          <w:sz w:val="22"/>
          <w:szCs w:val="22"/>
        </w:rPr>
        <w:t xml:space="preserve">Six tabs </w:t>
      </w:r>
      <w:r>
        <w:rPr>
          <w:color w:val="1F2933"/>
          <w:sz w:val="22"/>
          <w:szCs w:val="22"/>
        </w:rPr>
        <w:t xml:space="preserve">run across the top of the page. Click a tab to switch views.</w:t>
      </w:r>
    </w:p>
    <w:p>
      <w:pPr>
        <w:pStyle w:val="ListParagraph"/>
        <w:numPr>
          <w:ilvl w:val="0"/>
          <w:numId w:val="2"/>
        </w:numPr>
        <w:spacing w:after="60" w:line="288"/>
      </w:pPr>
      <w:r>
        <w:rPr>
          <w:color w:val="1F2933"/>
          <w:sz w:val="22"/>
          <w:szCs w:val="22"/>
        </w:rPr>
        <w:t xml:space="preserve">Just under the title, three coloured dots show which data services are live — </w:t>
      </w:r>
      <w:r>
        <w:rPr>
          <w:b/>
          <w:bCs/>
          <w:color w:val="1F2933"/>
          <w:sz w:val="22"/>
          <w:szCs w:val="22"/>
        </w:rPr>
        <w:t xml:space="preserve">SQLite</w:t>
      </w:r>
      <w:r>
        <w:rPr>
          <w:color w:val="1F2933"/>
          <w:sz w:val="22"/>
          <w:szCs w:val="22"/>
        </w:rPr>
        <w:t xml:space="preserve"> (always on), </w:t>
      </w:r>
      <w:r>
        <w:rPr>
          <w:b/>
          <w:bCs/>
          <w:color w:val="1F2933"/>
          <w:sz w:val="22"/>
          <w:szCs w:val="22"/>
        </w:rPr>
        <w:t xml:space="preserve">MongoDB</w:t>
      </w:r>
      <w:r>
        <w:rPr>
          <w:color w:val="1F2933"/>
          <w:sz w:val="22"/>
          <w:szCs w:val="22"/>
        </w:rPr>
        <w:t xml:space="preserve">, and </w:t>
      </w:r>
      <w:r>
        <w:rPr>
          <w:b/>
          <w:bCs/>
          <w:color w:val="1F2933"/>
          <w:sz w:val="22"/>
          <w:szCs w:val="22"/>
        </w:rPr>
        <w:t xml:space="preserve">Redis</w:t>
      </w:r>
      <w:r>
        <w:rPr>
          <w:color w:val="1F2933"/>
          <w:sz w:val="22"/>
          <w:szCs w:val="22"/>
        </w:rPr>
        <w:t xml:space="preserve">. Green = connected.</w:t>
      </w:r>
    </w:p>
    <w:p>
      <w:pPr>
        <w:pStyle w:val="ListParagraph"/>
        <w:numPr>
          <w:ilvl w:val="0"/>
          <w:numId w:val="2"/>
        </w:numPr>
        <w:spacing w:after="60" w:line="288"/>
      </w:pPr>
      <w:r>
        <w:rPr>
          <w:color w:val="1F2933"/>
          <w:sz w:val="22"/>
          <w:szCs w:val="22"/>
        </w:rPr>
        <w:t xml:space="preserve">If a page ever looks stuck, refresh the browser tab.</w:t>
      </w:r>
    </w:p>
    <w:p>
      <w:pPr>
        <w:pStyle w:val="Heading1"/>
        <w:spacing w:after="120" w:before="320"/>
      </w:pPr>
      <w:r>
        <w:rPr>
          <w:b/>
          <w:bCs/>
          <w:color w:val="0F766E"/>
          <w:sz w:val="30"/>
          <w:szCs w:val="30"/>
        </w:rPr>
        <w:t xml:space="preserve">2.  The six tabs at a glance</w:t>
      </w:r>
    </w:p>
    <w:tbl>
      <w:tblPr>
        <w:tblW w:type="dxa" w:w="9360"/>
        <w:tblBorders>
          <w:top w:val="single" w:color="B8D8D2" w:sz="4"/>
          <w:left w:val="single" w:color="B8D8D2" w:sz="4"/>
          <w:bottom w:val="single" w:color="B8D8D2" w:sz="4"/>
          <w:right w:val="single" w:color="B8D8D2" w:sz="4"/>
          <w:insideH w:val="single" w:color="B8D8D2" w:sz="4"/>
          <w:insideV w:val="single" w:color="B8D8D2" w:sz="4"/>
        </w:tblBorders>
      </w:tblPr>
      <w:tblGrid>
        <w:gridCol w:w="3000"/>
        <w:gridCol w:w="6360"/>
      </w:tblGrid>
      <w:tr>
        <w:trPr>
          <w:tblHeader/>
        </w:trPr>
        <w:tc>
          <w:tcPr>
            <w:tcW w:type="dxa" w:w="3000"/>
            <w:shd w:fill="0F766E" w:color="auto" w:val="clear"/>
            <w:tcMar>
              <w:top w:type="dxa" w:w="60"/>
              <w:left w:type="dxa" w:w="110"/>
              <w:bottom w:type="dxa" w:w="60"/>
              <w:right w:type="dxa" w:w="110"/>
            </w:tcMar>
          </w:tcPr>
          <w:p>
            <w:r>
              <w:rPr>
                <w:b/>
                <w:bCs/>
                <w:color w:val="FFFFFF"/>
                <w:sz w:val="21"/>
                <w:szCs w:val="21"/>
              </w:rPr>
              <w:t xml:space="preserve">Tab</w:t>
            </w:r>
          </w:p>
        </w:tc>
        <w:tc>
          <w:tcPr>
            <w:tcW w:type="dxa" w:w="6360"/>
            <w:shd w:fill="0F766E" w:color="auto" w:val="clear"/>
            <w:tcMar>
              <w:top w:type="dxa" w:w="60"/>
              <w:left w:type="dxa" w:w="110"/>
              <w:bottom w:type="dxa" w:w="60"/>
              <w:right w:type="dxa" w:w="110"/>
            </w:tcMar>
          </w:tcPr>
          <w:p>
            <w:r>
              <w:rPr>
                <w:b/>
                <w:bCs/>
                <w:color w:val="FFFFFF"/>
                <w:sz w:val="21"/>
                <w:szCs w:val="21"/>
              </w:rPr>
              <w:t xml:space="preserve">What it is for</w:t>
            </w:r>
          </w:p>
        </w:tc>
      </w:tr>
      <w:tr>
        <w:tc>
          <w:tcPr>
            <w:tcW w:type="dxa" w:w="3000"/>
            <w:tcMar>
              <w:top w:type="dxa" w:w="60"/>
              <w:left w:type="dxa" w:w="110"/>
              <w:bottom w:type="dxa" w:w="60"/>
              <w:right w:type="dxa" w:w="110"/>
            </w:tcMar>
          </w:tcPr>
          <w:p>
            <w:pPr>
              <w:spacing w:line="276"/>
            </w:pPr>
            <w:r>
              <w:rPr>
                <w:b/>
                <w:bCs/>
                <w:color w:val="1F2933"/>
                <w:sz w:val="22"/>
                <w:szCs w:val="22"/>
              </w:rPr>
              <w:t xml:space="preserve">Overview</w:t>
            </w:r>
          </w:p>
        </w:tc>
        <w:tc>
          <w:tcPr>
            <w:tcW w:type="dxa" w:w="6360"/>
            <w:tcMar>
              <w:top w:type="dxa" w:w="60"/>
              <w:left w:type="dxa" w:w="110"/>
              <w:bottom w:type="dxa" w:w="60"/>
              <w:right w:type="dxa" w:w="110"/>
            </w:tcMar>
          </w:tcPr>
          <w:p>
            <w:pPr>
              <w:spacing w:line="276"/>
            </w:pPr>
            <w:r>
              <w:rPr>
                <w:color w:val="1F2933"/>
                <w:sz w:val="21"/>
                <w:szCs w:val="21"/>
              </w:rPr>
              <w:t xml:space="preserve">The summary screen — total cases, confirmed cases, and how well the model performs.</w:t>
            </w:r>
          </w:p>
        </w:tc>
      </w:tr>
      <w:tr>
        <w:tc>
          <w:tcPr>
            <w:tcW w:type="dxa" w:w="3000"/>
            <w:shd w:fill="E6F4F1" w:color="auto" w:val="clear"/>
            <w:tcMar>
              <w:top w:type="dxa" w:w="60"/>
              <w:left w:type="dxa" w:w="110"/>
              <w:bottom w:type="dxa" w:w="60"/>
              <w:right w:type="dxa" w:w="110"/>
            </w:tcMar>
          </w:tcPr>
          <w:p>
            <w:pPr>
              <w:spacing w:line="276"/>
            </w:pPr>
            <w:r>
              <w:rPr>
                <w:b/>
                <w:bCs/>
                <w:color w:val="1F2933"/>
                <w:sz w:val="22"/>
                <w:szCs w:val="22"/>
              </w:rPr>
              <w:t xml:space="preserve">Outbreak monitor</w:t>
            </w:r>
          </w:p>
        </w:tc>
        <w:tc>
          <w:tcPr>
            <w:tcW w:type="dxa" w:w="6360"/>
            <w:shd w:fill="E6F4F1" w:color="auto" w:val="clear"/>
            <w:tcMar>
              <w:top w:type="dxa" w:w="60"/>
              <w:left w:type="dxa" w:w="110"/>
              <w:bottom w:type="dxa" w:w="60"/>
              <w:right w:type="dxa" w:w="110"/>
            </w:tcMar>
          </w:tcPr>
          <w:p>
            <w:pPr>
              <w:spacing w:line="276"/>
            </w:pPr>
            <w:r>
              <w:rPr>
                <w:color w:val="1F2933"/>
                <w:sz w:val="21"/>
                <w:szCs w:val="21"/>
              </w:rPr>
              <w:t xml:space="preserve">Which states are at risk right now, with a one-click alert to health officials.</w:t>
            </w:r>
          </w:p>
        </w:tc>
      </w:tr>
      <w:tr>
        <w:tc>
          <w:tcPr>
            <w:tcW w:type="dxa" w:w="3000"/>
            <w:tcMar>
              <w:top w:type="dxa" w:w="60"/>
              <w:left w:type="dxa" w:w="110"/>
              <w:bottom w:type="dxa" w:w="60"/>
              <w:right w:type="dxa" w:w="110"/>
            </w:tcMar>
          </w:tcPr>
          <w:p>
            <w:pPr>
              <w:spacing w:line="276"/>
            </w:pPr>
            <w:r>
              <w:rPr>
                <w:b/>
                <w:bCs/>
                <w:color w:val="1F2933"/>
                <w:sz w:val="22"/>
                <w:szCs w:val="22"/>
              </w:rPr>
              <w:t xml:space="preserve">Case Registration &amp; Triage</w:t>
            </w:r>
          </w:p>
        </w:tc>
        <w:tc>
          <w:tcPr>
            <w:tcW w:type="dxa" w:w="6360"/>
            <w:tcMar>
              <w:top w:type="dxa" w:w="60"/>
              <w:left w:type="dxa" w:w="110"/>
              <w:bottom w:type="dxa" w:w="60"/>
              <w:right w:type="dxa" w:w="110"/>
            </w:tcMar>
          </w:tcPr>
          <w:p>
            <w:pPr>
              <w:spacing w:line="276"/>
            </w:pPr>
            <w:r>
              <w:rPr>
                <w:color w:val="1F2933"/>
                <w:sz w:val="21"/>
                <w:szCs w:val="21"/>
              </w:rPr>
              <w:t xml:space="preserve">Enter a new suspected case and get an instant risk assessment, then save it.</w:t>
            </w:r>
          </w:p>
        </w:tc>
      </w:tr>
      <w:tr>
        <w:tc>
          <w:tcPr>
            <w:tcW w:type="dxa" w:w="3000"/>
            <w:shd w:fill="E6F4F1" w:color="auto" w:val="clear"/>
            <w:tcMar>
              <w:top w:type="dxa" w:w="60"/>
              <w:left w:type="dxa" w:w="110"/>
              <w:bottom w:type="dxa" w:w="60"/>
              <w:right w:type="dxa" w:w="110"/>
            </w:tcMar>
          </w:tcPr>
          <w:p>
            <w:pPr>
              <w:spacing w:line="276"/>
            </w:pPr>
            <w:r>
              <w:rPr>
                <w:b/>
                <w:bCs/>
                <w:color w:val="1F2933"/>
                <w:sz w:val="22"/>
                <w:szCs w:val="22"/>
              </w:rPr>
              <w:t xml:space="preserve">Trends</w:t>
            </w:r>
          </w:p>
        </w:tc>
        <w:tc>
          <w:tcPr>
            <w:tcW w:type="dxa" w:w="6360"/>
            <w:shd w:fill="E6F4F1" w:color="auto" w:val="clear"/>
            <w:tcMar>
              <w:top w:type="dxa" w:w="60"/>
              <w:left w:type="dxa" w:w="110"/>
              <w:bottom w:type="dxa" w:w="60"/>
              <w:right w:type="dxa" w:w="110"/>
            </w:tcMar>
          </w:tcPr>
          <w:p>
            <w:pPr>
              <w:spacing w:line="276"/>
            </w:pPr>
            <w:r>
              <w:rPr>
                <w:color w:val="1F2933"/>
                <w:sz w:val="21"/>
                <w:szCs w:val="21"/>
              </w:rPr>
              <w:t xml:space="preserve">Charts of cases, deaths, risk and alerts over time — filterable.</w:t>
            </w:r>
          </w:p>
        </w:tc>
      </w:tr>
      <w:tr>
        <w:tc>
          <w:tcPr>
            <w:tcW w:type="dxa" w:w="3000"/>
            <w:tcMar>
              <w:top w:type="dxa" w:w="60"/>
              <w:left w:type="dxa" w:w="110"/>
              <w:bottom w:type="dxa" w:w="60"/>
              <w:right w:type="dxa" w:w="110"/>
            </w:tcMar>
          </w:tcPr>
          <w:p>
            <w:pPr>
              <w:spacing w:line="276"/>
            </w:pPr>
            <w:r>
              <w:rPr>
                <w:b/>
                <w:bCs/>
                <w:color w:val="1F2933"/>
                <w:sz w:val="22"/>
                <w:szCs w:val="22"/>
              </w:rPr>
              <w:t xml:space="preserve">Notifications</w:t>
            </w:r>
          </w:p>
        </w:tc>
        <w:tc>
          <w:tcPr>
            <w:tcW w:type="dxa" w:w="6360"/>
            <w:tcMar>
              <w:top w:type="dxa" w:w="60"/>
              <w:left w:type="dxa" w:w="110"/>
              <w:bottom w:type="dxa" w:w="60"/>
              <w:right w:type="dxa" w:w="110"/>
            </w:tcMar>
          </w:tcPr>
          <w:p>
            <w:pPr>
              <w:spacing w:line="276"/>
            </w:pPr>
            <w:r>
              <w:rPr>
                <w:color w:val="1F2933"/>
                <w:sz w:val="21"/>
                <w:szCs w:val="21"/>
              </w:rPr>
              <w:t xml:space="preserve">The log of alerts sent to the people in charge, with an acknowledge button.</w:t>
            </w:r>
          </w:p>
        </w:tc>
      </w:tr>
      <w:tr>
        <w:tc>
          <w:tcPr>
            <w:tcW w:type="dxa" w:w="3000"/>
            <w:shd w:fill="E6F4F1" w:color="auto" w:val="clear"/>
            <w:tcMar>
              <w:top w:type="dxa" w:w="60"/>
              <w:left w:type="dxa" w:w="110"/>
              <w:bottom w:type="dxa" w:w="60"/>
              <w:right w:type="dxa" w:w="110"/>
            </w:tcMar>
          </w:tcPr>
          <w:p>
            <w:pPr>
              <w:spacing w:line="276"/>
            </w:pPr>
            <w:r>
              <w:rPr>
                <w:b/>
                <w:bCs/>
                <w:color w:val="1F2933"/>
                <w:sz w:val="22"/>
                <w:szCs w:val="22"/>
              </w:rPr>
              <w:t xml:space="preserve">Model Status</w:t>
            </w:r>
          </w:p>
        </w:tc>
        <w:tc>
          <w:tcPr>
            <w:tcW w:type="dxa" w:w="6360"/>
            <w:shd w:fill="E6F4F1" w:color="auto" w:val="clear"/>
            <w:tcMar>
              <w:top w:type="dxa" w:w="60"/>
              <w:left w:type="dxa" w:w="110"/>
              <w:bottom w:type="dxa" w:w="60"/>
              <w:right w:type="dxa" w:w="110"/>
            </w:tcMar>
          </w:tcPr>
          <w:p>
            <w:pPr>
              <w:spacing w:line="276"/>
            </w:pPr>
            <w:r>
              <w:rPr>
                <w:color w:val="1F2933"/>
                <w:sz w:val="21"/>
                <w:szCs w:val="21"/>
              </w:rPr>
              <w:t xml:space="preserve">Technical details of the adaptive AI model and its accuracy.</w:t>
            </w:r>
          </w:p>
        </w:tc>
      </w:tr>
    </w:tbl>
    <w:p>
      <w:pPr>
        <w:pStyle w:val="Heading1"/>
        <w:spacing w:after="120" w:before="320"/>
      </w:pPr>
      <w:r>
        <w:rPr>
          <w:b/>
          <w:bCs/>
          <w:color w:val="0F766E"/>
          <w:sz w:val="30"/>
          <w:szCs w:val="30"/>
        </w:rPr>
        <w:t xml:space="preserve">3.  Registering a suspected case  (the main task)</w:t>
      </w:r>
    </w:p>
    <w:p>
      <w:pPr>
        <w:spacing w:after="130" w:line="300"/>
      </w:pPr>
      <w:r>
        <w:rPr>
          <w:color w:val="1F2933"/>
          <w:sz w:val="22"/>
          <w:szCs w:val="22"/>
        </w:rPr>
        <w:t xml:space="preserve">This is the heart of the system. Open the Case Registration &amp; Triage tab and follow these steps:</w:t>
      </w:r>
    </w:p>
    <w:p>
      <w:pPr>
        <w:pStyle w:val="ListParagraph"/>
        <w:numPr>
          <w:ilvl w:val="0"/>
          <w:numId w:val="3"/>
        </w:numPr>
        <w:spacing w:after="70" w:line="290"/>
      </w:pPr>
      <w:r>
        <w:rPr>
          <w:b/>
          <w:bCs/>
          <w:color w:val="1F2933"/>
          <w:sz w:val="22"/>
          <w:szCs w:val="22"/>
        </w:rPr>
        <w:t xml:space="preserve">Fill in the basic case information </w:t>
      </w:r>
      <w:r>
        <w:rPr>
          <w:color w:val="1F2933"/>
          <w:sz w:val="22"/>
          <w:szCs w:val="22"/>
        </w:rPr>
        <w:t xml:space="preserve">(always visible): tick the patient's symptoms, then choose age group, sex, suspected disease, state, LGA and the report date.</w:t>
      </w:r>
    </w:p>
    <w:p>
      <w:pPr>
        <w:pStyle w:val="ListParagraph"/>
        <w:numPr>
          <w:ilvl w:val="0"/>
          <w:numId w:val="3"/>
        </w:numPr>
        <w:spacing w:after="70" w:line="290"/>
      </w:pPr>
      <w:r>
        <w:rPr>
          <w:b/>
          <w:bCs/>
          <w:color w:val="1F2933"/>
          <w:sz w:val="22"/>
          <w:szCs w:val="22"/>
        </w:rPr>
        <w:t xml:space="preserve">Add more detail if you have it </w:t>
      </w:r>
      <w:r>
        <w:rPr>
          <w:color w:val="1F2933"/>
          <w:sz w:val="22"/>
          <w:szCs w:val="22"/>
        </w:rPr>
        <w:t xml:space="preserve">by clicking to expand any of these sections:</w:t>
      </w:r>
    </w:p>
    <w:p>
      <w:pPr>
        <w:pStyle w:val="ListParagraph"/>
        <w:numPr>
          <w:ilvl w:val="0"/>
          <w:numId w:val="2"/>
        </w:numPr>
        <w:spacing w:after="60" w:line="288"/>
      </w:pPr>
      <w:r>
        <w:rPr>
          <w:b/>
          <w:bCs/>
          <w:color w:val="1F2933"/>
          <w:sz w:val="22"/>
          <w:szCs w:val="22"/>
        </w:rPr>
        <w:t xml:space="preserve">Environmental factors </w:t>
      </w:r>
      <w:r>
        <w:rPr>
          <w:color w:val="1F2933"/>
          <w:sz w:val="22"/>
          <w:szCs w:val="22"/>
        </w:rPr>
        <w:t xml:space="preserve">— temperature, rainfall, flooding, rodent activity, travel, contacts.</w:t>
      </w:r>
    </w:p>
    <w:p>
      <w:pPr>
        <w:pStyle w:val="ListParagraph"/>
        <w:numPr>
          <w:ilvl w:val="0"/>
          <w:numId w:val="2"/>
        </w:numPr>
        <w:spacing w:after="60" w:line="288"/>
      </w:pPr>
      <w:r>
        <w:rPr>
          <w:b/>
          <w:bCs/>
          <w:color w:val="1F2933"/>
          <w:sz w:val="22"/>
          <w:szCs w:val="22"/>
        </w:rPr>
        <w:t xml:space="preserve">Clinical notes </w:t>
      </w:r>
      <w:r>
        <w:rPr>
          <w:color w:val="1F2933"/>
          <w:sz w:val="22"/>
          <w:szCs w:val="22"/>
        </w:rPr>
        <w:t xml:space="preserve">— free-text notes from the clinician.</w:t>
      </w:r>
    </w:p>
    <w:p>
      <w:pPr>
        <w:pStyle w:val="ListParagraph"/>
        <w:numPr>
          <w:ilvl w:val="0"/>
          <w:numId w:val="2"/>
        </w:numPr>
        <w:spacing w:after="60" w:line="288"/>
      </w:pPr>
      <w:r>
        <w:rPr>
          <w:b/>
          <w:bCs/>
          <w:color w:val="1F2933"/>
          <w:sz w:val="22"/>
          <w:szCs w:val="22"/>
        </w:rPr>
        <w:t xml:space="preserve">Laboratory information </w:t>
      </w:r>
      <w:r>
        <w:rPr>
          <w:color w:val="1F2933"/>
          <w:sz w:val="22"/>
          <w:szCs w:val="22"/>
        </w:rPr>
        <w:t xml:space="preserve">— sample ID, PCR result, technician.</w:t>
      </w:r>
    </w:p>
    <w:p>
      <w:pPr>
        <w:pStyle w:val="ListParagraph"/>
        <w:numPr>
          <w:ilvl w:val="0"/>
          <w:numId w:val="2"/>
        </w:numPr>
        <w:spacing w:after="60" w:line="288"/>
      </w:pPr>
      <w:r>
        <w:rPr>
          <w:b/>
          <w:bCs/>
          <w:color w:val="1F2933"/>
          <w:sz w:val="22"/>
          <w:szCs w:val="22"/>
        </w:rPr>
        <w:t xml:space="preserve">Supporting documents </w:t>
      </w:r>
      <w:r>
        <w:rPr>
          <w:color w:val="1F2933"/>
          <w:sz w:val="22"/>
          <w:szCs w:val="22"/>
        </w:rPr>
        <w:t xml:space="preserve">— upload lab reports or images (PDF, DOCX, PNG, JPG).</w:t>
      </w:r>
    </w:p>
    <w:p>
      <w:pPr>
        <w:pStyle w:val="ListParagraph"/>
        <w:numPr>
          <w:ilvl w:val="0"/>
          <w:numId w:val="3"/>
        </w:numPr>
        <w:spacing w:after="70" w:line="290"/>
      </w:pPr>
      <w:r>
        <w:rPr>
          <w:b/>
          <w:bCs/>
          <w:color w:val="1F2933"/>
          <w:sz w:val="22"/>
          <w:szCs w:val="22"/>
        </w:rPr>
        <w:t xml:space="preserve">Click </w:t>
      </w:r>
      <w:r>
        <w:rPr>
          <w:b/>
          <w:bCs/>
          <w:i/>
          <w:iCs/>
          <w:color w:val="1F2933"/>
          <w:sz w:val="22"/>
          <w:szCs w:val="22"/>
        </w:rPr>
        <w:t xml:space="preserve">Predict</w:t>
      </w:r>
      <w:r>
        <w:rPr>
          <w:color w:val="1F2933"/>
          <w:sz w:val="22"/>
          <w:szCs w:val="22"/>
        </w:rPr>
        <w:t xml:space="preserve">. The model shows the Lassa likelihood, a risk level, a confidence, and a recommended action.</w:t>
      </w:r>
    </w:p>
    <w:p>
      <w:pPr>
        <w:pStyle w:val="ListParagraph"/>
        <w:numPr>
          <w:ilvl w:val="0"/>
          <w:numId w:val="3"/>
        </w:numPr>
        <w:spacing w:after="70" w:line="290"/>
      </w:pPr>
      <w:r>
        <w:rPr>
          <w:b/>
          <w:bCs/>
          <w:color w:val="1F2933"/>
          <w:sz w:val="22"/>
          <w:szCs w:val="22"/>
        </w:rPr>
        <w:t xml:space="preserve">Click </w:t>
      </w:r>
      <w:r>
        <w:rPr>
          <w:b/>
          <w:bCs/>
          <w:i/>
          <w:iCs/>
          <w:color w:val="1F2933"/>
          <w:sz w:val="22"/>
          <w:szCs w:val="22"/>
        </w:rPr>
        <w:t xml:space="preserve">Save case</w:t>
      </w:r>
      <w:r>
        <w:rPr>
          <w:color w:val="1F2933"/>
          <w:sz w:val="22"/>
          <w:szCs w:val="22"/>
        </w:rPr>
        <w:t xml:space="preserve">. The record is stored and you get a confirmation with a unique case ID.</w:t>
      </w:r>
    </w:p>
    <w:p>
      <w:pPr>
        <w:spacing w:after="120"/>
      </w:pPr>
      <w:r>
        <w:rPr>
          <w:color w:val="1F2933"/>
          <w:sz w:val="22"/>
          <w:szCs w:val="22"/>
        </w:rPr>
        <w:t xml:space="preserve">Behind the scenes the structured details go to </w:t>
      </w:r>
      <w:r>
        <w:rPr>
          <w:b/>
          <w:bCs/>
          <w:color w:val="1F2933"/>
          <w:sz w:val="22"/>
          <w:szCs w:val="22"/>
        </w:rPr>
        <w:t xml:space="preserve">SQLite</w:t>
      </w:r>
      <w:r>
        <w:rPr>
          <w:color w:val="1F2933"/>
          <w:sz w:val="22"/>
          <w:szCs w:val="22"/>
        </w:rPr>
        <w:t xml:space="preserve">, the notes and documents go to </w:t>
      </w:r>
      <w:r>
        <w:rPr>
          <w:b/>
          <w:bCs/>
          <w:color w:val="1F2933"/>
          <w:sz w:val="22"/>
          <w:szCs w:val="22"/>
        </w:rPr>
        <w:t xml:space="preserve">MongoDB</w:t>
      </w:r>
      <w:r>
        <w:rPr>
          <w:color w:val="1F2933"/>
          <w:sz w:val="22"/>
          <w:szCs w:val="22"/>
        </w:rPr>
        <w:t xml:space="preserve">, and a new-case event is published to </w:t>
      </w:r>
      <w:r>
        <w:rPr>
          <w:b/>
          <w:bCs/>
          <w:color w:val="1F2933"/>
          <w:sz w:val="22"/>
          <w:szCs w:val="22"/>
        </w:rPr>
        <w:t xml:space="preserve">Redis</w:t>
      </w:r>
      <w:r>
        <w:rPr>
          <w:color w:val="1F2933"/>
          <w:sz w:val="22"/>
          <w:szCs w:val="22"/>
        </w:rPr>
        <w:t xml:space="preserve"> — all linked by the same case ID.</w:t>
      </w:r>
    </w:p>
    <w:p>
      <w:pPr>
        <w:pStyle w:val="Heading1"/>
        <w:spacing w:after="120" w:before="320"/>
      </w:pPr>
      <w:r>
        <w:rPr>
          <w:b/>
          <w:bCs/>
          <w:color w:val="0F766E"/>
          <w:sz w:val="30"/>
          <w:szCs w:val="30"/>
        </w:rPr>
        <w:t xml:space="preserve">4.  Reading the Outbreak monitor</w:t>
      </w:r>
    </w:p>
    <w:p>
      <w:pPr>
        <w:pStyle w:val="ListParagraph"/>
        <w:numPr>
          <w:ilvl w:val="0"/>
          <w:numId w:val="3"/>
        </w:numPr>
        <w:spacing w:after="70" w:line="290"/>
      </w:pPr>
      <w:r>
        <w:rPr>
          <w:color w:val="1F2933"/>
          <w:sz w:val="22"/>
          <w:szCs w:val="22"/>
        </w:rPr>
        <w:t xml:space="preserve">Choose a disease at the top (Lassa fever has the full history).</w:t>
      </w:r>
    </w:p>
    <w:p>
      <w:pPr>
        <w:pStyle w:val="ListParagraph"/>
        <w:numPr>
          <w:ilvl w:val="0"/>
          <w:numId w:val="3"/>
        </w:numPr>
        <w:spacing w:after="70" w:line="290"/>
      </w:pPr>
      <w:r>
        <w:rPr>
          <w:color w:val="1F2933"/>
          <w:sz w:val="22"/>
          <w:szCs w:val="22"/>
        </w:rPr>
        <w:t xml:space="preserve">The table ranks each state with a </w:t>
      </w:r>
      <w:r>
        <w:rPr>
          <w:b/>
          <w:bCs/>
          <w:color w:val="1F2933"/>
          <w:sz w:val="22"/>
          <w:szCs w:val="22"/>
        </w:rPr>
        <w:t xml:space="preserve">Risk level</w:t>
      </w:r>
      <w:r>
        <w:rPr>
          <w:color w:val="1F2933"/>
          <w:sz w:val="22"/>
          <w:szCs w:val="22"/>
        </w:rPr>
        <w:t xml:space="preserve"> (🔴 HIGH · 🟡 MEDIUM · 🟢 LOW), a </w:t>
      </w:r>
      <w:r>
        <w:rPr>
          <w:b/>
          <w:bCs/>
          <w:color w:val="1F2933"/>
          <w:sz w:val="22"/>
          <w:szCs w:val="22"/>
        </w:rPr>
        <w:t xml:space="preserve">Confidence</w:t>
      </w:r>
      <w:r>
        <w:rPr>
          <w:color w:val="1F2933"/>
          <w:sz w:val="22"/>
          <w:szCs w:val="22"/>
        </w:rPr>
        <w:t xml:space="preserve">, a </w:t>
      </w:r>
      <w:r>
        <w:rPr>
          <w:b/>
          <w:bCs/>
          <w:color w:val="1F2933"/>
          <w:sz w:val="22"/>
          <w:szCs w:val="22"/>
        </w:rPr>
        <w:t xml:space="preserve">Trend</w:t>
      </w:r>
      <w:r>
        <w:rPr>
          <w:color w:val="1F2933"/>
          <w:sz w:val="22"/>
          <w:szCs w:val="22"/>
        </w:rPr>
        <w:t xml:space="preserve"> arrow (↑ rising, ↓ falling, → steady), and a </w:t>
      </w:r>
      <w:r>
        <w:rPr>
          <w:b/>
          <w:bCs/>
          <w:color w:val="1F2933"/>
          <w:sz w:val="22"/>
          <w:szCs w:val="22"/>
        </w:rPr>
        <w:t xml:space="preserve">Recommended action</w:t>
      </w:r>
      <w:r>
        <w:rPr>
          <w:color w:val="1F2933"/>
          <w:sz w:val="22"/>
          <w:szCs w:val="22"/>
        </w:rPr>
        <w:t xml:space="preserve"> (Monitor / Investigate / Notify NCDC).</w:t>
      </w:r>
    </w:p>
    <w:p>
      <w:pPr>
        <w:pStyle w:val="ListParagraph"/>
        <w:numPr>
          <w:ilvl w:val="0"/>
          <w:numId w:val="3"/>
        </w:numPr>
        <w:spacing w:after="70" w:line="290"/>
      </w:pPr>
      <w:r>
        <w:rPr>
          <w:color w:val="1F2933"/>
          <w:sz w:val="22"/>
          <w:szCs w:val="22"/>
        </w:rPr>
        <w:t xml:space="preserve">Click </w:t>
      </w:r>
      <w:r>
        <w:rPr>
          <w:b/>
          <w:bCs/>
          <w:i/>
          <w:iCs/>
          <w:color w:val="1F2933"/>
          <w:sz w:val="22"/>
          <w:szCs w:val="22"/>
        </w:rPr>
        <w:t xml:space="preserve">“Notify NCDC …”</w:t>
      </w:r>
      <w:r>
        <w:rPr>
          <w:color w:val="1F2933"/>
          <w:sz w:val="22"/>
          <w:szCs w:val="22"/>
        </w:rPr>
        <w:t xml:space="preserve"> to log an alert for every HIGH-risk state. The alerts appear on the Notifications tab.</w:t>
      </w:r>
    </w:p>
    <w:p>
      <w:pPr>
        <w:pStyle w:val="Heading1"/>
        <w:spacing w:after="120" w:before="320"/>
      </w:pPr>
      <w:r>
        <w:rPr>
          <w:b/>
          <w:bCs/>
          <w:color w:val="0F766E"/>
          <w:sz w:val="30"/>
          <w:szCs w:val="30"/>
        </w:rPr>
        <w:t xml:space="preserve">5.  Trends</w:t>
      </w:r>
    </w:p>
    <w:p>
      <w:pPr>
        <w:spacing w:after="130" w:line="300"/>
      </w:pPr>
      <w:r>
        <w:rPr>
          <w:color w:val="1F2933"/>
          <w:sz w:val="22"/>
          <w:szCs w:val="22"/>
        </w:rPr>
        <w:t xml:space="preserve">Use the filters (disease, state, year) and the </w:t>
      </w:r>
      <w:r>
        <w:rPr>
          <w:b/>
          <w:bCs/>
          <w:color w:val="1F2933"/>
          <w:sz w:val="22"/>
          <w:szCs w:val="22"/>
        </w:rPr>
        <w:t xml:space="preserve">Show</w:t>
      </w:r>
      <w:r>
        <w:rPr>
          <w:color w:val="1F2933"/>
          <w:sz w:val="22"/>
          <w:szCs w:val="22"/>
        </w:rPr>
        <w:t xml:space="preserve"> selector to switch the chart between </w:t>
      </w:r>
      <w:r>
        <w:rPr>
          <w:b/>
          <w:bCs/>
          <w:color w:val="1F2933"/>
          <w:sz w:val="22"/>
          <w:szCs w:val="22"/>
        </w:rPr>
        <w:t xml:space="preserve">Confirmed cases</w:t>
      </w:r>
      <w:r>
        <w:rPr>
          <w:color w:val="1F2933"/>
          <w:sz w:val="22"/>
          <w:szCs w:val="22"/>
        </w:rPr>
        <w:t xml:space="preserve">, </w:t>
      </w:r>
      <w:r>
        <w:rPr>
          <w:b/>
          <w:bCs/>
          <w:color w:val="1F2933"/>
          <w:sz w:val="22"/>
          <w:szCs w:val="22"/>
        </w:rPr>
        <w:t xml:space="preserve">Deaths</w:t>
      </w:r>
      <w:r>
        <w:rPr>
          <w:color w:val="1F2933"/>
          <w:sz w:val="22"/>
          <w:szCs w:val="22"/>
        </w:rPr>
        <w:t xml:space="preserve">, </w:t>
      </w:r>
      <w:r>
        <w:rPr>
          <w:b/>
          <w:bCs/>
          <w:color w:val="1F2933"/>
          <w:sz w:val="22"/>
          <w:szCs w:val="22"/>
        </w:rPr>
        <w:t xml:space="preserve">Risk score</w:t>
      </w:r>
      <w:r>
        <w:rPr>
          <w:color w:val="1F2933"/>
          <w:sz w:val="22"/>
          <w:szCs w:val="22"/>
        </w:rPr>
        <w:t xml:space="preserve">, and </w:t>
      </w:r>
      <w:r>
        <w:rPr>
          <w:b/>
          <w:bCs/>
          <w:color w:val="1F2933"/>
          <w:sz w:val="22"/>
          <w:szCs w:val="22"/>
        </w:rPr>
        <w:t xml:space="preserve">Alerts</w:t>
      </w:r>
      <w:r>
        <w:rPr>
          <w:color w:val="1F2933"/>
          <w:sz w:val="22"/>
          <w:szCs w:val="22"/>
        </w:rPr>
        <w:t xml:space="preserve">. Pick a single state to see the model's risk curve over time.</w:t>
      </w:r>
    </w:p>
    <w:p>
      <w:pPr>
        <w:pStyle w:val="Heading1"/>
        <w:spacing w:after="120" w:before="320"/>
      </w:pPr>
      <w:r>
        <w:rPr>
          <w:b/>
          <w:bCs/>
          <w:color w:val="0F766E"/>
          <w:sz w:val="30"/>
          <w:szCs w:val="30"/>
        </w:rPr>
        <w:t xml:space="preserve">6.  Notifications</w:t>
      </w:r>
    </w:p>
    <w:p>
      <w:pPr>
        <w:spacing w:after="130" w:line="300"/>
      </w:pPr>
      <w:r>
        <w:rPr>
          <w:color w:val="1F2933"/>
          <w:sz w:val="22"/>
          <w:szCs w:val="22"/>
        </w:rPr>
        <w:t xml:space="preserve">This is the alert log sent to the people in charge (State Epidemiologist, NCDC Duty Officer). Each row shows the time, location, severity, recipient, delivery method and status. To mark an alert as handled, pick its number under </w:t>
      </w:r>
      <w:r>
        <w:rPr>
          <w:b/>
          <w:bCs/>
          <w:color w:val="1F2933"/>
          <w:sz w:val="22"/>
          <w:szCs w:val="22"/>
        </w:rPr>
        <w:t xml:space="preserve">Acknowledge alert #</w:t>
      </w:r>
      <w:r>
        <w:rPr>
          <w:color w:val="1F2933"/>
          <w:sz w:val="22"/>
          <w:szCs w:val="22"/>
        </w:rPr>
        <w:t xml:space="preserve"> and click </w:t>
      </w:r>
      <w:r>
        <w:rPr>
          <w:b/>
          <w:bCs/>
          <w:color w:val="1F2933"/>
          <w:sz w:val="22"/>
          <w:szCs w:val="22"/>
        </w:rPr>
        <w:t xml:space="preserve">Mark acknowledged</w:t>
      </w:r>
      <w:r>
        <w:rPr>
          <w:color w:val="1F2933"/>
          <w:sz w:val="22"/>
          <w:szCs w:val="22"/>
        </w:rPr>
        <w:t xml:space="preserve">.</w:t>
      </w:r>
    </w:p>
    <w:p>
      <w:pPr>
        <w:pStyle w:val="Heading1"/>
        <w:spacing w:after="120" w:before="320"/>
      </w:pPr>
      <w:r>
        <w:rPr>
          <w:b/>
          <w:bCs/>
          <w:color w:val="0F766E"/>
          <w:sz w:val="30"/>
          <w:szCs w:val="30"/>
        </w:rPr>
        <w:t xml:space="preserve">7.  Model Status</w:t>
      </w:r>
    </w:p>
    <w:p>
      <w:pPr>
        <w:spacing w:after="130" w:line="300"/>
      </w:pPr>
      <w:r>
        <w:rPr>
          <w:color w:val="1F2933"/>
          <w:sz w:val="22"/>
          <w:szCs w:val="22"/>
        </w:rPr>
        <w:t xml:space="preserve">For the technically curious: the three adaptive SVMs and their accuracy. The headline is that the </w:t>
      </w:r>
      <w:r>
        <w:rPr>
          <w:b/>
          <w:bCs/>
          <w:color w:val="1F2933"/>
          <w:sz w:val="22"/>
          <w:szCs w:val="22"/>
        </w:rPr>
        <w:t xml:space="preserve">adaptive (always-learning) model matches a traditional train-once model</w:t>
      </w:r>
      <w:r>
        <w:rPr>
          <w:color w:val="1F2933"/>
          <w:sz w:val="22"/>
          <w:szCs w:val="22"/>
        </w:rPr>
        <w:t xml:space="preserve"> — outbreak prediction about </w:t>
      </w:r>
      <w:r>
        <w:rPr>
          <w:b/>
          <w:bCs/>
          <w:color w:val="1F2933"/>
          <w:sz w:val="22"/>
          <w:szCs w:val="22"/>
        </w:rPr>
        <w:t xml:space="preserve">89%</w:t>
      </w:r>
      <w:r>
        <w:rPr>
          <w:color w:val="1F2933"/>
          <w:sz w:val="22"/>
          <w:szCs w:val="22"/>
        </w:rPr>
        <w:t xml:space="preserve"> — so continuous learning costs almost no accuracy.</w:t>
      </w:r>
    </w:p>
    <w:p>
      <w:pPr>
        <w:pStyle w:val="Heading1"/>
        <w:spacing w:after="120" w:before="320"/>
      </w:pPr>
      <w:r>
        <w:rPr>
          <w:b/>
          <w:bCs/>
          <w:color w:val="0F766E"/>
          <w:sz w:val="30"/>
          <w:szCs w:val="30"/>
        </w:rPr>
        <w:t xml:space="preserve">8.  What the coloured dots mean</w:t>
      </w:r>
    </w:p>
    <w:tbl>
      <w:tblPr>
        <w:tblW w:type="dxa" w:w="9360"/>
        <w:tblBorders>
          <w:top w:val="single" w:color="B8D8D2" w:sz="4"/>
          <w:left w:val="single" w:color="B8D8D2" w:sz="4"/>
          <w:bottom w:val="single" w:color="B8D8D2" w:sz="4"/>
          <w:right w:val="single" w:color="B8D8D2" w:sz="4"/>
          <w:insideH w:val="single" w:color="B8D8D2" w:sz="4"/>
          <w:insideV w:val="single" w:color="B8D8D2" w:sz="4"/>
        </w:tblBorders>
      </w:tblPr>
      <w:tblGrid>
        <w:gridCol w:w="2200"/>
        <w:gridCol w:w="7160"/>
      </w:tblGrid>
      <w:tr>
        <w:trPr>
          <w:tblHeader/>
        </w:trPr>
        <w:tc>
          <w:tcPr>
            <w:tcW w:type="dxa" w:w="2200"/>
            <w:shd w:fill="0F766E" w:color="auto" w:val="clear"/>
            <w:tcMar>
              <w:top w:type="dxa" w:w="60"/>
              <w:left w:type="dxa" w:w="110"/>
              <w:bottom w:type="dxa" w:w="60"/>
              <w:right w:type="dxa" w:w="110"/>
            </w:tcMar>
          </w:tcPr>
          <w:p>
            <w:r>
              <w:rPr>
                <w:b/>
                <w:bCs/>
                <w:color w:val="FFFFFF"/>
                <w:sz w:val="21"/>
                <w:szCs w:val="21"/>
              </w:rPr>
              <w:t xml:space="preserve">Dot</w:t>
            </w:r>
          </w:p>
        </w:tc>
        <w:tc>
          <w:tcPr>
            <w:tcW w:type="dxa" w:w="7160"/>
            <w:shd w:fill="0F766E" w:color="auto" w:val="clear"/>
            <w:tcMar>
              <w:top w:type="dxa" w:w="60"/>
              <w:left w:type="dxa" w:w="110"/>
              <w:bottom w:type="dxa" w:w="60"/>
              <w:right w:type="dxa" w:w="110"/>
            </w:tcMar>
          </w:tcPr>
          <w:p>
            <w:r>
              <w:rPr>
                <w:b/>
                <w:bCs/>
                <w:color w:val="FFFFFF"/>
                <w:sz w:val="21"/>
                <w:szCs w:val="21"/>
              </w:rPr>
              <w:t xml:space="preserve">Meaning</w:t>
            </w:r>
          </w:p>
        </w:tc>
      </w:tr>
      <w:tr>
        <w:tc>
          <w:tcPr>
            <w:tcW w:type="dxa" w:w="2200"/>
            <w:tcMar>
              <w:top w:type="dxa" w:w="60"/>
              <w:left w:type="dxa" w:w="110"/>
              <w:bottom w:type="dxa" w:w="60"/>
              <w:right w:type="dxa" w:w="110"/>
            </w:tcMar>
          </w:tcPr>
          <w:p>
            <w:pPr>
              <w:spacing w:line="276"/>
            </w:pPr>
            <w:r>
              <w:rPr>
                <w:b/>
                <w:bCs/>
                <w:color w:val="1F2933"/>
                <w:sz w:val="22"/>
                <w:szCs w:val="22"/>
              </w:rPr>
              <w:t xml:space="preserve">🟢 Green</w:t>
            </w:r>
          </w:p>
        </w:tc>
        <w:tc>
          <w:tcPr>
            <w:tcW w:type="dxa" w:w="7160"/>
            <w:tcMar>
              <w:top w:type="dxa" w:w="60"/>
              <w:left w:type="dxa" w:w="110"/>
              <w:bottom w:type="dxa" w:w="60"/>
              <w:right w:type="dxa" w:w="110"/>
            </w:tcMar>
          </w:tcPr>
          <w:p>
            <w:pPr>
              <w:spacing w:line="276"/>
            </w:pPr>
            <w:r>
              <w:rPr>
                <w:color w:val="1F2933"/>
                <w:sz w:val="21"/>
                <w:szCs w:val="21"/>
              </w:rPr>
              <w:t xml:space="preserve">Connected and in use.</w:t>
            </w:r>
          </w:p>
        </w:tc>
      </w:tr>
      <w:tr>
        <w:tc>
          <w:tcPr>
            <w:tcW w:type="dxa" w:w="2200"/>
            <w:shd w:fill="E6F4F1" w:color="auto" w:val="clear"/>
            <w:tcMar>
              <w:top w:type="dxa" w:w="60"/>
              <w:left w:type="dxa" w:w="110"/>
              <w:bottom w:type="dxa" w:w="60"/>
              <w:right w:type="dxa" w:w="110"/>
            </w:tcMar>
          </w:tcPr>
          <w:p>
            <w:pPr>
              <w:spacing w:line="276"/>
            </w:pPr>
            <w:r>
              <w:rPr>
                <w:b/>
                <w:bCs/>
                <w:color w:val="1F2933"/>
                <w:sz w:val="22"/>
                <w:szCs w:val="22"/>
              </w:rPr>
              <w:t xml:space="preserve">⚪ Grey</w:t>
            </w:r>
          </w:p>
        </w:tc>
        <w:tc>
          <w:tcPr>
            <w:tcW w:type="dxa" w:w="7160"/>
            <w:shd w:fill="E6F4F1" w:color="auto" w:val="clear"/>
            <w:tcMar>
              <w:top w:type="dxa" w:w="60"/>
              <w:left w:type="dxa" w:w="110"/>
              <w:bottom w:type="dxa" w:w="60"/>
              <w:right w:type="dxa" w:w="110"/>
            </w:tcMar>
          </w:tcPr>
          <w:p>
            <w:pPr>
              <w:spacing w:line="276"/>
            </w:pPr>
            <w:r>
              <w:rPr>
                <w:color w:val="1F2933"/>
                <w:sz w:val="21"/>
                <w:szCs w:val="21"/>
              </w:rPr>
              <w:t xml:space="preserve">Not connected. The app still works on SQLite; for MongoDB/Redis it shows what it would have stored or sent, so nothing breaks.</w:t>
            </w:r>
          </w:p>
        </w:tc>
      </w:tr>
    </w:tbl>
    <w:p>
      <w:pPr>
        <w:pBdr>
          <w:bottom w:val="single" w:color="B8D8D2" w:sz="6"/>
        </w:pBdr>
        <w:spacing w:after="150" w:before="40"/>
      </w:pPr>
      <w:r>
        <w:rPr>
          <w:sz w:val="2"/>
          <w:szCs w:val="2"/>
        </w:rPr>
        <w:t xml:space="preserve"/>
      </w:r>
    </w:p>
    <w:p>
      <w:pPr>
        <w:jc w:val="center"/>
      </w:pPr>
      <w:r>
        <w:rPr>
          <w:i/>
          <w:iCs/>
          <w:color w:val="52606D"/>
          <w:sz w:val="18"/>
          <w:szCs w:val="18"/>
        </w:rPr>
        <w:t xml:space="preserve">Adaptive SVM Model for Intelligent Disease Surveillance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0F766E"/>
      </w:rPr>
    </w:lvl>
  </w:abstractNum>
  <w:abstractNum w:abstractNumId="3" w15:restartNumberingAfterBreak="0">
    <w:multiLevelType w:val="hybridMultilevel"/>
    <w:lvl w:ilvl="0" w15:tentative="1">
      <w:start w:val="1"/>
      <w:numFmt w:val="decimal"/>
      <w:lvlText w:val="%1."/>
      <w:lvlJc w:val="left"/>
      <w:pPr>
        <w:ind w:left="380" w:hanging="260"/>
      </w:pPr>
      <w:rPr>
        <w:b/>
        <w:bCs/>
        <w:color w:val="0F766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Disease Surveillance System — User Manual</dc:title>
  <dc:creator>Disease Surveillance Project</dc:creator>
  <cp:lastModifiedBy>Un-named</cp:lastModifiedBy>
  <cp:revision>1</cp:revision>
  <dcterms:created xsi:type="dcterms:W3CDTF">2026-07-23T10:47:55.115Z</dcterms:created>
  <dcterms:modified xsi:type="dcterms:W3CDTF">2026-07-23T10:47:55.116Z</dcterms:modified>
</cp:coreProperties>
</file>

<file path=docProps/custom.xml><?xml version="1.0" encoding="utf-8"?>
<Properties xmlns="http://schemas.openxmlformats.org/officeDocument/2006/custom-properties" xmlns:vt="http://schemas.openxmlformats.org/officeDocument/2006/docPropsVTypes"/>
</file>