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8"/>
          <w:szCs w:val="28"/>
        </w:rPr>
        <w:t xml:space="preserve">ANEXO — ODONTOLOGIA (OSID)</w:t>
      </w:r>
    </w:p>
    <w:p>
      <w:pPr>
        <w:spacing w:after="200"/>
        <w:jc w:val="center"/>
      </w:pPr>
      <w:r>
        <w:rPr>
          <w:i/>
          <w:iCs/>
          <w:color w:val="595959"/>
          <w:sz w:val="22"/>
          <w:szCs w:val="22"/>
        </w:rPr>
        <w:t xml:space="preserve">Fluxo de liberação odontológica para início de terapia com Zometa</w:t>
      </w:r>
    </w:p>
    <w:p>
      <w:pPr>
        <w:jc w:val="center"/>
      </w:pPr>
      <w:r>
        <w:drawing>
          <wp:inline distT="0" distB="0" distL="0" distR="0">
            <wp:extent cx="14287500" cy="9667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0" cy="966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1ac3d690ec8aba103481977addbc414a1984d5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2026-10-29T12:24:36.025Z</dcterms:created>
  <dcterms:modified xsi:type="dcterms:W3CDTF">2026-10-29T12:24:36.029Z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