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FBBA" w14:textId="77777777" w:rsidR="007703A0" w:rsidRDefault="00000000">
      <w:pPr>
        <w:spacing w:after="60"/>
        <w:jc w:val="center"/>
      </w:pPr>
      <w:r>
        <w:rPr>
          <w:b/>
          <w:bCs/>
          <w:color w:val="555555"/>
          <w:sz w:val="20"/>
          <w:szCs w:val="20"/>
        </w:rPr>
        <w:t>Sistemas de Apoio à Decisão — Trabalho AV2</w:t>
      </w:r>
    </w:p>
    <w:p w14:paraId="4722FF90" w14:textId="77777777" w:rsidR="007703A0" w:rsidRDefault="00000000">
      <w:pPr>
        <w:spacing w:after="40"/>
        <w:jc w:val="center"/>
      </w:pPr>
      <w:r>
        <w:rPr>
          <w:b/>
          <w:bCs/>
          <w:color w:val="1F4E79"/>
          <w:sz w:val="34"/>
          <w:szCs w:val="34"/>
        </w:rPr>
        <w:t>Hospital Privado rumo ao Credenciamento SUS</w:t>
      </w:r>
    </w:p>
    <w:p w14:paraId="24B30DDB" w14:textId="77777777" w:rsidR="007703A0" w:rsidRDefault="00000000">
      <w:pPr>
        <w:spacing w:after="240"/>
        <w:jc w:val="center"/>
      </w:pPr>
      <w:r>
        <w:rPr>
          <w:color w:val="555555"/>
          <w:sz w:val="20"/>
          <w:szCs w:val="20"/>
        </w:rPr>
        <w:t>Data Lake, Data Warehouse e análise de dados — referência HUOL/UFRN</w:t>
      </w:r>
    </w:p>
    <w:p w14:paraId="04275C89" w14:textId="77777777" w:rsidR="007703A0" w:rsidRDefault="00000000">
      <w:pPr>
        <w:pStyle w:val="Ttulo1"/>
      </w:pPr>
      <w:r>
        <w:t>1. Contexto e objetivo</w:t>
      </w:r>
    </w:p>
    <w:p w14:paraId="75159C4E" w14:textId="77777777" w:rsidR="007703A0" w:rsidRDefault="00000000">
      <w:pPr>
        <w:spacing w:after="120"/>
        <w:jc w:val="both"/>
      </w:pPr>
      <w:r>
        <w:t>Um hospital privado de Natal (RN) pretende se credenciar ao SUS para ofertar internações. Para embasar essa decisão de expansão, a direção decidiu estudar o comportamento de um hospital público já credenciado e de referência regional — o Hospital Universitário Onofre Lopes (HUOL/UFRN) — cujos dados de internação estão no portal de dados abertos do Governo Federal, complementados pela percepção do público nas redes sociais.</w:t>
      </w:r>
    </w:p>
    <w:p w14:paraId="591A4070" w14:textId="77777777" w:rsidR="007703A0" w:rsidRPr="00CF2FF0" w:rsidRDefault="00000000">
      <w:pPr>
        <w:spacing w:after="120"/>
        <w:jc w:val="both"/>
      </w:pPr>
      <w:r w:rsidRPr="00CF2FF0">
        <w:t>O objetivo do trabalho foi integrar dados estruturados (internações do SUS) e não estruturados (comentários do Instagram) em um Data Lake, derivar um Data Warehouse dimensional, aplicar análise e aprendizado de máquina adequados a cada tipo de dado e apresentar visualmente os insights que apoiam a decisão de expansão.</w:t>
      </w:r>
    </w:p>
    <w:p w14:paraId="5F26FC4D" w14:textId="77777777" w:rsidR="007703A0" w:rsidRDefault="00000000">
      <w:pPr>
        <w:pStyle w:val="Ttulo1"/>
      </w:pPr>
      <w:r>
        <w:t>2. Arquitetura da solução</w:t>
      </w:r>
    </w:p>
    <w:p w14:paraId="75A9FA39" w14:textId="77777777" w:rsidR="007703A0" w:rsidRDefault="00000000">
      <w:pPr>
        <w:spacing w:after="120"/>
        <w:jc w:val="both"/>
      </w:pPr>
      <w:r>
        <w:t>A solução segue a arquitetura de Data Lake em três camadas (bronze, prata e ouro), com um Data Warehouse derivado e uma camada de visualização:</w:t>
      </w:r>
    </w:p>
    <w:p w14:paraId="14F15E43" w14:textId="77777777" w:rsidR="007703A0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Bronze (cru):</w:t>
      </w:r>
      <w:r>
        <w:t xml:space="preserve"> ingestão dos 8 </w:t>
      </w:r>
      <w:proofErr w:type="spellStart"/>
      <w:r>
        <w:t>CSVs</w:t>
      </w:r>
      <w:proofErr w:type="spellEnd"/>
      <w:r>
        <w:t xml:space="preserve"> trimestrais de internação (Jan/2024 a Dez/2025) e dos comentários, sem transformação.</w:t>
      </w:r>
    </w:p>
    <w:p w14:paraId="0AB9E611" w14:textId="77777777" w:rsidR="007703A0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Prata (limpo):</w:t>
      </w:r>
      <w:r>
        <w:t xml:space="preserve"> padronização de acentuação, unificação de especialidades, criação de faixas etárias, normalização de sexo, conversão de datas e remoção de registros inválidos.</w:t>
      </w:r>
    </w:p>
    <w:p w14:paraId="18BBD6B8" w14:textId="77777777" w:rsidR="007703A0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Ouro (analítico):</w:t>
      </w:r>
      <w:r>
        <w:t xml:space="preserve"> tabelas agregadas que respondem diretamente às perguntas de negócio.</w:t>
      </w:r>
    </w:p>
    <w:p w14:paraId="792921B0" w14:textId="77777777" w:rsidR="007703A0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Data Warehouse:</w:t>
      </w:r>
      <w:r>
        <w:t xml:space="preserve"> modelo estrela (fato de internações + dimensões tempo, especialidade, município e paciente).</w:t>
      </w:r>
    </w:p>
    <w:p w14:paraId="39FE5CC4" w14:textId="77777777" w:rsidR="007703A0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Data Lake físico:</w:t>
      </w:r>
      <w:r>
        <w:t xml:space="preserve"> </w:t>
      </w:r>
      <w:proofErr w:type="spellStart"/>
      <w:r>
        <w:t>MinIO</w:t>
      </w:r>
      <w:proofErr w:type="spellEnd"/>
      <w:r>
        <w:t xml:space="preserve"> (S3-compatível, gratuito) via Docker; um script envia as camadas ao </w:t>
      </w:r>
      <w:proofErr w:type="spellStart"/>
      <w:r>
        <w:t>bucket</w:t>
      </w:r>
      <w:proofErr w:type="spellEnd"/>
      <w:r>
        <w:t>.</w:t>
      </w:r>
    </w:p>
    <w:p w14:paraId="6E39A08B" w14:textId="77777777" w:rsidR="007703A0" w:rsidRDefault="00000000">
      <w:pPr>
        <w:spacing w:after="120"/>
        <w:jc w:val="both"/>
      </w:pPr>
      <w:r>
        <w:t>O fluxo é totalmente reproduzível: um único comando (run_all.py) executa ETL, análise de sentimento, construção do DW e geração dos gráficos.</w:t>
      </w:r>
    </w:p>
    <w:p w14:paraId="33D0F06E" w14:textId="77777777" w:rsidR="007703A0" w:rsidRDefault="00000000">
      <w:pPr>
        <w:pStyle w:val="Ttulo1"/>
      </w:pPr>
      <w:r>
        <w:t>3. Dados estruturados — internações</w:t>
      </w:r>
    </w:p>
    <w:p w14:paraId="71A47038" w14:textId="77777777" w:rsidR="007703A0" w:rsidRDefault="00000000">
      <w:pPr>
        <w:pStyle w:val="Ttulo2"/>
      </w:pPr>
      <w:r>
        <w:t>3.1. Volume e limpeza</w:t>
      </w:r>
    </w:p>
    <w:p w14:paraId="4C720064" w14:textId="77777777" w:rsidR="007703A0" w:rsidRDefault="00000000">
      <w:pPr>
        <w:spacing w:after="120"/>
        <w:jc w:val="both"/>
      </w:pPr>
      <w:r>
        <w:t xml:space="preserve">A base reúne </w:t>
      </w:r>
      <w:r>
        <w:rPr>
          <w:b/>
          <w:bCs/>
        </w:rPr>
        <w:t>16.046 registros</w:t>
      </w:r>
      <w:r>
        <w:t xml:space="preserve"> crus; após a higienização restaram </w:t>
      </w:r>
      <w:r>
        <w:rPr>
          <w:b/>
          <w:bCs/>
        </w:rPr>
        <w:t>16.044 internações</w:t>
      </w:r>
      <w:r>
        <w:t xml:space="preserve"> válidas. As 50 descrições de especialidade originais foram unificadas em </w:t>
      </w:r>
      <w:r>
        <w:rPr>
          <w:b/>
          <w:bCs/>
        </w:rPr>
        <w:t>37 especialidades</w:t>
      </w:r>
      <w:r>
        <w:t xml:space="preserve"> padronizadas (por exemplo, "ONCOLOGIA CLÍNICA", "CIRURGIA ONCOLOGICA" e "ONCOLOGIA HEMATOLOGIA" foram agrupadas em Oncologia). Nomes de município tiveram a capitalização corrigida (ex.: "NATAL" e "São Gonçalo do Amarante" padronizados) e o sexo foi normalizado, tratando ruídos como o valor "F" e registros sem informação.</w:t>
      </w:r>
    </w:p>
    <w:p w14:paraId="4C85D378" w14:textId="77777777" w:rsidR="007703A0" w:rsidRDefault="00000000">
      <w:pPr>
        <w:pStyle w:val="Ttulo2"/>
      </w:pPr>
      <w:r>
        <w:t>3.2. Perguntas de negócio</w:t>
      </w:r>
    </w:p>
    <w:p w14:paraId="450E85F3" w14:textId="77777777" w:rsidR="007703A0" w:rsidRDefault="00000000">
      <w:pPr>
        <w:spacing w:after="120"/>
        <w:jc w:val="both"/>
      </w:pPr>
      <w:r>
        <w:rPr>
          <w:b/>
          <w:bCs/>
        </w:rPr>
        <w:t>P1 — Quais especialidades concentram mais internações?</w:t>
      </w:r>
      <w:r>
        <w:t xml:space="preserve"> Cardiologia lidera com 1.562 internações, seguida de Urologia (1.362), Gastroenterologia (1.155), Cirurgia Geral (1.055) e Clínica Geral (994). O perfil revela forte demanda cirúrgica e oncológica, coerente com o papel do HUOL como referência regional.</w:t>
      </w:r>
    </w:p>
    <w:p w14:paraId="59358F92" w14:textId="77777777" w:rsidR="007703A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2519394" wp14:editId="6E977C64">
            <wp:extent cx="5143500" cy="29718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BB23" w14:textId="77777777" w:rsidR="007703A0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1 — Top 10 especialidades por número de internações.</w:t>
      </w:r>
    </w:p>
    <w:p w14:paraId="67052B84" w14:textId="77777777" w:rsidR="007703A0" w:rsidRDefault="00000000">
      <w:pPr>
        <w:spacing w:after="120"/>
        <w:jc w:val="both"/>
      </w:pPr>
      <w:r>
        <w:rPr>
          <w:b/>
          <w:bCs/>
        </w:rPr>
        <w:t>P2 — Qual o perfil etário e de gênero?</w:t>
      </w:r>
      <w:r>
        <w:t xml:space="preserve"> A distribuição por sexo é praticamente equilibrada (51% feminino, 49% masculino). Por idade, há forte concentração na população idosa: pacientes com 60 anos ou mais respondem por </w:t>
      </w:r>
      <w:r>
        <w:rPr>
          <w:b/>
          <w:bCs/>
        </w:rPr>
        <w:t>37%</w:t>
      </w:r>
      <w:r>
        <w:t xml:space="preserve"> das internações, o que sinaliza demanda por leitos e especialidades voltadas à terceira idade.</w:t>
      </w:r>
    </w:p>
    <w:p w14:paraId="4C636641" w14:textId="77777777" w:rsidR="007703A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48BEA2F" wp14:editId="46A3EF9B">
            <wp:extent cx="5143500" cy="2971800"/>
            <wp:effectExtent l="0" t="0" r="0" b="0"/>
            <wp:docPr id="1871144553" name="Imagem 1871144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BCC2" w14:textId="77777777" w:rsidR="007703A0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2 — Internações por faixa etária e sexo.</w:t>
      </w:r>
    </w:p>
    <w:p w14:paraId="46941C98" w14:textId="77777777" w:rsidR="007703A0" w:rsidRDefault="00000000">
      <w:pPr>
        <w:spacing w:after="120"/>
        <w:jc w:val="both"/>
      </w:pPr>
      <w:r>
        <w:rPr>
          <w:b/>
          <w:bCs/>
        </w:rPr>
        <w:t>P3 — Há padrões por município?</w:t>
      </w:r>
      <w:r>
        <w:t xml:space="preserve"> Natal concentra cerca de </w:t>
      </w:r>
      <w:r>
        <w:rPr>
          <w:b/>
          <w:bCs/>
        </w:rPr>
        <w:t>35%</w:t>
      </w:r>
      <w:r>
        <w:t xml:space="preserve"> das internações; os demais </w:t>
      </w:r>
      <w:r>
        <w:rPr>
          <w:b/>
          <w:bCs/>
        </w:rPr>
        <w:t>65%</w:t>
      </w:r>
      <w:r>
        <w:t xml:space="preserve"> vêm do interior e região metropolitana (Parnamirim, São Gonçalo do Amarante, Macaíba, Ceará-Mirim, entre outros). Isso mostra que o hospital atende uma ampla área de abrangência, e não apenas a capital — informação relevante para dimensionar a captação de um novo serviço.</w:t>
      </w:r>
    </w:p>
    <w:p w14:paraId="3B19BCF3" w14:textId="77777777" w:rsidR="007703A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A2BE1AE" wp14:editId="207D97EB">
            <wp:extent cx="5334000" cy="2219325"/>
            <wp:effectExtent l="0" t="0" r="0" b="0"/>
            <wp:docPr id="616305745" name="Imagem 61630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85ED" w14:textId="77777777" w:rsidR="007703A0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3 — Top 10 municípios de residência e divisão Natal vs. Interior.</w:t>
      </w:r>
    </w:p>
    <w:p w14:paraId="7588B228" w14:textId="77777777" w:rsidR="007703A0" w:rsidRDefault="00000000">
      <w:pPr>
        <w:spacing w:after="120"/>
        <w:jc w:val="both"/>
      </w:pPr>
      <w:r>
        <w:rPr>
          <w:b/>
          <w:bCs/>
        </w:rPr>
        <w:t>P4 — Existe sazonalidade?</w:t>
      </w:r>
      <w:r>
        <w:t xml:space="preserve"> O volume mensal oscila em torno da média de 668 internações, com tendência de </w:t>
      </w:r>
      <w:r>
        <w:rPr>
          <w:b/>
          <w:bCs/>
        </w:rPr>
        <w:t>alta de 11,7% de 2024 (7.577) para 2025 (8.467)</w:t>
      </w:r>
      <w:r>
        <w:t>. Há leve queda em meses de início/fim de ano e picos no segundo semestre — padrão útil para planejar capacidade ao longo do ano.</w:t>
      </w:r>
    </w:p>
    <w:p w14:paraId="1827994D" w14:textId="77777777" w:rsidR="007703A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D39E5B2" wp14:editId="012D908B">
            <wp:extent cx="5334000" cy="2324100"/>
            <wp:effectExtent l="0" t="0" r="0" b="0"/>
            <wp:docPr id="1088254208" name="Imagem 1088254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E0AF" w14:textId="77777777" w:rsidR="007703A0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4 — Sazonalidade mensal das internações (azul: 2024; verde: 2025).</w:t>
      </w:r>
    </w:p>
    <w:p w14:paraId="68287EE0" w14:textId="77777777" w:rsidR="007703A0" w:rsidRDefault="00000000">
      <w:pPr>
        <w:pStyle w:val="Ttulo1"/>
      </w:pPr>
      <w:r>
        <w:t>4. Data Warehouse dimensional</w:t>
      </w:r>
    </w:p>
    <w:p w14:paraId="74984764" w14:textId="77777777" w:rsidR="007703A0" w:rsidRDefault="00000000">
      <w:pPr>
        <w:spacing w:after="120"/>
        <w:jc w:val="both"/>
      </w:pPr>
      <w:r>
        <w:t>A partir da camada ouro foi modelado um Data Warehouse em esquema estrela. A tabela fato registra a quantidade de internações no grão tempo × especialidade × município × perfil de paciente; as dimensões dão contexto a cada análise.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2560"/>
      </w:tblGrid>
      <w:tr w:rsidR="007703A0" w14:paraId="7D4776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7B660" w14:textId="77777777" w:rsidR="007703A0" w:rsidRDefault="00000000"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C3BD9" w14:textId="77777777" w:rsidR="007703A0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0A56E" w14:textId="77777777" w:rsidR="007703A0" w:rsidRDefault="00000000">
            <w:r>
              <w:rPr>
                <w:b/>
                <w:bCs/>
                <w:color w:val="FFFFFF"/>
                <w:sz w:val="19"/>
                <w:szCs w:val="19"/>
              </w:rPr>
              <w:t>Linhas</w:t>
            </w:r>
          </w:p>
        </w:tc>
      </w:tr>
      <w:tr w:rsidR="007703A0" w14:paraId="038D0E9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DE5B6" w14:textId="77777777" w:rsidR="007703A0" w:rsidRDefault="00000000">
            <w:proofErr w:type="spellStart"/>
            <w:r>
              <w:rPr>
                <w:color w:val="000000"/>
                <w:sz w:val="19"/>
                <w:szCs w:val="19"/>
              </w:rPr>
              <w:t>fato_internacao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24304" w14:textId="77777777" w:rsidR="007703A0" w:rsidRDefault="00000000">
            <w:r>
              <w:rPr>
                <w:color w:val="000000"/>
                <w:sz w:val="19"/>
                <w:szCs w:val="19"/>
              </w:rPr>
              <w:t>Fato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1F0BC" w14:textId="77777777" w:rsidR="007703A0" w:rsidRDefault="00000000">
            <w:r>
              <w:rPr>
                <w:color w:val="000000"/>
                <w:sz w:val="19"/>
                <w:szCs w:val="19"/>
              </w:rPr>
              <w:t>15.718</w:t>
            </w:r>
          </w:p>
        </w:tc>
      </w:tr>
      <w:tr w:rsidR="007703A0" w14:paraId="498963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4F2AB" w14:textId="77777777" w:rsidR="007703A0" w:rsidRDefault="00000000">
            <w:proofErr w:type="spellStart"/>
            <w:r>
              <w:rPr>
                <w:color w:val="000000"/>
                <w:sz w:val="19"/>
                <w:szCs w:val="19"/>
              </w:rPr>
              <w:t>dim_tempo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E7F17" w14:textId="77777777" w:rsidR="007703A0" w:rsidRDefault="00000000">
            <w:r>
              <w:rPr>
                <w:color w:val="000000"/>
                <w:sz w:val="19"/>
                <w:szCs w:val="19"/>
              </w:rPr>
              <w:t>Dimensão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E3739" w14:textId="77777777" w:rsidR="007703A0" w:rsidRDefault="00000000">
            <w:r>
              <w:rPr>
                <w:color w:val="000000"/>
                <w:sz w:val="19"/>
                <w:szCs w:val="19"/>
              </w:rPr>
              <w:t>730</w:t>
            </w:r>
          </w:p>
        </w:tc>
      </w:tr>
      <w:tr w:rsidR="007703A0" w14:paraId="139C918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8DFCF" w14:textId="77777777" w:rsidR="007703A0" w:rsidRDefault="00000000">
            <w:proofErr w:type="spellStart"/>
            <w:r>
              <w:rPr>
                <w:color w:val="000000"/>
                <w:sz w:val="19"/>
                <w:szCs w:val="19"/>
              </w:rPr>
              <w:t>dim_municipio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EE868" w14:textId="77777777" w:rsidR="007703A0" w:rsidRDefault="00000000">
            <w:r>
              <w:rPr>
                <w:color w:val="000000"/>
                <w:sz w:val="19"/>
                <w:szCs w:val="19"/>
              </w:rPr>
              <w:t>Dimensão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6C050" w14:textId="77777777" w:rsidR="007703A0" w:rsidRDefault="00000000">
            <w:r>
              <w:rPr>
                <w:color w:val="000000"/>
                <w:sz w:val="19"/>
                <w:szCs w:val="19"/>
              </w:rPr>
              <w:t>202</w:t>
            </w:r>
          </w:p>
        </w:tc>
      </w:tr>
      <w:tr w:rsidR="007703A0" w14:paraId="3F08BF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6F6E6" w14:textId="77777777" w:rsidR="007703A0" w:rsidRDefault="00000000">
            <w:proofErr w:type="spellStart"/>
            <w:r>
              <w:rPr>
                <w:color w:val="000000"/>
                <w:sz w:val="19"/>
                <w:szCs w:val="19"/>
              </w:rPr>
              <w:t>dim_especialidade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ACB1D" w14:textId="77777777" w:rsidR="007703A0" w:rsidRDefault="00000000">
            <w:r>
              <w:rPr>
                <w:color w:val="000000"/>
                <w:sz w:val="19"/>
                <w:szCs w:val="19"/>
              </w:rPr>
              <w:t>Dimensão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F1796" w14:textId="77777777" w:rsidR="007703A0" w:rsidRDefault="00000000">
            <w:r>
              <w:rPr>
                <w:color w:val="000000"/>
                <w:sz w:val="19"/>
                <w:szCs w:val="19"/>
              </w:rPr>
              <w:t>37</w:t>
            </w:r>
          </w:p>
        </w:tc>
      </w:tr>
      <w:tr w:rsidR="007703A0" w14:paraId="470E0C8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DC55B" w14:textId="77777777" w:rsidR="007703A0" w:rsidRDefault="00000000">
            <w:proofErr w:type="spellStart"/>
            <w:r>
              <w:rPr>
                <w:color w:val="000000"/>
                <w:sz w:val="19"/>
                <w:szCs w:val="19"/>
              </w:rPr>
              <w:t>dim_paciente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923C7" w14:textId="77777777" w:rsidR="007703A0" w:rsidRDefault="00000000">
            <w:r>
              <w:rPr>
                <w:color w:val="000000"/>
                <w:sz w:val="19"/>
                <w:szCs w:val="19"/>
              </w:rPr>
              <w:t>Dimensão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E5C77" w14:textId="77777777" w:rsidR="007703A0" w:rsidRDefault="00000000">
            <w:r>
              <w:rPr>
                <w:color w:val="000000"/>
                <w:sz w:val="19"/>
                <w:szCs w:val="19"/>
              </w:rPr>
              <w:t>14</w:t>
            </w:r>
          </w:p>
        </w:tc>
      </w:tr>
    </w:tbl>
    <w:p w14:paraId="0103AC4E" w14:textId="77777777" w:rsidR="007703A0" w:rsidRDefault="00000000">
      <w:pPr>
        <w:spacing w:after="120"/>
      </w:pPr>
      <w:r>
        <w:rPr>
          <w:i/>
          <w:iCs/>
          <w:sz w:val="19"/>
          <w:szCs w:val="19"/>
        </w:rPr>
        <w:t xml:space="preserve">A soma da medida </w:t>
      </w:r>
      <w:proofErr w:type="gramStart"/>
      <w:r>
        <w:rPr>
          <w:i/>
          <w:iCs/>
          <w:sz w:val="19"/>
          <w:szCs w:val="19"/>
        </w:rPr>
        <w:t>na fato</w:t>
      </w:r>
      <w:proofErr w:type="gramEnd"/>
      <w:r>
        <w:rPr>
          <w:i/>
          <w:iCs/>
          <w:sz w:val="19"/>
          <w:szCs w:val="19"/>
        </w:rPr>
        <w:t xml:space="preserve"> (16.044) confere com o total de internações da camada prata, validando a integridade do modelo.</w:t>
      </w:r>
    </w:p>
    <w:p w14:paraId="04F5D939" w14:textId="77777777" w:rsidR="007703A0" w:rsidRDefault="00000000">
      <w:pPr>
        <w:pStyle w:val="Ttulo1"/>
      </w:pPr>
      <w:r>
        <w:t>5. Dados não estruturados — Instagram</w:t>
      </w:r>
    </w:p>
    <w:p w14:paraId="669B0B9D" w14:textId="5AD7C2E3" w:rsidR="007703A0" w:rsidRDefault="00000000">
      <w:pPr>
        <w:spacing w:after="120"/>
        <w:jc w:val="both"/>
      </w:pPr>
      <w:r>
        <w:lastRenderedPageBreak/>
        <w:t xml:space="preserve">As perguntas P5 e P6 dependem de comentários do Instagram do hospital. A Instagram </w:t>
      </w:r>
      <w:proofErr w:type="spellStart"/>
      <w:r>
        <w:t>Graph</w:t>
      </w:r>
      <w:proofErr w:type="spellEnd"/>
      <w:r>
        <w:t xml:space="preserve"> API, porém, só libera a leitura de comentários para quem administra a página</w:t>
      </w:r>
      <w:r w:rsidR="00CF2FF0">
        <w:t xml:space="preserve"> ou tem perfil profissional</w:t>
      </w:r>
      <w:r>
        <w:t xml:space="preserve"> — o que não </w:t>
      </w:r>
      <w:r w:rsidR="00CF2FF0">
        <w:t>se aplica ao meu caso</w:t>
      </w:r>
      <w:r>
        <w:t xml:space="preserve">. Por isso, foi gerada uma </w:t>
      </w:r>
      <w:r w:rsidRPr="00CF2FF0">
        <w:t>base sintética de 300 comentários</w:t>
      </w:r>
      <w:r>
        <w:t xml:space="preserve"> que reproduz fielmente os padrões reais de páginas de hospitais públicos </w:t>
      </w:r>
      <w:r w:rsidRPr="00CF2FF0">
        <w:t xml:space="preserve">(elogios a profissionais, reclamações de espera, dúvidas), com emojis e hashtags. </w:t>
      </w:r>
    </w:p>
    <w:p w14:paraId="65197C4E" w14:textId="77777777" w:rsidR="007703A0" w:rsidRDefault="00000000">
      <w:pPr>
        <w:pStyle w:val="Ttulo2"/>
      </w:pPr>
      <w:r>
        <w:t>5.1. Limpeza, tokenização e sentimento</w:t>
      </w:r>
    </w:p>
    <w:p w14:paraId="1DC29700" w14:textId="77777777" w:rsidR="007703A0" w:rsidRPr="00CF2FF0" w:rsidRDefault="00000000">
      <w:pPr>
        <w:spacing w:after="120"/>
        <w:jc w:val="both"/>
      </w:pPr>
      <w:r>
        <w:t xml:space="preserve">Os comentários passaram por remoção de emojis, hashtags, menções e pontuação; </w:t>
      </w:r>
      <w:r w:rsidRPr="00CF2FF0">
        <w:t xml:space="preserve">tokenização; e remoção de </w:t>
      </w:r>
      <w:proofErr w:type="spellStart"/>
      <w:r w:rsidRPr="00CF2FF0">
        <w:t>stopwords</w:t>
      </w:r>
      <w:proofErr w:type="spellEnd"/>
      <w:r w:rsidRPr="00CF2FF0">
        <w:t xml:space="preserve"> em português. A análise de sentimento usa um léxico adaptado ao contexto hospitalar, classificando cada comentário em positivo, negativo ou neutro. Validado contra os rótulos de referência, o método atingiu 97,0% de concordância.</w:t>
      </w:r>
    </w:p>
    <w:p w14:paraId="4D27AC99" w14:textId="77777777" w:rsidR="007703A0" w:rsidRDefault="00000000">
      <w:pPr>
        <w:spacing w:after="120"/>
        <w:jc w:val="both"/>
      </w:pPr>
      <w:r>
        <w:rPr>
          <w:b/>
          <w:bCs/>
        </w:rPr>
        <w:t>P5 e P6 — O que as pessoas dizem e qual o sentimento predominante?</w:t>
      </w:r>
      <w:r>
        <w:t xml:space="preserve"> Predominam comentários </w:t>
      </w:r>
      <w:r>
        <w:rPr>
          <w:b/>
          <w:bCs/>
        </w:rPr>
        <w:t>positivos (38%)</w:t>
      </w:r>
      <w:r>
        <w:t xml:space="preserve">, voltados ao atendimento e à equipe (palavras como "atencioso", "gratidão", "equipe"); os </w:t>
      </w:r>
      <w:r>
        <w:rPr>
          <w:b/>
          <w:bCs/>
        </w:rPr>
        <w:t>negativos (38%)</w:t>
      </w:r>
      <w:r>
        <w:t xml:space="preserve"> concentram-se em tempo de espera e filas ("esperei", "fila", "descaso"); os </w:t>
      </w:r>
      <w:r>
        <w:rPr>
          <w:b/>
          <w:bCs/>
        </w:rPr>
        <w:t>neutros (24%)</w:t>
      </w:r>
      <w:r>
        <w:t xml:space="preserve"> são dúvidas operacionais (horários, agendamento, convênio). O sinal para a gestão é claro: a percepção sobre o cuidado é boa, mas o tempo de espera é o principal ponto de atrito a endereçar.</w:t>
      </w:r>
    </w:p>
    <w:p w14:paraId="06153C02" w14:textId="77777777" w:rsidR="007703A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C0EE4C9" wp14:editId="726BC703">
            <wp:extent cx="3429000" cy="2638425"/>
            <wp:effectExtent l="0" t="0" r="0" b="0"/>
            <wp:docPr id="1385628076" name="Imagem 1385628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C4B5" w14:textId="77777777" w:rsidR="007703A0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5 — Distribuição de sentimento dos comentários.</w:t>
      </w:r>
    </w:p>
    <w:p w14:paraId="13A64580" w14:textId="77777777" w:rsidR="007703A0" w:rsidRDefault="00000000">
      <w:pPr>
        <w:pStyle w:val="Ttulo1"/>
      </w:pPr>
      <w:r>
        <w:t>6. Conclusão e apoio à decisão</w:t>
      </w:r>
    </w:p>
    <w:p w14:paraId="6CC4E8C8" w14:textId="77777777" w:rsidR="007703A0" w:rsidRDefault="00000000">
      <w:pPr>
        <w:spacing w:after="120"/>
        <w:jc w:val="both"/>
      </w:pPr>
      <w:r>
        <w:t>A análise integrada oferece à direção do hospital privado um retrato consistente do serviço de referência: demanda liderada por cardiologia, urologia e áreas cirúrgicas/oncológicas; forte presença de pacientes idosos; abrangência que ultrapassa a capital; tendência de crescimento das internações; e uma percepção pública majoritariamente positiva, com o tempo de espera como principal vulnerabilidade. Esses achados ajudam a priorizar especialidades, dimensionar leitos por perfil de paciente e antecipar gargalos de atendimento na expansão rumo ao SUS.</w:t>
      </w:r>
    </w:p>
    <w:p w14:paraId="59234414" w14:textId="77777777" w:rsidR="007703A0" w:rsidRDefault="00000000">
      <w:pPr>
        <w:pStyle w:val="Ttulo2"/>
      </w:pPr>
      <w:r>
        <w:t>6.1. Limitações</w:t>
      </w:r>
    </w:p>
    <w:p w14:paraId="38F7A42F" w14:textId="225C5AEE" w:rsidR="007703A0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Os comentários do Instagram são sintéticos (acesso à </w:t>
      </w:r>
      <w:proofErr w:type="spellStart"/>
      <w:r>
        <w:t>Graph</w:t>
      </w:r>
      <w:proofErr w:type="spellEnd"/>
      <w:r>
        <w:t xml:space="preserve"> API indisponível.</w:t>
      </w:r>
    </w:p>
    <w:p w14:paraId="0F626EA7" w14:textId="77777777" w:rsidR="007703A0" w:rsidRDefault="00000000">
      <w:pPr>
        <w:pStyle w:val="PargrafodaLista"/>
        <w:numPr>
          <w:ilvl w:val="0"/>
          <w:numId w:val="2"/>
        </w:numPr>
        <w:spacing w:after="60"/>
      </w:pPr>
      <w:r>
        <w:t>A base não traz desfecho clínico nem tempo de permanência, o que limitaria análises de custo/ocupação.</w:t>
      </w:r>
    </w:p>
    <w:p w14:paraId="4E3BAC66" w14:textId="77777777" w:rsidR="007703A0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 análise de sentimento por léxico é simples e transparente; um modelo </w:t>
      </w:r>
      <w:proofErr w:type="spellStart"/>
      <w:r>
        <w:t>pré</w:t>
      </w:r>
      <w:proofErr w:type="spellEnd"/>
      <w:r>
        <w:t>-treinado poderia capturar ironia e negação com mais precisão.</w:t>
      </w:r>
    </w:p>
    <w:sectPr w:rsidR="007703A0"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D38C6" w14:textId="77777777" w:rsidR="00195E00" w:rsidRDefault="00195E00">
      <w:r>
        <w:separator/>
      </w:r>
    </w:p>
  </w:endnote>
  <w:endnote w:type="continuationSeparator" w:id="0">
    <w:p w14:paraId="4E03DC4D" w14:textId="77777777" w:rsidR="00195E00" w:rsidRDefault="00195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88A1D" w14:textId="77777777" w:rsidR="007703A0" w:rsidRDefault="00000000">
    <w:pPr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CF2FF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D9B8F" w14:textId="77777777" w:rsidR="00195E00" w:rsidRDefault="00195E00">
      <w:r>
        <w:separator/>
      </w:r>
    </w:p>
  </w:footnote>
  <w:footnote w:type="continuationSeparator" w:id="0">
    <w:p w14:paraId="4EE10513" w14:textId="77777777" w:rsidR="00195E00" w:rsidRDefault="00195E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1AB9"/>
    <w:multiLevelType w:val="hybridMultilevel"/>
    <w:tmpl w:val="D5F80904"/>
    <w:lvl w:ilvl="0" w:tplc="2312DFD6">
      <w:start w:val="1"/>
      <w:numFmt w:val="bullet"/>
      <w:lvlText w:val="•"/>
      <w:lvlJc w:val="left"/>
      <w:pPr>
        <w:ind w:left="600" w:hanging="280"/>
      </w:pPr>
    </w:lvl>
    <w:lvl w:ilvl="1" w:tplc="D2940876">
      <w:numFmt w:val="decimal"/>
      <w:lvlText w:val=""/>
      <w:lvlJc w:val="left"/>
    </w:lvl>
    <w:lvl w:ilvl="2" w:tplc="EA50868E">
      <w:numFmt w:val="decimal"/>
      <w:lvlText w:val=""/>
      <w:lvlJc w:val="left"/>
    </w:lvl>
    <w:lvl w:ilvl="3" w:tplc="90D4B7F2">
      <w:numFmt w:val="decimal"/>
      <w:lvlText w:val=""/>
      <w:lvlJc w:val="left"/>
    </w:lvl>
    <w:lvl w:ilvl="4" w:tplc="62AA7C38">
      <w:numFmt w:val="decimal"/>
      <w:lvlText w:val=""/>
      <w:lvlJc w:val="left"/>
    </w:lvl>
    <w:lvl w:ilvl="5" w:tplc="EA6269A2">
      <w:numFmt w:val="decimal"/>
      <w:lvlText w:val=""/>
      <w:lvlJc w:val="left"/>
    </w:lvl>
    <w:lvl w:ilvl="6" w:tplc="E9A85C50">
      <w:numFmt w:val="decimal"/>
      <w:lvlText w:val=""/>
      <w:lvlJc w:val="left"/>
    </w:lvl>
    <w:lvl w:ilvl="7" w:tplc="C8227A30">
      <w:numFmt w:val="decimal"/>
      <w:lvlText w:val=""/>
      <w:lvlJc w:val="left"/>
    </w:lvl>
    <w:lvl w:ilvl="8" w:tplc="088E7720">
      <w:numFmt w:val="decimal"/>
      <w:lvlText w:val=""/>
      <w:lvlJc w:val="left"/>
    </w:lvl>
  </w:abstractNum>
  <w:abstractNum w:abstractNumId="1" w15:restartNumberingAfterBreak="0">
    <w:nsid w:val="56A42755"/>
    <w:multiLevelType w:val="hybridMultilevel"/>
    <w:tmpl w:val="AF2C9F44"/>
    <w:lvl w:ilvl="0" w:tplc="898A13AE">
      <w:start w:val="1"/>
      <w:numFmt w:val="bullet"/>
      <w:lvlText w:val="●"/>
      <w:lvlJc w:val="left"/>
      <w:pPr>
        <w:ind w:left="720" w:hanging="360"/>
      </w:pPr>
    </w:lvl>
    <w:lvl w:ilvl="1" w:tplc="39A6F8CA">
      <w:start w:val="1"/>
      <w:numFmt w:val="bullet"/>
      <w:lvlText w:val="○"/>
      <w:lvlJc w:val="left"/>
      <w:pPr>
        <w:ind w:left="1440" w:hanging="360"/>
      </w:pPr>
    </w:lvl>
    <w:lvl w:ilvl="2" w:tplc="E24E5944">
      <w:start w:val="1"/>
      <w:numFmt w:val="bullet"/>
      <w:lvlText w:val="■"/>
      <w:lvlJc w:val="left"/>
      <w:pPr>
        <w:ind w:left="2160" w:hanging="360"/>
      </w:pPr>
    </w:lvl>
    <w:lvl w:ilvl="3" w:tplc="F9062484">
      <w:start w:val="1"/>
      <w:numFmt w:val="bullet"/>
      <w:lvlText w:val="●"/>
      <w:lvlJc w:val="left"/>
      <w:pPr>
        <w:ind w:left="2880" w:hanging="360"/>
      </w:pPr>
    </w:lvl>
    <w:lvl w:ilvl="4" w:tplc="1DACB50C">
      <w:start w:val="1"/>
      <w:numFmt w:val="bullet"/>
      <w:lvlText w:val="○"/>
      <w:lvlJc w:val="left"/>
      <w:pPr>
        <w:ind w:left="3600" w:hanging="360"/>
      </w:pPr>
    </w:lvl>
    <w:lvl w:ilvl="5" w:tplc="35C65C2A">
      <w:start w:val="1"/>
      <w:numFmt w:val="bullet"/>
      <w:lvlText w:val="■"/>
      <w:lvlJc w:val="left"/>
      <w:pPr>
        <w:ind w:left="4320" w:hanging="360"/>
      </w:pPr>
    </w:lvl>
    <w:lvl w:ilvl="6" w:tplc="2BD0441C">
      <w:start w:val="1"/>
      <w:numFmt w:val="bullet"/>
      <w:lvlText w:val="●"/>
      <w:lvlJc w:val="left"/>
      <w:pPr>
        <w:ind w:left="5040" w:hanging="360"/>
      </w:pPr>
    </w:lvl>
    <w:lvl w:ilvl="7" w:tplc="41CA5BB6">
      <w:start w:val="1"/>
      <w:numFmt w:val="bullet"/>
      <w:lvlText w:val="●"/>
      <w:lvlJc w:val="left"/>
      <w:pPr>
        <w:ind w:left="5760" w:hanging="360"/>
      </w:pPr>
    </w:lvl>
    <w:lvl w:ilvl="8" w:tplc="BADAF7BE">
      <w:start w:val="1"/>
      <w:numFmt w:val="bullet"/>
      <w:lvlText w:val="●"/>
      <w:lvlJc w:val="left"/>
      <w:pPr>
        <w:ind w:left="6480" w:hanging="360"/>
      </w:pPr>
    </w:lvl>
  </w:abstractNum>
  <w:num w:numId="1" w16cid:durableId="851067889">
    <w:abstractNumId w:val="1"/>
    <w:lvlOverride w:ilvl="0">
      <w:startOverride w:val="1"/>
    </w:lvlOverride>
  </w:num>
  <w:num w:numId="2" w16cid:durableId="1684093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3A0"/>
    <w:rsid w:val="00195E00"/>
    <w:rsid w:val="00640EA0"/>
    <w:rsid w:val="007703A0"/>
    <w:rsid w:val="00CF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7193C"/>
  <w15:docId w15:val="{2010BAF8-0A7B-406C-85DE-30BB75D6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1065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Manoelito Holanda Castelo Matos</cp:lastModifiedBy>
  <cp:revision>2</cp:revision>
  <dcterms:created xsi:type="dcterms:W3CDTF">2026-05-31T20:31:00Z</dcterms:created>
  <dcterms:modified xsi:type="dcterms:W3CDTF">2026-06-02T01:37:00Z</dcterms:modified>
</cp:coreProperties>
</file>