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B1016" w14:textId="77777777" w:rsidR="000B0027" w:rsidRPr="00794B44" w:rsidRDefault="00000000">
      <w:pPr>
        <w:spacing w:after="20"/>
        <w:jc w:val="center"/>
        <w:rPr>
          <w:color w:val="000000" w:themeColor="text1"/>
        </w:rPr>
      </w:pPr>
      <w:r w:rsidRPr="00794B44">
        <w:rPr>
          <w:b/>
          <w:bCs/>
          <w:color w:val="000000" w:themeColor="text1"/>
          <w:sz w:val="40"/>
          <w:szCs w:val="40"/>
        </w:rPr>
        <w:t>MANOHAR GOURAI</w:t>
      </w:r>
    </w:p>
    <w:p w14:paraId="6DD51AB2" w14:textId="18CF0F16" w:rsidR="000B0027" w:rsidRPr="00794B44" w:rsidRDefault="00000000">
      <w:pPr>
        <w:spacing w:after="40"/>
        <w:jc w:val="center"/>
        <w:rPr>
          <w:color w:val="000000" w:themeColor="text1"/>
        </w:rPr>
      </w:pPr>
      <w:r w:rsidRPr="00794B44">
        <w:rPr>
          <w:color w:val="000000" w:themeColor="text1"/>
          <w:sz w:val="16"/>
          <w:szCs w:val="16"/>
        </w:rPr>
        <w:t xml:space="preserve">Denver, CO  |  +1-720-666-3310  |  </w:t>
      </w:r>
      <w:hyperlink r:id="rId5" w:history="1">
        <w:r w:rsidRPr="00794B44">
          <w:rPr>
            <w:color w:val="000000" w:themeColor="text1"/>
            <w:sz w:val="16"/>
            <w:szCs w:val="16"/>
          </w:rPr>
          <w:t>manohar.gourai@gmail.com</w:t>
        </w:r>
      </w:hyperlink>
      <w:r w:rsidRPr="00794B44">
        <w:rPr>
          <w:color w:val="000000" w:themeColor="text1"/>
          <w:sz w:val="16"/>
          <w:szCs w:val="16"/>
        </w:rPr>
        <w:t xml:space="preserve">  |  </w:t>
      </w:r>
      <w:hyperlink r:id="rId6" w:history="1">
        <w:r w:rsidRPr="00794B44">
          <w:rPr>
            <w:rStyle w:val="Hyperlink"/>
            <w:color w:val="000000" w:themeColor="text1"/>
            <w:sz w:val="16"/>
            <w:szCs w:val="16"/>
          </w:rPr>
          <w:t>LinkedIn</w:t>
        </w:r>
      </w:hyperlink>
    </w:p>
    <w:p w14:paraId="236DFE80" w14:textId="77777777" w:rsidR="000B0027" w:rsidRPr="00794B44" w:rsidRDefault="00000000">
      <w:pPr>
        <w:pBdr>
          <w:bottom w:val="single" w:sz="8" w:space="1" w:color="000000"/>
        </w:pBdr>
        <w:spacing w:before="44" w:after="22"/>
        <w:rPr>
          <w:color w:val="000000" w:themeColor="text1"/>
        </w:rPr>
      </w:pPr>
      <w:r w:rsidRPr="00794B44">
        <w:rPr>
          <w:b/>
          <w:bCs/>
          <w:color w:val="000000" w:themeColor="text1"/>
          <w:sz w:val="21"/>
          <w:szCs w:val="21"/>
        </w:rPr>
        <w:t>PROFESSIONAL SUMMARY</w:t>
      </w:r>
    </w:p>
    <w:p w14:paraId="4DC93443" w14:textId="79CF1B60" w:rsidR="000B0027" w:rsidRPr="00794B44" w:rsidRDefault="00000000">
      <w:pPr>
        <w:spacing w:after="40" w:line="216" w:lineRule="auto"/>
        <w:jc w:val="both"/>
        <w:rPr>
          <w:color w:val="000000" w:themeColor="text1"/>
        </w:rPr>
      </w:pPr>
      <w:r w:rsidRPr="00794B44">
        <w:rPr>
          <w:color w:val="000000" w:themeColor="text1"/>
          <w:sz w:val="16"/>
          <w:szCs w:val="16"/>
        </w:rPr>
        <w:t xml:space="preserve">Client Processing and Loan Operations professional with more than four years of progressive experience at The Bank of New York Mellon (BNY), one of the world’s largest asset-servicing and custodian banks. I provide quality client service and support to internal and external clients </w:t>
      </w:r>
      <w:r w:rsidR="00F45129" w:rsidRPr="00794B44">
        <w:rPr>
          <w:color w:val="000000" w:themeColor="text1"/>
          <w:sz w:val="16"/>
          <w:szCs w:val="16"/>
        </w:rPr>
        <w:t>daily</w:t>
      </w:r>
      <w:r w:rsidRPr="00794B44">
        <w:rPr>
          <w:color w:val="000000" w:themeColor="text1"/>
          <w:sz w:val="16"/>
          <w:szCs w:val="16"/>
        </w:rPr>
        <w:t xml:space="preserve">, including problem resolution, transaction processing (both straight-through and manual), reconciliations, and timely updates to client accounts. My core strength is reconciliation: I am responsible for reconciling cash breaks and position differences, gathering and compiling data, and conducting independent analysis and policy interpretation across structured-product and CLO portfolios for institutional clients such as Bain Capital, ARES, and TCW. I serve as a primary point of contact for clients, work closely with technology and systems teams to keep processing efficient and incorporate risk mitigations, and review and check the work of other team members while helping resolve escalated issues. I am currently completing a </w:t>
      </w:r>
      <w:r w:rsidR="00F45129" w:rsidRPr="00794B44">
        <w:rPr>
          <w:color w:val="000000" w:themeColor="text1"/>
          <w:sz w:val="16"/>
          <w:szCs w:val="16"/>
        </w:rPr>
        <w:t>master’s degree in business</w:t>
      </w:r>
      <w:r w:rsidRPr="00794B44">
        <w:rPr>
          <w:color w:val="000000" w:themeColor="text1"/>
          <w:sz w:val="16"/>
          <w:szCs w:val="16"/>
        </w:rPr>
        <w:t xml:space="preserve"> Analytics to strengthen my reporting, automation, and data skills.</w:t>
      </w:r>
    </w:p>
    <w:p w14:paraId="3AE6DE49" w14:textId="77777777" w:rsidR="000B0027" w:rsidRPr="00794B44" w:rsidRDefault="00000000">
      <w:pPr>
        <w:spacing w:after="20"/>
        <w:rPr>
          <w:color w:val="000000" w:themeColor="text1"/>
        </w:rPr>
      </w:pPr>
      <w:r w:rsidRPr="00794B44">
        <w:rPr>
          <w:b/>
          <w:bCs/>
          <w:color w:val="000000" w:themeColor="text1"/>
          <w:sz w:val="16"/>
          <w:szCs w:val="16"/>
        </w:rPr>
        <w:t xml:space="preserve">Portfolios supported: </w:t>
      </w:r>
      <w:r w:rsidRPr="00794B44">
        <w:rPr>
          <w:color w:val="000000" w:themeColor="text1"/>
          <w:sz w:val="16"/>
          <w:szCs w:val="16"/>
        </w:rPr>
        <w:t>Bain Capital, ARES Capital, TCW, VOYA, Guggenheim, CIFC, Centerbridge, CVC, Allstate, and Golub.</w:t>
      </w:r>
    </w:p>
    <w:p w14:paraId="45EA583B" w14:textId="77777777" w:rsidR="000B0027" w:rsidRPr="00794B44" w:rsidRDefault="00000000">
      <w:pPr>
        <w:pBdr>
          <w:bottom w:val="single" w:sz="8" w:space="1" w:color="000000"/>
        </w:pBdr>
        <w:spacing w:before="44" w:after="22"/>
        <w:rPr>
          <w:color w:val="000000" w:themeColor="text1"/>
        </w:rPr>
      </w:pPr>
      <w:r w:rsidRPr="00794B44">
        <w:rPr>
          <w:b/>
          <w:bCs/>
          <w:color w:val="000000" w:themeColor="text1"/>
          <w:sz w:val="21"/>
          <w:szCs w:val="21"/>
        </w:rPr>
        <w:t>CORE COMPETENCIES</w:t>
      </w:r>
    </w:p>
    <w:p w14:paraId="4A47B4BD" w14:textId="77777777" w:rsidR="000B0027" w:rsidRPr="00794B44" w:rsidRDefault="00000000">
      <w:pPr>
        <w:spacing w:after="20" w:line="222" w:lineRule="auto"/>
        <w:jc w:val="both"/>
        <w:rPr>
          <w:color w:val="000000" w:themeColor="text1"/>
        </w:rPr>
      </w:pPr>
      <w:r w:rsidRPr="00794B44">
        <w:rPr>
          <w:b/>
          <w:bCs/>
          <w:color w:val="000000" w:themeColor="text1"/>
          <w:sz w:val="16"/>
          <w:szCs w:val="16"/>
        </w:rPr>
        <w:t xml:space="preserve">Reconciliation and Analysis: </w:t>
      </w:r>
      <w:r w:rsidRPr="00794B44">
        <w:rPr>
          <w:color w:val="000000" w:themeColor="text1"/>
          <w:sz w:val="16"/>
          <w:szCs w:val="16"/>
        </w:rPr>
        <w:t>Reconciling Cash Breaks and Position Differences, Gathering and Compiling Data, Aged Break Resolution and Escalation, Independent Analysis, and Policy Interpretation.</w:t>
      </w:r>
    </w:p>
    <w:p w14:paraId="3BED8051" w14:textId="77777777" w:rsidR="000B0027" w:rsidRPr="00794B44" w:rsidRDefault="00000000">
      <w:pPr>
        <w:spacing w:after="20" w:line="222" w:lineRule="auto"/>
        <w:jc w:val="both"/>
        <w:rPr>
          <w:color w:val="000000" w:themeColor="text1"/>
        </w:rPr>
      </w:pPr>
      <w:r w:rsidRPr="00794B44">
        <w:rPr>
          <w:b/>
          <w:bCs/>
          <w:color w:val="000000" w:themeColor="text1"/>
          <w:sz w:val="16"/>
          <w:szCs w:val="16"/>
        </w:rPr>
        <w:t xml:space="preserve">Transaction Processing: </w:t>
      </w:r>
      <w:r w:rsidRPr="00794B44">
        <w:rPr>
          <w:color w:val="000000" w:themeColor="text1"/>
          <w:sz w:val="16"/>
          <w:szCs w:val="16"/>
        </w:rPr>
        <w:t>Straight-Through and Manual Processing, Trade Entry and Settlement, Asset Setup and Maintenance, Loan Settlements, Reinvestments, Coverage Test Monitoring, and Processing Agent Notices.</w:t>
      </w:r>
    </w:p>
    <w:p w14:paraId="21606C1C" w14:textId="77777777" w:rsidR="000B0027" w:rsidRPr="00794B44" w:rsidRDefault="00000000">
      <w:pPr>
        <w:spacing w:after="20" w:line="222" w:lineRule="auto"/>
        <w:jc w:val="both"/>
        <w:rPr>
          <w:color w:val="000000" w:themeColor="text1"/>
        </w:rPr>
      </w:pPr>
      <w:r w:rsidRPr="00794B44">
        <w:rPr>
          <w:b/>
          <w:bCs/>
          <w:color w:val="000000" w:themeColor="text1"/>
          <w:sz w:val="16"/>
          <w:szCs w:val="16"/>
        </w:rPr>
        <w:t xml:space="preserve">Client Service and Reporting: </w:t>
      </w:r>
      <w:r w:rsidRPr="00794B44">
        <w:rPr>
          <w:color w:val="000000" w:themeColor="text1"/>
          <w:sz w:val="16"/>
          <w:szCs w:val="16"/>
        </w:rPr>
        <w:t>Primary Point of Contact for Clients, Liaising with Brokers, Custodians, and Agents, Investor and Internal Reporting within Deadlines, Fund Distribution Oversight, and Client Meetings.</w:t>
      </w:r>
    </w:p>
    <w:p w14:paraId="0B2028FE" w14:textId="77777777" w:rsidR="000B0027" w:rsidRPr="00794B44" w:rsidRDefault="00000000">
      <w:pPr>
        <w:spacing w:after="20" w:line="222" w:lineRule="auto"/>
        <w:jc w:val="both"/>
        <w:rPr>
          <w:color w:val="000000" w:themeColor="text1"/>
        </w:rPr>
      </w:pPr>
      <w:r w:rsidRPr="00794B44">
        <w:rPr>
          <w:b/>
          <w:bCs/>
          <w:color w:val="000000" w:themeColor="text1"/>
          <w:sz w:val="16"/>
          <w:szCs w:val="16"/>
        </w:rPr>
        <w:t xml:space="preserve">CLO and Structured Finance: </w:t>
      </w:r>
      <w:r w:rsidRPr="00794B44">
        <w:rPr>
          <w:color w:val="000000" w:themeColor="text1"/>
          <w:sz w:val="16"/>
          <w:szCs w:val="16"/>
        </w:rPr>
        <w:t>Trustee Reconciliation, Indenture Compliance Monitoring, Hypothetical Trade Analysis, Portfolio Governing Documents, and Lifecycle Servicing of Agented and Non-Agented Deals.</w:t>
      </w:r>
    </w:p>
    <w:p w14:paraId="6BD1624D" w14:textId="77777777" w:rsidR="000B0027" w:rsidRPr="00794B44" w:rsidRDefault="00000000">
      <w:pPr>
        <w:spacing w:after="20" w:line="222" w:lineRule="auto"/>
        <w:jc w:val="both"/>
        <w:rPr>
          <w:color w:val="000000" w:themeColor="text1"/>
        </w:rPr>
      </w:pPr>
      <w:r w:rsidRPr="00794B44">
        <w:rPr>
          <w:b/>
          <w:bCs/>
          <w:color w:val="000000" w:themeColor="text1"/>
          <w:sz w:val="16"/>
          <w:szCs w:val="16"/>
        </w:rPr>
        <w:t xml:space="preserve">Controls and Risk: </w:t>
      </w:r>
      <w:r w:rsidRPr="00794B44">
        <w:rPr>
          <w:color w:val="000000" w:themeColor="text1"/>
          <w:sz w:val="16"/>
          <w:szCs w:val="16"/>
        </w:rPr>
        <w:t>Daily Operational Controls (Start-of-Day and End-of-Day), Regulatory Compliance, Audit-Ready Record Keeping, Exception Monitoring, and Risk Mitigation with Technology Teams.</w:t>
      </w:r>
    </w:p>
    <w:p w14:paraId="5AB50F7E" w14:textId="77777777" w:rsidR="000B0027" w:rsidRPr="00794B44" w:rsidRDefault="00000000">
      <w:pPr>
        <w:spacing w:after="20" w:line="222" w:lineRule="auto"/>
        <w:jc w:val="both"/>
        <w:rPr>
          <w:color w:val="000000" w:themeColor="text1"/>
        </w:rPr>
      </w:pPr>
      <w:r w:rsidRPr="00794B44">
        <w:rPr>
          <w:b/>
          <w:bCs/>
          <w:color w:val="000000" w:themeColor="text1"/>
          <w:sz w:val="16"/>
          <w:szCs w:val="16"/>
        </w:rPr>
        <w:t xml:space="preserve">Leadership: </w:t>
      </w:r>
      <w:r w:rsidRPr="00794B44">
        <w:rPr>
          <w:color w:val="000000" w:themeColor="text1"/>
          <w:sz w:val="16"/>
          <w:szCs w:val="16"/>
        </w:rPr>
        <w:t>Reviewing and Checking Team Members’ Work, Resolving Escalated Issues, Training New Joiners, Work Delegation Support, and Development Planning for Direct Reports.</w:t>
      </w:r>
    </w:p>
    <w:p w14:paraId="6F2047C9" w14:textId="77777777" w:rsidR="000B0027" w:rsidRPr="00794B44" w:rsidRDefault="00000000">
      <w:pPr>
        <w:spacing w:after="20" w:line="222" w:lineRule="auto"/>
        <w:jc w:val="both"/>
        <w:rPr>
          <w:color w:val="000000" w:themeColor="text1"/>
        </w:rPr>
      </w:pPr>
      <w:r w:rsidRPr="00794B44">
        <w:rPr>
          <w:b/>
          <w:bCs/>
          <w:color w:val="000000" w:themeColor="text1"/>
          <w:sz w:val="16"/>
          <w:szCs w:val="16"/>
        </w:rPr>
        <w:t xml:space="preserve">Systems and Platforms: </w:t>
      </w:r>
      <w:r w:rsidRPr="00794B44">
        <w:rPr>
          <w:color w:val="000000" w:themeColor="text1"/>
          <w:sz w:val="16"/>
          <w:szCs w:val="16"/>
        </w:rPr>
        <w:t>Wall Street Office (WSO), SOLVAS, Solvas Digitize, GCM, IMMS, WRT, ATE, Nexen, Deal Manager, PT Trade, PT Research, Fax Server, and Bloomberg.</w:t>
      </w:r>
    </w:p>
    <w:p w14:paraId="446EE341" w14:textId="77777777" w:rsidR="000B0027" w:rsidRPr="00794B44" w:rsidRDefault="00000000">
      <w:pPr>
        <w:spacing w:after="20" w:line="222" w:lineRule="auto"/>
        <w:jc w:val="both"/>
        <w:rPr>
          <w:color w:val="000000" w:themeColor="text1"/>
        </w:rPr>
      </w:pPr>
      <w:r w:rsidRPr="00794B44">
        <w:rPr>
          <w:b/>
          <w:bCs/>
          <w:color w:val="000000" w:themeColor="text1"/>
          <w:sz w:val="16"/>
          <w:szCs w:val="16"/>
        </w:rPr>
        <w:t xml:space="preserve">Analytics and Tools: </w:t>
      </w:r>
      <w:r w:rsidRPr="00794B44">
        <w:rPr>
          <w:color w:val="000000" w:themeColor="text1"/>
          <w:sz w:val="16"/>
          <w:szCs w:val="16"/>
        </w:rPr>
        <w:t>Microsoft Excel (advanced), Power BI, Python, JMP, Dashboard Design, Microsoft Word, and Microsoft PowerPoint.</w:t>
      </w:r>
    </w:p>
    <w:p w14:paraId="6D110A67" w14:textId="77777777" w:rsidR="000B0027" w:rsidRPr="00794B44" w:rsidRDefault="00000000">
      <w:pPr>
        <w:pBdr>
          <w:bottom w:val="single" w:sz="8" w:space="1" w:color="000000"/>
        </w:pBdr>
        <w:spacing w:before="44" w:after="22"/>
        <w:rPr>
          <w:color w:val="000000" w:themeColor="text1"/>
        </w:rPr>
      </w:pPr>
      <w:r w:rsidRPr="00794B44">
        <w:rPr>
          <w:b/>
          <w:bCs/>
          <w:color w:val="000000" w:themeColor="text1"/>
          <w:sz w:val="21"/>
          <w:szCs w:val="21"/>
        </w:rPr>
        <w:t>PROFESSIONAL EXPERIENCE</w:t>
      </w:r>
    </w:p>
    <w:p w14:paraId="41C910CC" w14:textId="77777777" w:rsidR="000B0027" w:rsidRPr="00794B44" w:rsidRDefault="00000000">
      <w:pPr>
        <w:spacing w:after="20"/>
        <w:rPr>
          <w:color w:val="000000" w:themeColor="text1"/>
        </w:rPr>
      </w:pPr>
      <w:r w:rsidRPr="00794B44">
        <w:rPr>
          <w:b/>
          <w:bCs/>
          <w:color w:val="000000" w:themeColor="text1"/>
          <w:sz w:val="16"/>
          <w:szCs w:val="16"/>
        </w:rPr>
        <w:t>The Bank of New York Mellon (BNY)</w:t>
      </w:r>
      <w:r w:rsidRPr="00794B44">
        <w:rPr>
          <w:color w:val="000000" w:themeColor="text1"/>
          <w:sz w:val="16"/>
          <w:szCs w:val="16"/>
        </w:rPr>
        <w:t xml:space="preserve">  —  Asset Servicing / Loan Administration  ·  Client Service Delivery</w:t>
      </w:r>
    </w:p>
    <w:p w14:paraId="599633DB" w14:textId="77777777" w:rsidR="000B0027" w:rsidRPr="00794B44" w:rsidRDefault="00000000">
      <w:pPr>
        <w:tabs>
          <w:tab w:val="right" w:pos="10720"/>
        </w:tabs>
        <w:spacing w:before="50" w:after="14"/>
        <w:rPr>
          <w:color w:val="000000" w:themeColor="text1"/>
        </w:rPr>
      </w:pPr>
      <w:r w:rsidRPr="00794B44">
        <w:rPr>
          <w:b/>
          <w:bCs/>
          <w:color w:val="000000" w:themeColor="text1"/>
          <w:sz w:val="21"/>
          <w:szCs w:val="21"/>
        </w:rPr>
        <w:t>Associate – Client Processing</w:t>
      </w:r>
      <w:r w:rsidRPr="00794B44">
        <w:rPr>
          <w:b/>
          <w:bCs/>
          <w:color w:val="000000" w:themeColor="text1"/>
          <w:sz w:val="16"/>
          <w:szCs w:val="16"/>
        </w:rPr>
        <w:tab/>
        <w:t>Mar 2024 – Aug 2025</w:t>
      </w:r>
    </w:p>
    <w:p w14:paraId="725038EA" w14:textId="1BBFC596"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 xml:space="preserve">Applied expertise and judgement to provide quality and complex client service and support to internal and external clients </w:t>
      </w:r>
      <w:r w:rsidR="00CB37D5" w:rsidRPr="00794B44">
        <w:rPr>
          <w:color w:val="000000" w:themeColor="text1"/>
          <w:sz w:val="16"/>
          <w:szCs w:val="16"/>
        </w:rPr>
        <w:t>daily</w:t>
      </w:r>
      <w:r w:rsidRPr="00794B44">
        <w:rPr>
          <w:color w:val="000000" w:themeColor="text1"/>
          <w:sz w:val="16"/>
          <w:szCs w:val="16"/>
        </w:rPr>
        <w:t>, including problem resolution, transaction processing, reconciliations, and timely updates to client accounts.</w:t>
      </w:r>
    </w:p>
    <w:p w14:paraId="0AA4597B"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Served as a primary point of contact for a set of clients, took ownership of their needs, represented the team in client meetings, and liaised with all relevant internal teams so that service targets were met and clients received a high level of service.</w:t>
      </w:r>
    </w:p>
    <w:p w14:paraId="5E096985"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Owned the daily cash and position reconciliation and the start-of-day and end-of-day operational controls, monitoring unidentified and overdue items and making sure every aged break was researched, addressed, and escalated quickly so nothing was left outstanding.</w:t>
      </w:r>
    </w:p>
    <w:p w14:paraId="2A22091B"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Reviewed and checked the work of other Client Processing team members, helped resolve escalated issues, and supported the manager with allocating and delegating work and rolling out development plans for new joiners and direct reports.</w:t>
      </w:r>
    </w:p>
    <w:p w14:paraId="76C418F6"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Prepared and issued the daily and monthly reports required by internal teams and clients (investor, cut-date, trade, exception, and research) and supported quarterly fund distribution reviews, ensuring every report went out within the required timeframe.</w:t>
      </w:r>
    </w:p>
    <w:p w14:paraId="5BFE927F"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Carried out monthly trustee reconciliation and indenture compliance monitoring, making sure all portfolio activity aligned with the fund governing documents and met regulatory requirements.</w:t>
      </w:r>
    </w:p>
    <w:p w14:paraId="5046F903"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Worked closely with technology and systems teams to automate cash-flow and fax processing and to build daily and monthly dashboards in Excel and Power BI, improving efficiency, turnaround time, and proactive portfolio oversight.</w:t>
      </w:r>
    </w:p>
    <w:p w14:paraId="4DCBD0FD" w14:textId="77777777" w:rsidR="000B0027" w:rsidRPr="00794B44" w:rsidRDefault="00000000">
      <w:pPr>
        <w:tabs>
          <w:tab w:val="right" w:pos="10720"/>
        </w:tabs>
        <w:spacing w:before="50" w:after="14"/>
        <w:rPr>
          <w:color w:val="000000" w:themeColor="text1"/>
        </w:rPr>
      </w:pPr>
      <w:r w:rsidRPr="00794B44">
        <w:rPr>
          <w:b/>
          <w:bCs/>
          <w:color w:val="000000" w:themeColor="text1"/>
          <w:sz w:val="21"/>
          <w:szCs w:val="21"/>
        </w:rPr>
        <w:t>Intermediate Representative – Client Processing</w:t>
      </w:r>
      <w:r w:rsidRPr="00794B44">
        <w:rPr>
          <w:b/>
          <w:bCs/>
          <w:color w:val="000000" w:themeColor="text1"/>
          <w:sz w:val="16"/>
          <w:szCs w:val="16"/>
        </w:rPr>
        <w:tab/>
        <w:t>Jul 2022 – Mar 2024</w:t>
      </w:r>
    </w:p>
    <w:p w14:paraId="1F1D5F24"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Performed complex operational tasks within the System Processing team, handling end-to-end processing of CLO portfolio transactions including loan settlements, reinvestments, and coverage test monitoring.</w:t>
      </w:r>
    </w:p>
    <w:p w14:paraId="44D7AAC4"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Completed full trade settlement processing, including asset setup and maintenance, and confirmed that each transaction was entered and settled correctly in the core systems.</w:t>
      </w:r>
    </w:p>
    <w:p w14:paraId="20BEEE02"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Identified, investigated, and resolved complex cash breaks and position differences by reconciling system data and conducting independent analysis of each transaction with the relevant agents and internal teams.</w:t>
      </w:r>
    </w:p>
    <w:p w14:paraId="57BD7D2B"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Partnered with the Asset Administration, Operations, and Portfolio Management teams to resolve high-impact exceptions and address compliance-related queries.</w:t>
      </w:r>
    </w:p>
    <w:p w14:paraId="1B77CE8A"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Identified recurring processing issues and supported process fixes that reduced repeat breaks and strengthened reconciliation controls, building deep expertise in transaction systems and portfolio workflows.</w:t>
      </w:r>
    </w:p>
    <w:p w14:paraId="5E3B3788" w14:textId="77777777" w:rsidR="000B0027" w:rsidRPr="00794B44" w:rsidRDefault="00000000">
      <w:pPr>
        <w:tabs>
          <w:tab w:val="right" w:pos="10720"/>
        </w:tabs>
        <w:spacing w:before="50" w:after="14"/>
        <w:rPr>
          <w:color w:val="000000" w:themeColor="text1"/>
        </w:rPr>
      </w:pPr>
      <w:r w:rsidRPr="00794B44">
        <w:rPr>
          <w:b/>
          <w:bCs/>
          <w:color w:val="000000" w:themeColor="text1"/>
          <w:sz w:val="21"/>
          <w:szCs w:val="21"/>
        </w:rPr>
        <w:t>Representative – Client Processing</w:t>
      </w:r>
      <w:r w:rsidRPr="00794B44">
        <w:rPr>
          <w:b/>
          <w:bCs/>
          <w:color w:val="000000" w:themeColor="text1"/>
          <w:sz w:val="16"/>
          <w:szCs w:val="16"/>
        </w:rPr>
        <w:tab/>
        <w:t>Jun 2021 – Jul 2022</w:t>
      </w:r>
    </w:p>
    <w:p w14:paraId="20CE4D7A"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Provided quality client service and support and performed routine operational tasks under supervision, processing updates to client accounts and ensuring data fed correctly into the right systems.</w:t>
      </w:r>
    </w:p>
    <w:p w14:paraId="257EF878"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Prepared daily cash reconciliations and cash-flow statements for CLO and structured-product portfolios and delivered them to institutional clients on time under strict service-level agreements.</w:t>
      </w:r>
    </w:p>
    <w:p w14:paraId="130EE173"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Monitored and corrected exceptions by reconciling cash pending breaks, reviewing transactions, and keeping clean, audit-ready records, meeting every delivery deadline without a single miss.</w:t>
      </w:r>
    </w:p>
    <w:p w14:paraId="3CEBA1B0"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Coordinated with agent banks and third-party administrators to gather cash-movement details, corrected missing or incorrect entries, and escalated service issues through to resolution.</w:t>
      </w:r>
    </w:p>
    <w:p w14:paraId="36A6BD85" w14:textId="77777777" w:rsidR="000B0027" w:rsidRPr="00794B44" w:rsidRDefault="00000000">
      <w:pPr>
        <w:pBdr>
          <w:bottom w:val="single" w:sz="8" w:space="1" w:color="000000"/>
        </w:pBdr>
        <w:spacing w:before="44" w:after="22"/>
        <w:rPr>
          <w:color w:val="000000" w:themeColor="text1"/>
        </w:rPr>
      </w:pPr>
      <w:r w:rsidRPr="00794B44">
        <w:rPr>
          <w:b/>
          <w:bCs/>
          <w:color w:val="000000" w:themeColor="text1"/>
          <w:sz w:val="21"/>
          <w:szCs w:val="21"/>
        </w:rPr>
        <w:t>ACHIEVEMENTS</w:t>
      </w:r>
    </w:p>
    <w:p w14:paraId="35C17654" w14:textId="303FE141" w:rsidR="000B0027" w:rsidRPr="00794B44" w:rsidRDefault="00ED0EFA">
      <w:pPr>
        <w:pStyle w:val="ListParagraph"/>
        <w:numPr>
          <w:ilvl w:val="0"/>
          <w:numId w:val="2"/>
        </w:numPr>
        <w:spacing w:after="14" w:line="210" w:lineRule="auto"/>
        <w:jc w:val="both"/>
        <w:rPr>
          <w:color w:val="000000" w:themeColor="text1"/>
        </w:rPr>
      </w:pPr>
      <w:r w:rsidRPr="00794B44">
        <w:rPr>
          <w:color w:val="000000" w:themeColor="text1"/>
          <w:sz w:val="16"/>
          <w:szCs w:val="16"/>
        </w:rPr>
        <w:t>Recognized</w:t>
      </w:r>
      <w:r w:rsidR="00000000" w:rsidRPr="00794B44">
        <w:rPr>
          <w:color w:val="000000" w:themeColor="text1"/>
          <w:sz w:val="16"/>
          <w:szCs w:val="16"/>
        </w:rPr>
        <w:t xml:space="preserve"> twice by the Global Head of Loan Administration Services for excellent work.</w:t>
      </w:r>
    </w:p>
    <w:p w14:paraId="59E53447" w14:textId="77777777" w:rsidR="000B0027" w:rsidRPr="00794B44" w:rsidRDefault="00000000">
      <w:pPr>
        <w:pStyle w:val="ListParagraph"/>
        <w:numPr>
          <w:ilvl w:val="0"/>
          <w:numId w:val="2"/>
        </w:numPr>
        <w:spacing w:after="14" w:line="210" w:lineRule="auto"/>
        <w:jc w:val="both"/>
        <w:rPr>
          <w:color w:val="000000" w:themeColor="text1"/>
        </w:rPr>
      </w:pPr>
      <w:r w:rsidRPr="00794B44">
        <w:rPr>
          <w:color w:val="000000" w:themeColor="text1"/>
          <w:sz w:val="16"/>
          <w:szCs w:val="16"/>
        </w:rPr>
        <w:t>Received the firm’s VIP Award in recognition of strong performance.</w:t>
      </w:r>
    </w:p>
    <w:p w14:paraId="491377BC" w14:textId="77777777" w:rsidR="000B0027" w:rsidRPr="00794B44" w:rsidRDefault="00000000">
      <w:pPr>
        <w:pBdr>
          <w:bottom w:val="single" w:sz="8" w:space="1" w:color="000000"/>
        </w:pBdr>
        <w:spacing w:before="44" w:after="22"/>
        <w:rPr>
          <w:color w:val="000000" w:themeColor="text1"/>
        </w:rPr>
      </w:pPr>
      <w:r w:rsidRPr="00794B44">
        <w:rPr>
          <w:b/>
          <w:bCs/>
          <w:color w:val="000000" w:themeColor="text1"/>
          <w:sz w:val="21"/>
          <w:szCs w:val="21"/>
        </w:rPr>
        <w:t>EDUCATION</w:t>
      </w:r>
    </w:p>
    <w:p w14:paraId="0AE54F60" w14:textId="77777777" w:rsidR="000B0027" w:rsidRPr="00794B44" w:rsidRDefault="00000000">
      <w:pPr>
        <w:tabs>
          <w:tab w:val="right" w:pos="10720"/>
        </w:tabs>
        <w:spacing w:before="60" w:after="20"/>
        <w:rPr>
          <w:color w:val="000000" w:themeColor="text1"/>
        </w:rPr>
      </w:pPr>
      <w:r w:rsidRPr="00794B44">
        <w:rPr>
          <w:b/>
          <w:bCs/>
          <w:color w:val="000000" w:themeColor="text1"/>
          <w:sz w:val="16"/>
          <w:szCs w:val="16"/>
        </w:rPr>
        <w:t>University of Colorado</w:t>
      </w:r>
      <w:r w:rsidRPr="00794B44">
        <w:rPr>
          <w:color w:val="000000" w:themeColor="text1"/>
          <w:sz w:val="16"/>
          <w:szCs w:val="16"/>
        </w:rPr>
        <w:t xml:space="preserve"> — MS, Business Analytics (GPA 3.85/4.0)</w:t>
      </w:r>
      <w:r w:rsidRPr="00794B44">
        <w:rPr>
          <w:color w:val="000000" w:themeColor="text1"/>
          <w:sz w:val="16"/>
          <w:szCs w:val="16"/>
        </w:rPr>
        <w:tab/>
        <w:t>Denver, CO  ·  Aug 2025 – May 2027</w:t>
      </w:r>
    </w:p>
    <w:p w14:paraId="1A22D4D1" w14:textId="77777777" w:rsidR="000B0027" w:rsidRPr="00794B44" w:rsidRDefault="00000000">
      <w:pPr>
        <w:tabs>
          <w:tab w:val="right" w:pos="10720"/>
        </w:tabs>
        <w:spacing w:before="60" w:after="20"/>
        <w:rPr>
          <w:color w:val="000000" w:themeColor="text1"/>
        </w:rPr>
      </w:pPr>
      <w:r w:rsidRPr="00794B44">
        <w:rPr>
          <w:b/>
          <w:bCs/>
          <w:color w:val="000000" w:themeColor="text1"/>
          <w:sz w:val="16"/>
          <w:szCs w:val="16"/>
        </w:rPr>
        <w:t>Acharya Bangalore Business School</w:t>
      </w:r>
      <w:r w:rsidRPr="00794B44">
        <w:rPr>
          <w:color w:val="000000" w:themeColor="text1"/>
          <w:sz w:val="16"/>
          <w:szCs w:val="16"/>
        </w:rPr>
        <w:t xml:space="preserve"> — MBA (GPA 6.67/10)</w:t>
      </w:r>
      <w:r w:rsidRPr="00794B44">
        <w:rPr>
          <w:color w:val="000000" w:themeColor="text1"/>
          <w:sz w:val="16"/>
          <w:szCs w:val="16"/>
        </w:rPr>
        <w:tab/>
        <w:t>Bangalore, India  ·  Sep 2018 – Nov 2020</w:t>
      </w:r>
    </w:p>
    <w:sectPr w:rsidR="000B0027" w:rsidRPr="00794B44">
      <w:pgSz w:w="12240" w:h="15840"/>
      <w:pgMar w:top="560" w:right="760" w:bottom="460" w:left="7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17AF4"/>
    <w:multiLevelType w:val="hybridMultilevel"/>
    <w:tmpl w:val="8C5AFF5A"/>
    <w:lvl w:ilvl="0" w:tplc="DCF891D0">
      <w:start w:val="1"/>
      <w:numFmt w:val="bullet"/>
      <w:lvlText w:val="•"/>
      <w:lvlJc w:val="left"/>
      <w:pPr>
        <w:ind w:left="274" w:hanging="200"/>
      </w:pPr>
      <w:rPr>
        <w:color w:val="000000"/>
      </w:rPr>
    </w:lvl>
    <w:lvl w:ilvl="1" w:tplc="6E9E0852">
      <w:numFmt w:val="decimal"/>
      <w:lvlText w:val=""/>
      <w:lvlJc w:val="left"/>
    </w:lvl>
    <w:lvl w:ilvl="2" w:tplc="ABCAD96C">
      <w:numFmt w:val="decimal"/>
      <w:lvlText w:val=""/>
      <w:lvlJc w:val="left"/>
    </w:lvl>
    <w:lvl w:ilvl="3" w:tplc="9FBA2C32">
      <w:numFmt w:val="decimal"/>
      <w:lvlText w:val=""/>
      <w:lvlJc w:val="left"/>
    </w:lvl>
    <w:lvl w:ilvl="4" w:tplc="C4BE58FA">
      <w:numFmt w:val="decimal"/>
      <w:lvlText w:val=""/>
      <w:lvlJc w:val="left"/>
    </w:lvl>
    <w:lvl w:ilvl="5" w:tplc="DEAE5C90">
      <w:numFmt w:val="decimal"/>
      <w:lvlText w:val=""/>
      <w:lvlJc w:val="left"/>
    </w:lvl>
    <w:lvl w:ilvl="6" w:tplc="96104B3C">
      <w:numFmt w:val="decimal"/>
      <w:lvlText w:val=""/>
      <w:lvlJc w:val="left"/>
    </w:lvl>
    <w:lvl w:ilvl="7" w:tplc="CA8E30D0">
      <w:numFmt w:val="decimal"/>
      <w:lvlText w:val=""/>
      <w:lvlJc w:val="left"/>
    </w:lvl>
    <w:lvl w:ilvl="8" w:tplc="14707C5A">
      <w:numFmt w:val="decimal"/>
      <w:lvlText w:val=""/>
      <w:lvlJc w:val="left"/>
    </w:lvl>
  </w:abstractNum>
  <w:abstractNum w:abstractNumId="1" w15:restartNumberingAfterBreak="0">
    <w:nsid w:val="6B8937D7"/>
    <w:multiLevelType w:val="hybridMultilevel"/>
    <w:tmpl w:val="BE680FCA"/>
    <w:lvl w:ilvl="0" w:tplc="FFDE823C">
      <w:start w:val="1"/>
      <w:numFmt w:val="bullet"/>
      <w:lvlText w:val="●"/>
      <w:lvlJc w:val="left"/>
      <w:pPr>
        <w:ind w:left="720" w:hanging="360"/>
      </w:pPr>
    </w:lvl>
    <w:lvl w:ilvl="1" w:tplc="BB9824F4">
      <w:start w:val="1"/>
      <w:numFmt w:val="bullet"/>
      <w:lvlText w:val="○"/>
      <w:lvlJc w:val="left"/>
      <w:pPr>
        <w:ind w:left="1440" w:hanging="360"/>
      </w:pPr>
    </w:lvl>
    <w:lvl w:ilvl="2" w:tplc="2C7A99CE">
      <w:start w:val="1"/>
      <w:numFmt w:val="bullet"/>
      <w:lvlText w:val="■"/>
      <w:lvlJc w:val="left"/>
      <w:pPr>
        <w:ind w:left="2160" w:hanging="360"/>
      </w:pPr>
    </w:lvl>
    <w:lvl w:ilvl="3" w:tplc="FA02D098">
      <w:start w:val="1"/>
      <w:numFmt w:val="bullet"/>
      <w:lvlText w:val="●"/>
      <w:lvlJc w:val="left"/>
      <w:pPr>
        <w:ind w:left="2880" w:hanging="360"/>
      </w:pPr>
    </w:lvl>
    <w:lvl w:ilvl="4" w:tplc="F514CAE0">
      <w:start w:val="1"/>
      <w:numFmt w:val="bullet"/>
      <w:lvlText w:val="○"/>
      <w:lvlJc w:val="left"/>
      <w:pPr>
        <w:ind w:left="3600" w:hanging="360"/>
      </w:pPr>
    </w:lvl>
    <w:lvl w:ilvl="5" w:tplc="8F5EB260">
      <w:start w:val="1"/>
      <w:numFmt w:val="bullet"/>
      <w:lvlText w:val="■"/>
      <w:lvlJc w:val="left"/>
      <w:pPr>
        <w:ind w:left="4320" w:hanging="360"/>
      </w:pPr>
    </w:lvl>
    <w:lvl w:ilvl="6" w:tplc="A9EEB154">
      <w:start w:val="1"/>
      <w:numFmt w:val="bullet"/>
      <w:lvlText w:val="●"/>
      <w:lvlJc w:val="left"/>
      <w:pPr>
        <w:ind w:left="5040" w:hanging="360"/>
      </w:pPr>
    </w:lvl>
    <w:lvl w:ilvl="7" w:tplc="8E664D44">
      <w:start w:val="1"/>
      <w:numFmt w:val="bullet"/>
      <w:lvlText w:val="●"/>
      <w:lvlJc w:val="left"/>
      <w:pPr>
        <w:ind w:left="5760" w:hanging="360"/>
      </w:pPr>
    </w:lvl>
    <w:lvl w:ilvl="8" w:tplc="803A99CE">
      <w:start w:val="1"/>
      <w:numFmt w:val="bullet"/>
      <w:lvlText w:val="●"/>
      <w:lvlJc w:val="left"/>
      <w:pPr>
        <w:ind w:left="6480" w:hanging="360"/>
      </w:pPr>
    </w:lvl>
  </w:abstractNum>
  <w:num w:numId="1" w16cid:durableId="861284084">
    <w:abstractNumId w:val="1"/>
    <w:lvlOverride w:ilvl="0">
      <w:startOverride w:val="1"/>
    </w:lvlOverride>
  </w:num>
  <w:num w:numId="2" w16cid:durableId="59792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027"/>
    <w:rsid w:val="000B0027"/>
    <w:rsid w:val="00794B44"/>
    <w:rsid w:val="008C7C13"/>
    <w:rsid w:val="00CB37D5"/>
    <w:rsid w:val="00ED0EFA"/>
    <w:rsid w:val="00F45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1E9EB5"/>
  <w15:docId w15:val="{1F355411-3976-4341-8AEA-37ADCFDAD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45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nohar-gourai-447658177/" TargetMode="External"/><Relationship Id="rId5" Type="http://schemas.openxmlformats.org/officeDocument/2006/relationships/hyperlink" Target="mailto:manohar.goura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1050</Words>
  <Characters>5985</Characters>
  <Application>Microsoft Office Word</Application>
  <DocSecurity>0</DocSecurity>
  <Lines>49</Lines>
  <Paragraphs>14</Paragraphs>
  <ScaleCrop>false</ScaleCrop>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Gourai, Manohar Mahavir</cp:lastModifiedBy>
  <cp:revision>3</cp:revision>
  <cp:lastPrinted>2026-05-24T22:27:00Z</cp:lastPrinted>
  <dcterms:created xsi:type="dcterms:W3CDTF">2026-05-24T22:27:00Z</dcterms:created>
  <dcterms:modified xsi:type="dcterms:W3CDTF">2026-05-24T22:27:00Z</dcterms:modified>
</cp:coreProperties>
</file>