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/>
          <w:sz w:val="26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/>
          <w:sz w:val="30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Grid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  <w:tcW w:type="dxa" w:w="2448"/>
            <w:shd w:fill="D9EAF7"/>
          </w:tcPr>
          <w:p w:rsidR="00000000" w:rsidDel="00000000" w:rsidP="00000000" w:rsidRDefault="00000000" w:rsidRPr="00000000" w14:paraId="00000004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b/>
                <w:sz w:val="17"/>
                <w:rtl w:val="0"/>
              </w:rPr>
              <w:t xml:space="preserve">Date</w:t>
            </w:r>
          </w:p>
        </w:tc>
        <w:tc>
          <w:tcPr>
            <w:vAlign w:val="center"/>
            <w:tcW w:type="dxa" w:w="8064"/>
            <w:shd w:fill="D9EAF7"/>
          </w:tcPr>
          <w:p w:rsidR="00000000" w:rsidDel="00000000" w:rsidP="00000000" w:rsidRDefault="00000000" w:rsidRPr="00000000" w14:paraId="00000005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b/>
                <w:sz w:val="17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tcW w:type="dxa" w:w="2448"/>
            <w:vAlign w:val="center"/>
          </w:tcPr>
          <w:p w:rsidR="00000000" w:rsidDel="00000000" w:rsidP="00000000" w:rsidRDefault="00000000" w:rsidRPr="00000000" w14:paraId="00000006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b/>
                <w:sz w:val="17"/>
                <w:rtl w:val="0"/>
              </w:rPr>
              <w:t xml:space="preserve">Team ID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6ab6179bdcoae83adb386708 (Team 6)</w:t>
            </w:r>
          </w:p>
        </w:tc>
      </w:tr>
      <w:tr>
        <w:trPr>
          <w:cantSplit w:val="0"/>
          <w:tblHeader w:val="0"/>
        </w:trPr>
        <w:tc>
          <w:tcPr>
            <w:tcW w:type="dxa" w:w="2448"/>
            <w:vAlign w:val="center"/>
          </w:tcPr>
          <w:p w:rsidR="00000000" w:rsidDel="00000000" w:rsidP="00000000" w:rsidRDefault="00000000" w:rsidRPr="00000000" w14:paraId="00000008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b/>
                <w:sz w:val="17"/>
                <w:rtl w:val="0"/>
              </w:rPr>
              <w:t xml:space="preserve">Project Name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tcW w:type="dxa" w:w="2448"/>
            <w:vAlign w:val="center"/>
          </w:tcPr>
          <w:p w:rsidR="00000000" w:rsidDel="00000000" w:rsidP="00000000" w:rsidRDefault="00000000" w:rsidRPr="00000000" w14:paraId="0000000A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b/>
                <w:sz w:val="17"/>
                <w:rtl w:val="0"/>
              </w:rPr>
              <w:t xml:space="preserve">Maximum Marks</w:t>
            </w:r>
          </w:p>
        </w:tc>
        <w:tc>
          <w:tcPr>
            <w:tcW w:type="dxa" w:w="8064"/>
            <w:vAlign w:val="center"/>
          </w:tcPr>
          <w:p w:rsidR="00000000" w:rsidDel="00000000" w:rsidP="00000000" w:rsidRDefault="00000000" w:rsidRPr="00000000" w14:paraId="0000000B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/>
          <w:sz w:val="22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Grid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  <w:tcW w:type="dxa" w:w="1152"/>
            <w:shd w:fill="D9EAF7"/>
          </w:tcPr>
          <w:p w:rsidR="00000000" w:rsidDel="00000000" w:rsidP="00000000" w:rsidRDefault="00000000" w:rsidRPr="00000000" w14:paraId="0000000F">
            <w:pPr>
              <w:spacing w:before="0" w:after="0" w:line="240" w:lineRule="auto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sz w:val="16"/>
                <w:rtl w:val="0"/>
              </w:rPr>
              <w:t xml:space="preserve">FR No.</w:t>
            </w:r>
          </w:p>
        </w:tc>
        <w:tc>
          <w:tcPr>
            <w:vAlign w:val="center"/>
            <w:tcW w:type="dxa" w:w="2880"/>
            <w:shd w:fill="D9EAF7"/>
          </w:tcPr>
          <w:p w:rsidR="00000000" w:rsidDel="00000000" w:rsidP="00000000" w:rsidRDefault="00000000" w:rsidRPr="00000000" w14:paraId="00000010">
            <w:pPr>
              <w:spacing w:before="0" w:after="0" w:line="240" w:lineRule="auto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sz w:val="16"/>
                <w:rtl w:val="0"/>
              </w:rPr>
              <w:t xml:space="preserve">Functional Requirement (Epic)</w:t>
            </w:r>
          </w:p>
        </w:tc>
        <w:tc>
          <w:tcPr>
            <w:vAlign w:val="center"/>
            <w:tcW w:type="dxa" w:w="6480"/>
            <w:shd w:fill="D9EAF7"/>
          </w:tcPr>
          <w:p w:rsidR="00000000" w:rsidDel="00000000" w:rsidP="00000000" w:rsidRDefault="00000000" w:rsidRPr="00000000" w14:paraId="00000011">
            <w:pPr>
              <w:spacing w:before="0" w:after="0" w:line="240" w:lineRule="auto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sz w:val="16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FR-1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Incident Creation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Create an incident from the ServiceNow incident form; capture short description and description; generate a unique ticket number.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FR-2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Automatic Ticket Classification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Use Flow Designer conditions/keywords to identify the ticket category from the short description and description.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FR-3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Priority &amp; Assignment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Set priority using configured conditions and assign the incident to the appropriate support group based on the classification.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FR-4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Notification &amp; Status Update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Notify the assigned support team and keep ticket status, work notes and resolution details updated through the incident lifecycle.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W w:type="dxa" w:w="2880"/>
            <w:vAlign w:val="center"/>
          </w:tcPr>
          <w:p w:rsidR="00000000" w:rsidDel="00000000" w:rsidP="00000000" w:rsidRDefault="00000000" w:rsidRPr="00000000" w14:paraId="00000022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W w:type="dxa" w:w="6480"/>
            <w:vAlign w:val="center"/>
          </w:tcPr>
          <w:p w:rsidR="00000000" w:rsidDel="00000000" w:rsidP="00000000" w:rsidRDefault="00000000" w:rsidRPr="00000000" w14:paraId="00000023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4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W w:type="dxa" w:w="2880"/>
            <w:vAlign w:val="center"/>
          </w:tcPr>
          <w:p w:rsidR="00000000" w:rsidDel="00000000" w:rsidP="00000000" w:rsidRDefault="00000000" w:rsidRPr="00000000" w14:paraId="00000025">
            <w:pPr>
              <w:spacing w:before="0" w:after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W w:type="dxa" w:w="6480"/>
            <w:vAlign w:val="center"/>
          </w:tcPr>
          <w:p w:rsidR="00000000" w:rsidDel="00000000" w:rsidP="00000000" w:rsidRDefault="00000000" w:rsidRPr="00000000" w14:paraId="00000026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/>
          <w:sz w:val="22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Grid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  <w:tcW w:type="dxa" w:w="1152"/>
            <w:shd w:fill="D9EAF7"/>
          </w:tcPr>
          <w:p w:rsidR="00000000" w:rsidDel="00000000" w:rsidP="00000000" w:rsidRDefault="00000000" w:rsidRPr="00000000" w14:paraId="0000002C">
            <w:pPr>
              <w:spacing w:before="0" w:after="0" w:line="240" w:lineRule="auto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sz w:val="16"/>
                <w:rtl w:val="0"/>
              </w:rPr>
              <w:t xml:space="preserve">FR No.</w:t>
            </w:r>
          </w:p>
        </w:tc>
        <w:tc>
          <w:tcPr>
            <w:vAlign w:val="center"/>
            <w:tcW w:type="dxa" w:w="2592"/>
            <w:shd w:fill="D9EAF7"/>
          </w:tcPr>
          <w:p w:rsidR="00000000" w:rsidDel="00000000" w:rsidP="00000000" w:rsidRDefault="00000000" w:rsidRPr="00000000" w14:paraId="0000002D">
            <w:pPr>
              <w:spacing w:before="0" w:after="0" w:line="240" w:lineRule="auto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sz w:val="16"/>
                <w:rtl w:val="0"/>
              </w:rPr>
              <w:t xml:space="preserve">Non-Functional Requirement</w:t>
            </w:r>
          </w:p>
        </w:tc>
        <w:tc>
          <w:tcPr>
            <w:vAlign w:val="center"/>
            <w:tcW w:type="dxa" w:w="6768"/>
            <w:shd w:fill="D9EAF7"/>
          </w:tcPr>
          <w:p w:rsidR="00000000" w:rsidDel="00000000" w:rsidP="00000000" w:rsidRDefault="00000000" w:rsidRPr="00000000" w14:paraId="0000002E">
            <w:pPr>
              <w:spacing w:before="0" w:after="0" w:line="240" w:lineRule="auto"/>
              <w:rPr>
                <w:b w:val="1"/>
              </w:rPr>
            </w:pPr>
            <w:r w:rsidDel="00000000" w:rsidR="00000000" w:rsidRPr="00000000">
              <w:rPr>
                <w:rFonts w:ascii="Arial" w:hAnsi="Arial"/>
                <w:b/>
                <w:sz w:val="1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NFR-1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Usability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The flow and incident form should be simple to use, with clear fields and understandable ticket status information.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NFR-2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Only authorized ServiceNow users and support groups should access or update incident information.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NFR-3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Reliability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The flow should execute consistently for new incidents and apply the configured classification and routing rules correctly.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NFR-4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Performance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Classification, priority and assignment should be completed promptly after an incident is created.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NFR-5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Availability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The automation should be available whenever the ServiceNow incident process is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NFR-6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Scalability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The design should support increasing ticket volumes and additional categories/routing rules without major redesign.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pPr>
        <w:spacing w:before="100" w:after="0"/>
      </w:pPr>
      <w:r>
        <w:rPr>
          <w:b/>
          <w:sz w:val="17"/>
        </w:rPr>
        <w:t xml:space="preserve">Solution scope: </w:t>
      </w:r>
      <w:r>
        <w:rPr>
          <w:sz w:val="17"/>
        </w:rPr>
        <w:t>Automate incident classification, priority setting, assignment-group routing and notifications using ServiceNow Flow Designer.</w:t>
      </w:r>
    </w:p>
    <w:sectPr>
      <w:pgSz w:h="16838" w:w="11906" w:orient="portrait"/>
      <w:pgMar w:bottom="720" w:top="720" w:left="792" w:right="7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" w:hAnsi="Arial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