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Problem-Solution fit canvas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2376"/>
            <w:vAlign w:val="top"/>
            <w:shd w:fill="5A4A8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/ VISION</w:t>
            </w:r>
          </w:p>
        </w:tc>
        <w:tc>
          <w:tcPr>
            <w:tcW w:type="dxa" w:w="7632"/>
            <w:vAlign w:val="top"/>
            <w:shd w:fill="5A4A8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Auto Ticket Classification using Flow Designer</w:t>
            </w:r>
          </w:p>
        </w:tc>
        <w:tc>
          <w:tcPr>
            <w:tcW w:type="dxa" w:w="5616"/>
            <w:vAlign w:val="top"/>
            <w:shd w:fill="5A4A8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Team 6  |  6ab6179bdcoae83adb386708  |  31 January 2025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328"/>
            <w:vAlign w:val="top"/>
            <w:shd w:fill="FFFDF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94B9B"/>
                <w:sz w:val="16"/>
              </w:rPr>
              <w:t>1. CUSTOMER SEGMENT(S)</w:t>
            </w:r>
          </w:p>
          <w:p>
            <w:pPr>
              <w:spacing w:after="20"/>
            </w:pPr>
            <w:r>
              <w:rPr>
                <w:b/>
                <w:color w:val="E94B9B"/>
                <w:sz w:val="13"/>
              </w:rPr>
              <w:t>[ CS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Who is your customer?</w:t>
              <w:br/>
              <w:br/>
              <w:t>• Employees / end users who raise IT support incidents</w:t>
              <w:br/>
              <w:t>• Support agents and service-desk teams who handle those incidents</w:t>
            </w:r>
          </w:p>
        </w:tc>
        <w:tc>
          <w:tcPr>
            <w:tcW w:type="dxa" w:w="5328"/>
            <w:vAlign w:val="top"/>
            <w:shd w:fill="FFFDF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94B9B"/>
                <w:sz w:val="16"/>
              </w:rPr>
              <w:t>6. CUSTOMER CONSTRAINTS</w:t>
            </w:r>
          </w:p>
          <w:p>
            <w:pPr>
              <w:spacing w:after="20"/>
            </w:pPr>
            <w:r>
              <w:rPr>
                <w:b/>
                <w:color w:val="E94B9B"/>
                <w:sz w:val="13"/>
              </w:rPr>
              <w:t>[ CC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What constraints limit choices?</w:t>
              <w:br/>
              <w:br/>
              <w:t>• Users may not know the correct category or support group</w:t>
              <w:br/>
              <w:t>• Limited technical knowledge</w:t>
              <w:br/>
              <w:t>• Incomplete ticket descriptions</w:t>
              <w:br/>
              <w:t>• Manual routing depends on support staff availability</w:t>
            </w:r>
          </w:p>
        </w:tc>
        <w:tc>
          <w:tcPr>
            <w:tcW w:type="dxa" w:w="5328"/>
            <w:vAlign w:val="top"/>
            <w:shd w:fill="FFFDF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94B9B"/>
                <w:sz w:val="16"/>
              </w:rPr>
              <w:t>5. AVAILABLE SOLUTIONS</w:t>
            </w:r>
          </w:p>
          <w:p>
            <w:pPr>
              <w:spacing w:after="20"/>
            </w:pPr>
            <w:r>
              <w:rPr>
                <w:b/>
                <w:color w:val="E94B9B"/>
                <w:sz w:val="13"/>
              </w:rPr>
              <w:t>[ AS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Which solutions are available today?</w:t>
              <w:br/>
              <w:br/>
              <w:t>• Manual ticket categorization and assignment</w:t>
              <w:br/>
              <w:t>• Static forms and predefined categories</w:t>
              <w:br/>
              <w:t>• Service-desk staff reviewing each ticket</w:t>
              <w:br/>
              <w:br/>
              <w:t>Pros: familiar and flexible</w:t>
              <w:br/>
              <w:t>Cons: slower, inconsistent and prone to routing errors</w:t>
            </w:r>
          </w:p>
        </w:tc>
      </w:tr>
      <w:tr>
        <w:tc>
          <w:tcPr>
            <w:tcW w:type="dxa" w:w="5328"/>
            <w:vAlign w:val="top"/>
            <w:shd w:fill="FFFCF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88922"/>
                <w:sz w:val="16"/>
              </w:rPr>
              <w:t>2. JOBS-TO-BE-DONE / PROBLEMS</w:t>
            </w:r>
          </w:p>
          <w:p>
            <w:pPr>
              <w:spacing w:after="20"/>
            </w:pPr>
            <w:r>
              <w:rPr>
                <w:b/>
                <w:color w:val="E88922"/>
                <w:sz w:val="13"/>
              </w:rPr>
              <w:t>[ J&amp;P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Which jobs/problems are addressed?</w:t>
              <w:br/>
              <w:br/>
              <w:t>• Classify incoming IT tickets correctly</w:t>
              <w:br/>
              <w:t>• Set suitable priority</w:t>
              <w:br/>
              <w:t>• Route incidents to the right support group</w:t>
              <w:br/>
              <w:t>• Reduce manual triage effort and delay</w:t>
            </w:r>
          </w:p>
        </w:tc>
        <w:tc>
          <w:tcPr>
            <w:tcW w:type="dxa" w:w="5328"/>
            <w:vAlign w:val="top"/>
            <w:shd w:fill="FFFCF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88922"/>
                <w:sz w:val="16"/>
              </w:rPr>
              <w:t>9. PROBLEM ROOT CAUSE</w:t>
            </w:r>
          </w:p>
          <w:p>
            <w:pPr>
              <w:spacing w:after="20"/>
            </w:pPr>
            <w:r>
              <w:rPr>
                <w:b/>
                <w:color w:val="E88922"/>
                <w:sz w:val="13"/>
              </w:rPr>
              <w:t>[ RC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What is the real reason the problem exists?</w:t>
              <w:br/>
              <w:br/>
              <w:t>• Ticket triage is often manual</w:t>
              <w:br/>
              <w:t>• Similar issues may be categorized differently</w:t>
              <w:br/>
              <w:t>• Classification depends on human judgement and available staff</w:t>
              <w:br/>
              <w:t>• High ticket volume can delay routing</w:t>
            </w:r>
          </w:p>
        </w:tc>
        <w:tc>
          <w:tcPr>
            <w:tcW w:type="dxa" w:w="5328"/>
            <w:vAlign w:val="top"/>
            <w:shd w:fill="FFFCF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88922"/>
                <w:sz w:val="16"/>
              </w:rPr>
              <w:t>7. BEHAVIOUR</w:t>
            </w:r>
          </w:p>
          <w:p>
            <w:pPr>
              <w:spacing w:after="20"/>
            </w:pPr>
            <w:r>
              <w:rPr>
                <w:b/>
                <w:color w:val="E88922"/>
                <w:sz w:val="13"/>
              </w:rPr>
              <w:t>[ BE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What does the customer do?</w:t>
              <w:br/>
              <w:br/>
              <w:t>• User notices an IT issue and creates a ticket</w:t>
              <w:br/>
              <w:t>• Enters short description/details</w:t>
              <w:br/>
              <w:t>• Waits for assignment and updates</w:t>
              <w:br/>
              <w:t>• Support agent reviews, categorizes, works and resolves the ticket</w:t>
            </w:r>
          </w:p>
        </w:tc>
      </w:tr>
      <w:tr>
        <w:tc>
          <w:tcPr>
            <w:tcW w:type="dxa" w:w="5328"/>
            <w:vAlign w:val="top"/>
            <w:shd w:fill="F9FFF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FA88A"/>
                <w:sz w:val="16"/>
              </w:rPr>
              <w:t>3. TRIGGERS</w:t>
            </w:r>
          </w:p>
          <w:p>
            <w:pPr>
              <w:spacing w:after="20"/>
            </w:pPr>
            <w:r>
              <w:rPr>
                <w:b/>
                <w:color w:val="2FA88A"/>
                <w:sz w:val="13"/>
              </w:rPr>
              <w:t>[ TR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What triggers customers to act?</w:t>
              <w:br/>
              <w:br/>
              <w:t>• Hardware/software failure</w:t>
              <w:br/>
              <w:t>• Login or access issue</w:t>
              <w:br/>
              <w:t>• Email or network problem</w:t>
              <w:br/>
              <w:t>• Business task blocked by an IT issue</w:t>
              <w:br/>
              <w:t>• Need for urgent technical support</w:t>
            </w:r>
          </w:p>
        </w:tc>
        <w:tc>
          <w:tcPr>
            <w:tcW w:type="dxa" w:w="5328"/>
            <w:vAlign w:val="top"/>
            <w:shd w:fill="F9FFFC"/>
            <w:shd w:fill="FBF8FF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6C4FA3"/>
                <w:sz w:val="16"/>
              </w:rPr>
              <w:t>10. YOUR SOLUTION</w:t>
            </w:r>
          </w:p>
          <w:p>
            <w:pPr>
              <w:spacing w:after="20"/>
            </w:pPr>
            <w:r>
              <w:rPr>
                <w:b/>
                <w:color w:val="6C4FA3"/>
                <w:sz w:val="13"/>
              </w:rPr>
              <w:t>[ SL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Current proposed solution:</w:t>
              <w:br/>
              <w:br/>
              <w:t>Use ServiceNow Flow Designer to automatically read a newly created incident, classify it using conditions/keywords, set priority, assign the appropriate support group and send notifications.</w:t>
              <w:br/>
              <w:br/>
              <w:t>Future enhancement: AI/ML-based classification.</w:t>
            </w:r>
          </w:p>
        </w:tc>
        <w:tc>
          <w:tcPr>
            <w:tcW w:type="dxa" w:w="5328"/>
            <w:vAlign w:val="top"/>
            <w:shd w:fill="F9FFF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FA88A"/>
                <w:sz w:val="16"/>
              </w:rPr>
              <w:t>8. CHANNELS OF BEHAVIOUR</w:t>
            </w:r>
          </w:p>
          <w:p>
            <w:pPr>
              <w:spacing w:after="20"/>
            </w:pPr>
            <w:r>
              <w:rPr>
                <w:b/>
                <w:color w:val="2FA88A"/>
                <w:sz w:val="13"/>
              </w:rPr>
              <w:t>[ CH ]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8.1 ONLINE</w:t>
              <w:br/>
              <w:t>• ServiceNow web portal</w:t>
              <w:br/>
              <w:t>• Email notifications / updates</w:t>
              <w:br/>
              <w:br/>
              <w:t>8.2 OFFLINE</w:t>
              <w:br/>
              <w:t>• Workplace conversations</w:t>
              <w:br/>
              <w:t>• Phone / direct request to support staff</w:t>
              <w:br/>
              <w:t>• Follow-up with support team</w:t>
            </w:r>
          </w:p>
        </w:tc>
      </w:tr>
    </w:tbl>
    <w:p>
      <w:pPr>
        <w:spacing w:before="40" w:after="0"/>
        <w:jc w:val="center"/>
      </w:pPr>
      <w:r>
        <w:rPr>
          <w:i/>
          <w:sz w:val="13"/>
        </w:rPr>
        <w:t>Based on the Problem-Solution fit canvas 2.0 structure. Source template: Daria Nepriakhina / Amaltama.com.</w:t>
      </w:r>
    </w:p>
    <w:sectPr w:rsidR="00FC693F" w:rsidRPr="0006063C" w:rsidSect="00034616">
      <w:pgSz w:w="16834" w:h="11909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