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2"/>
        </w:rPr>
        <w:t>Project Design Phase</w:t>
      </w:r>
    </w:p>
    <w:p>
      <w:pPr>
        <w:spacing w:after="160"/>
        <w:jc w:val="center"/>
      </w:pPr>
      <w:r>
        <w:rPr>
          <w:rFonts w:ascii="Arial" w:hAnsi="Arial"/>
          <w:b/>
          <w:sz w:val="26"/>
        </w:rPr>
        <w:t>Proposed Solution Template</w:t>
      </w:r>
    </w:p>
    <w:tbl>
      <w:tblPr>
        <w:tblStyle w:val="TableGrid"/>
        <w:tblW w:type="auto" w:w="0"/>
        <w:jc w:val="center"/>
        <w:tblLook w:firstColumn="1" w:firstRow="1" w:lastColumn="0" w:lastRow="0" w:noHBand="0" w:noVBand="1" w:val="04A0"/>
      </w:tblPr>
      <w:tblGrid>
        <w:gridCol w:w="5328"/>
        <w:gridCol w:w="5328"/>
      </w:tblGrid>
      <w:tr>
        <w:tc>
          <w:tcPr>
            <w:tcW w:type="dxa" w:w="2880"/>
            <w:vAlign w:val="center"/>
            <w:shd w:fill="E7E6E6"/>
          </w:tcPr>
          <w:p>
            <w:pPr>
              <w:spacing w:before="0" w:after="0" w:line="240" w:lineRule="auto"/>
              <w:jc w:val="left"/>
            </w:pPr>
            <w:r/>
            <w:r>
              <w:rPr>
                <w:rFonts w:ascii="Arial" w:hAnsi="Arial"/>
                <w:b/>
                <w:sz w:val="20"/>
              </w:rPr>
              <w:t>Date</w:t>
            </w:r>
          </w:p>
        </w:tc>
        <w:tc>
          <w:tcPr>
            <w:tcW w:type="dxa" w:w="11232"/>
            <w:vAlign w:val="center"/>
          </w:tcPr>
          <w:p>
            <w:pPr>
              <w:spacing w:before="0" w:after="0" w:line="240" w:lineRule="auto"/>
              <w:jc w:val="left"/>
            </w:pPr>
            <w:r/>
            <w:r>
              <w:rPr>
                <w:rFonts w:ascii="Arial" w:hAnsi="Arial"/>
                <w:b w:val="0"/>
                <w:sz w:val="20"/>
              </w:rPr>
              <w:t>15 February 2025</w:t>
            </w:r>
          </w:p>
        </w:tc>
      </w:tr>
      <w:tr>
        <w:tc>
          <w:tcPr>
            <w:tcW w:type="dxa" w:w="2880"/>
            <w:vAlign w:val="center"/>
            <w:shd w:fill="E7E6E6"/>
          </w:tcPr>
          <w:p>
            <w:pPr>
              <w:spacing w:before="0" w:after="0" w:line="240" w:lineRule="auto"/>
              <w:jc w:val="left"/>
            </w:pPr>
            <w:r/>
            <w:r>
              <w:rPr>
                <w:rFonts w:ascii="Arial" w:hAnsi="Arial"/>
                <w:b/>
                <w:sz w:val="20"/>
              </w:rPr>
              <w:t>Team ID</w:t>
            </w:r>
          </w:p>
        </w:tc>
        <w:tc>
          <w:tcPr>
            <w:tcW w:type="dxa" w:w="11232"/>
            <w:vAlign w:val="center"/>
          </w:tcPr>
          <w:p>
            <w:pPr>
              <w:spacing w:before="0" w:after="0" w:line="240" w:lineRule="auto"/>
              <w:jc w:val="left"/>
            </w:pPr>
            <w:r/>
            <w:r>
              <w:rPr>
                <w:rFonts w:ascii="Arial" w:hAnsi="Arial"/>
                <w:b w:val="0"/>
                <w:sz w:val="20"/>
              </w:rPr>
              <w:t>6ab6179bdcoae83adb386708</w:t>
            </w:r>
          </w:p>
        </w:tc>
      </w:tr>
      <w:tr>
        <w:tc>
          <w:tcPr>
            <w:tcW w:type="dxa" w:w="2880"/>
            <w:vAlign w:val="center"/>
            <w:shd w:fill="E7E6E6"/>
          </w:tcPr>
          <w:p>
            <w:pPr>
              <w:spacing w:before="0" w:after="0" w:line="240" w:lineRule="auto"/>
              <w:jc w:val="left"/>
            </w:pPr>
            <w:r/>
            <w:r>
              <w:rPr>
                <w:rFonts w:ascii="Arial" w:hAnsi="Arial"/>
                <w:b/>
                <w:sz w:val="20"/>
              </w:rPr>
              <w:t>Project Name</w:t>
            </w:r>
          </w:p>
        </w:tc>
        <w:tc>
          <w:tcPr>
            <w:tcW w:type="dxa" w:w="11232"/>
            <w:vAlign w:val="center"/>
          </w:tcPr>
          <w:p>
            <w:pPr>
              <w:spacing w:before="0" w:after="0" w:line="240" w:lineRule="auto"/>
              <w:jc w:val="left"/>
            </w:pPr>
            <w:r/>
            <w:r>
              <w:rPr>
                <w:rFonts w:ascii="Arial" w:hAnsi="Arial"/>
                <w:b w:val="0"/>
                <w:sz w:val="20"/>
              </w:rPr>
              <w:t>Auto Ticket Classification using Flow Designer</w:t>
            </w:r>
          </w:p>
        </w:tc>
      </w:tr>
      <w:tr>
        <w:tc>
          <w:tcPr>
            <w:tcW w:type="dxa" w:w="2880"/>
            <w:vAlign w:val="center"/>
            <w:shd w:fill="E7E6E6"/>
          </w:tcPr>
          <w:p>
            <w:pPr>
              <w:spacing w:before="0" w:after="0" w:line="240" w:lineRule="auto"/>
              <w:jc w:val="left"/>
            </w:pPr>
            <w:r/>
            <w:r>
              <w:rPr>
                <w:rFonts w:ascii="Arial" w:hAnsi="Arial"/>
                <w:b/>
                <w:sz w:val="20"/>
              </w:rPr>
              <w:t>Maximum Marks</w:t>
            </w:r>
          </w:p>
        </w:tc>
        <w:tc>
          <w:tcPr>
            <w:tcW w:type="dxa" w:w="11232"/>
            <w:vAlign w:val="center"/>
          </w:tcPr>
          <w:p>
            <w:pPr>
              <w:spacing w:before="0" w:after="0" w:line="240" w:lineRule="auto"/>
              <w:jc w:val="left"/>
            </w:pPr>
            <w:r/>
            <w:r>
              <w:rPr>
                <w:rFonts w:ascii="Arial" w:hAnsi="Arial"/>
                <w:b w:val="0"/>
                <w:sz w:val="20"/>
              </w:rPr>
              <w:t>2 Marks</w:t>
            </w:r>
          </w:p>
        </w:tc>
      </w:tr>
    </w:tbl>
    <w:p>
      <w:pPr>
        <w:spacing w:after="40"/>
      </w:pPr>
    </w:p>
    <w:p>
      <w:pPr>
        <w:spacing w:after="80"/>
      </w:pPr>
      <w:r>
        <w:rPr>
          <w:b/>
          <w:sz w:val="22"/>
        </w:rPr>
        <w:t>Proposed Solution Template:</w:t>
      </w:r>
    </w:p>
    <w:p>
      <w:pPr>
        <w:spacing w:after="100"/>
      </w:pPr>
      <w:r>
        <w:rPr>
          <w:sz w:val="19"/>
        </w:rPr>
        <w:t>Project team shall fill the following information in the proposed solution template.</w:t>
      </w:r>
    </w:p>
    <w:tbl>
      <w:tblPr>
        <w:tblStyle w:val="TableGrid"/>
        <w:tblW w:type="auto" w:w="0"/>
        <w:jc w:val="center"/>
        <w:tblLook w:firstColumn="1" w:firstRow="1" w:lastColumn="0" w:lastRow="0" w:noHBand="0" w:noVBand="1" w:val="04A0"/>
      </w:tblPr>
      <w:tblGrid>
        <w:gridCol w:w="3552"/>
        <w:gridCol w:w="3552"/>
        <w:gridCol w:w="3552"/>
      </w:tblGrid>
      <w:tr>
        <w:tc>
          <w:tcPr>
            <w:tcW w:type="dxa" w:w="3552"/>
            <w:vAlign w:val="center"/>
            <w:shd w:fill="D9EAF7"/>
          </w:tcPr>
          <w:p>
            <w:pPr>
              <w:spacing w:before="0" w:after="0" w:line="240" w:lineRule="auto"/>
              <w:jc w:val="center"/>
            </w:pPr>
            <w:r/>
            <w:r>
              <w:rPr>
                <w:rFonts w:ascii="Arial" w:hAnsi="Arial"/>
                <w:b/>
                <w:sz w:val="20"/>
              </w:rPr>
              <w:t>S.No.</w:t>
            </w:r>
          </w:p>
        </w:tc>
        <w:tc>
          <w:tcPr>
            <w:tcW w:type="dxa" w:w="3552"/>
            <w:vAlign w:val="center"/>
            <w:shd w:fill="D9EAF7"/>
          </w:tcPr>
          <w:p>
            <w:pPr>
              <w:spacing w:before="0" w:after="0" w:line="240" w:lineRule="auto"/>
              <w:jc w:val="center"/>
            </w:pPr>
            <w:r/>
            <w:r>
              <w:rPr>
                <w:rFonts w:ascii="Arial" w:hAnsi="Arial"/>
                <w:b/>
                <w:sz w:val="20"/>
              </w:rPr>
              <w:t>Parameter</w:t>
            </w:r>
          </w:p>
        </w:tc>
        <w:tc>
          <w:tcPr>
            <w:tcW w:type="dxa" w:w="3552"/>
            <w:vAlign w:val="center"/>
            <w:shd w:fill="D9EAF7"/>
          </w:tcPr>
          <w:p>
            <w:pPr>
              <w:spacing w:before="0" w:after="0" w:line="240" w:lineRule="auto"/>
              <w:jc w:val="center"/>
            </w:pPr>
            <w:r/>
            <w:r>
              <w:rPr>
                <w:rFonts w:ascii="Arial" w:hAnsi="Arial"/>
                <w:b/>
                <w:sz w:val="20"/>
              </w:rPr>
              <w:t>Description</w:t>
            </w:r>
          </w:p>
        </w:tc>
      </w:tr>
      <w:tr>
        <w:tc>
          <w:tcPr>
            <w:tcW w:type="dxa" w:w="936"/>
            <w:vAlign w:val="top"/>
          </w:tcPr>
          <w:p>
            <w:pPr>
              <w:spacing w:before="0" w:after="0" w:line="240" w:lineRule="auto"/>
              <w:jc w:val="center"/>
            </w:pPr>
            <w:r/>
            <w:r>
              <w:rPr>
                <w:rFonts w:ascii="Arial" w:hAnsi="Arial"/>
                <w:b/>
                <w:sz w:val="19"/>
              </w:rPr>
              <w:t>1.</w:t>
            </w:r>
          </w:p>
        </w:tc>
        <w:tc>
          <w:tcPr>
            <w:tcW w:type="dxa" w:w="3672"/>
            <w:vAlign w:val="top"/>
            <w:shd w:fill="F5F5F5"/>
          </w:tcPr>
          <w:p>
            <w:pPr>
              <w:spacing w:before="0" w:after="0" w:line="240" w:lineRule="auto"/>
              <w:jc w:val="left"/>
            </w:pPr>
            <w:r/>
            <w:r>
              <w:rPr>
                <w:rFonts w:ascii="Arial" w:hAnsi="Arial"/>
                <w:b/>
                <w:sz w:val="19"/>
              </w:rPr>
              <w:t>Problem Statement (Problem to be solved)</w:t>
            </w:r>
          </w:p>
        </w:tc>
        <w:tc>
          <w:tcPr>
            <w:tcW w:type="dxa" w:w="9504"/>
            <w:vAlign w:val="top"/>
          </w:tcPr>
          <w:p>
            <w:pPr>
              <w:spacing w:before="0" w:after="0" w:line="240" w:lineRule="auto"/>
              <w:jc w:val="left"/>
            </w:pPr>
            <w:r/>
            <w:r>
              <w:rPr>
                <w:rFonts w:ascii="Arial" w:hAnsi="Arial"/>
                <w:b w:val="0"/>
                <w:sz w:val="19"/>
              </w:rPr>
              <w:t>IT support incidents are often manually categorized, prioritized and routed. This can cause inconsistent classification, delayed assignment and additional workload for service-desk teams. The project addresses the need for faster and more consistent ticket triage.</w:t>
            </w:r>
          </w:p>
        </w:tc>
      </w:tr>
      <w:tr>
        <w:tc>
          <w:tcPr>
            <w:tcW w:type="dxa" w:w="936"/>
            <w:vAlign w:val="top"/>
          </w:tcPr>
          <w:p>
            <w:pPr>
              <w:spacing w:before="0" w:after="0" w:line="240" w:lineRule="auto"/>
              <w:jc w:val="center"/>
            </w:pPr>
            <w:r/>
            <w:r>
              <w:rPr>
                <w:rFonts w:ascii="Arial" w:hAnsi="Arial"/>
                <w:b/>
                <w:sz w:val="19"/>
              </w:rPr>
              <w:t>2.</w:t>
            </w:r>
          </w:p>
        </w:tc>
        <w:tc>
          <w:tcPr>
            <w:tcW w:type="dxa" w:w="3672"/>
            <w:vAlign w:val="top"/>
            <w:shd w:fill="F5F5F5"/>
          </w:tcPr>
          <w:p>
            <w:pPr>
              <w:spacing w:before="0" w:after="0" w:line="240" w:lineRule="auto"/>
              <w:jc w:val="left"/>
            </w:pPr>
            <w:r/>
            <w:r>
              <w:rPr>
                <w:rFonts w:ascii="Arial" w:hAnsi="Arial"/>
                <w:b/>
                <w:sz w:val="19"/>
              </w:rPr>
              <w:t>Idea / Solution description</w:t>
            </w:r>
          </w:p>
        </w:tc>
        <w:tc>
          <w:tcPr>
            <w:tcW w:type="dxa" w:w="9504"/>
            <w:vAlign w:val="top"/>
          </w:tcPr>
          <w:p>
            <w:pPr>
              <w:spacing w:before="0" w:after="0" w:line="240" w:lineRule="auto"/>
              <w:jc w:val="left"/>
            </w:pPr>
            <w:r/>
            <w:r>
              <w:rPr>
                <w:rFonts w:ascii="Arial" w:hAnsi="Arial"/>
                <w:b w:val="0"/>
                <w:sz w:val="19"/>
              </w:rPr>
              <w:t>Implement a ServiceNow Flow Designer workflow that triggers when an incident is created, reads the Short Description/Description, applies predefined keyword and condition rules, automatically sets the ticket category and priority, assigns the appropriate support group, and can notify the responsible team. The solution is rule-based, with AI/ML considered as a future enhancement.</w:t>
            </w:r>
          </w:p>
        </w:tc>
      </w:tr>
      <w:tr>
        <w:tc>
          <w:tcPr>
            <w:tcW w:type="dxa" w:w="936"/>
            <w:vAlign w:val="top"/>
          </w:tcPr>
          <w:p>
            <w:pPr>
              <w:spacing w:before="0" w:after="0" w:line="240" w:lineRule="auto"/>
              <w:jc w:val="center"/>
            </w:pPr>
            <w:r/>
            <w:r>
              <w:rPr>
                <w:rFonts w:ascii="Arial" w:hAnsi="Arial"/>
                <w:b/>
                <w:sz w:val="19"/>
              </w:rPr>
              <w:t>3.</w:t>
            </w:r>
          </w:p>
        </w:tc>
        <w:tc>
          <w:tcPr>
            <w:tcW w:type="dxa" w:w="3672"/>
            <w:vAlign w:val="top"/>
            <w:shd w:fill="F5F5F5"/>
          </w:tcPr>
          <w:p>
            <w:pPr>
              <w:spacing w:before="0" w:after="0" w:line="240" w:lineRule="auto"/>
              <w:jc w:val="left"/>
            </w:pPr>
            <w:r/>
            <w:r>
              <w:rPr>
                <w:rFonts w:ascii="Arial" w:hAnsi="Arial"/>
                <w:b/>
                <w:sz w:val="19"/>
              </w:rPr>
              <w:t>Novelty / Uniqueness</w:t>
            </w:r>
          </w:p>
        </w:tc>
        <w:tc>
          <w:tcPr>
            <w:tcW w:type="dxa" w:w="9504"/>
            <w:vAlign w:val="top"/>
          </w:tcPr>
          <w:p>
            <w:pPr>
              <w:spacing w:before="0" w:after="0" w:line="240" w:lineRule="auto"/>
              <w:jc w:val="left"/>
            </w:pPr>
            <w:r/>
            <w:r>
              <w:rPr>
                <w:rFonts w:ascii="Arial" w:hAnsi="Arial"/>
                <w:b w:val="0"/>
                <w:sz w:val="19"/>
              </w:rPr>
              <w:t>The solution combines ticket creation with automatic classification, priority setting and support-group routing in a single Flow Designer workflow. It reduces repetitive manual triage while using configurable rules that can be updated as ticket patterns change.</w:t>
            </w:r>
          </w:p>
        </w:tc>
      </w:tr>
      <w:tr>
        <w:tc>
          <w:tcPr>
            <w:tcW w:type="dxa" w:w="936"/>
            <w:vAlign w:val="top"/>
          </w:tcPr>
          <w:p>
            <w:pPr>
              <w:spacing w:before="0" w:after="0" w:line="240" w:lineRule="auto"/>
              <w:jc w:val="center"/>
            </w:pPr>
            <w:r/>
            <w:r>
              <w:rPr>
                <w:rFonts w:ascii="Arial" w:hAnsi="Arial"/>
                <w:b/>
                <w:sz w:val="19"/>
              </w:rPr>
              <w:t>4.</w:t>
            </w:r>
          </w:p>
        </w:tc>
        <w:tc>
          <w:tcPr>
            <w:tcW w:type="dxa" w:w="3672"/>
            <w:vAlign w:val="top"/>
            <w:shd w:fill="F5F5F5"/>
          </w:tcPr>
          <w:p>
            <w:pPr>
              <w:spacing w:before="0" w:after="0" w:line="240" w:lineRule="auto"/>
              <w:jc w:val="left"/>
            </w:pPr>
            <w:r/>
            <w:r>
              <w:rPr>
                <w:rFonts w:ascii="Arial" w:hAnsi="Arial"/>
                <w:b/>
                <w:sz w:val="19"/>
              </w:rPr>
              <w:t>Social Impact / Customer Satisfaction</w:t>
            </w:r>
          </w:p>
        </w:tc>
        <w:tc>
          <w:tcPr>
            <w:tcW w:type="dxa" w:w="9504"/>
            <w:vAlign w:val="top"/>
          </w:tcPr>
          <w:p>
            <w:pPr>
              <w:spacing w:before="0" w:after="0" w:line="240" w:lineRule="auto"/>
              <w:jc w:val="left"/>
            </w:pPr>
            <w:r/>
            <w:r>
              <w:rPr>
                <w:rFonts w:ascii="Arial" w:hAnsi="Arial"/>
                <w:b w:val="0"/>
                <w:sz w:val="19"/>
              </w:rPr>
              <w:t>Employees receive faster and more consistent routing of IT issues, reducing waiting time before the right team starts work. Support agents spend less time on repetitive classification and more time on resolution, improving the overall service-desk experience.</w:t>
            </w:r>
          </w:p>
        </w:tc>
      </w:tr>
      <w:tr>
        <w:tc>
          <w:tcPr>
            <w:tcW w:type="dxa" w:w="936"/>
            <w:vAlign w:val="top"/>
          </w:tcPr>
          <w:p>
            <w:pPr>
              <w:spacing w:before="0" w:after="0" w:line="240" w:lineRule="auto"/>
              <w:jc w:val="center"/>
            </w:pPr>
            <w:r/>
            <w:r>
              <w:rPr>
                <w:rFonts w:ascii="Arial" w:hAnsi="Arial"/>
                <w:b/>
                <w:sz w:val="19"/>
              </w:rPr>
              <w:t>5.</w:t>
            </w:r>
          </w:p>
        </w:tc>
        <w:tc>
          <w:tcPr>
            <w:tcW w:type="dxa" w:w="3672"/>
            <w:vAlign w:val="top"/>
            <w:shd w:fill="F5F5F5"/>
          </w:tcPr>
          <w:p>
            <w:pPr>
              <w:spacing w:before="0" w:after="0" w:line="240" w:lineRule="auto"/>
              <w:jc w:val="left"/>
            </w:pPr>
            <w:r/>
            <w:r>
              <w:rPr>
                <w:rFonts w:ascii="Arial" w:hAnsi="Arial"/>
                <w:b/>
                <w:sz w:val="19"/>
              </w:rPr>
              <w:t>Business Model (Revenue Model)</w:t>
            </w:r>
          </w:p>
        </w:tc>
        <w:tc>
          <w:tcPr>
            <w:tcW w:type="dxa" w:w="9504"/>
            <w:vAlign w:val="top"/>
          </w:tcPr>
          <w:p>
            <w:pPr>
              <w:spacing w:before="0" w:after="0" w:line="240" w:lineRule="auto"/>
              <w:jc w:val="left"/>
            </w:pPr>
            <w:r/>
            <w:r>
              <w:rPr>
                <w:rFonts w:ascii="Arial" w:hAnsi="Arial"/>
                <w:b w:val="0"/>
                <w:sz w:val="19"/>
              </w:rPr>
              <w:t>The project is an internal IT service-management automation rather than a standalone revenue product. Its business value comes from reducing manual triage effort, improving support productivity and reducing delays. It can also support organizational cost savings through efficient use of service-desk resources.</w:t>
            </w:r>
          </w:p>
        </w:tc>
      </w:tr>
      <w:tr>
        <w:tc>
          <w:tcPr>
            <w:tcW w:type="dxa" w:w="936"/>
            <w:vAlign w:val="top"/>
          </w:tcPr>
          <w:p>
            <w:pPr>
              <w:spacing w:before="0" w:after="0" w:line="240" w:lineRule="auto"/>
              <w:jc w:val="center"/>
            </w:pPr>
            <w:r/>
            <w:r>
              <w:rPr>
                <w:rFonts w:ascii="Arial" w:hAnsi="Arial"/>
                <w:b/>
                <w:sz w:val="19"/>
              </w:rPr>
              <w:t>6.</w:t>
            </w:r>
          </w:p>
        </w:tc>
        <w:tc>
          <w:tcPr>
            <w:tcW w:type="dxa" w:w="3672"/>
            <w:vAlign w:val="top"/>
            <w:shd w:fill="F5F5F5"/>
          </w:tcPr>
          <w:p>
            <w:pPr>
              <w:spacing w:before="0" w:after="0" w:line="240" w:lineRule="auto"/>
              <w:jc w:val="left"/>
            </w:pPr>
            <w:r/>
            <w:r>
              <w:rPr>
                <w:rFonts w:ascii="Arial" w:hAnsi="Arial"/>
                <w:b/>
                <w:sz w:val="19"/>
              </w:rPr>
              <w:t>Scalability of the Solution</w:t>
            </w:r>
          </w:p>
        </w:tc>
        <w:tc>
          <w:tcPr>
            <w:tcW w:type="dxa" w:w="9504"/>
            <w:vAlign w:val="top"/>
          </w:tcPr>
          <w:p>
            <w:pPr>
              <w:spacing w:before="0" w:after="0" w:line="240" w:lineRule="auto"/>
              <w:jc w:val="left"/>
            </w:pPr>
            <w:r/>
            <w:r>
              <w:rPr>
                <w:rFonts w:ascii="Arial" w:hAnsi="Arial"/>
                <w:b w:val="0"/>
                <w:sz w:val="19"/>
              </w:rPr>
              <w:t>The Flow Designer approach can scale across increasing incident volumes by applying the same automated rules consistently. Additional categories, keywords, priorities and assignment groups can be added without redesigning the complete workflow. The solution can also be extended later with AI/ML-based classification and additional ServiceNow automation.</w:t>
            </w:r>
          </w:p>
        </w:tc>
      </w:tr>
    </w:tbl>
    <w:p>
      <w:pPr>
        <w:spacing w:before="80" w:after="0"/>
        <w:jc w:val="right"/>
      </w:pPr>
      <w:r>
        <w:rPr>
          <w:i/>
          <w:sz w:val="16"/>
        </w:rPr>
        <w:t>Project: Auto Ticket Classification using Flow Designer | Team 6</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