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Arial" w:cs="Calibri" w:eastAsia="Calibri" w:hAnsi="Arial"/>
          <w:b/>
          <w:sz w:val="32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Arial" w:cs="Calibri" w:eastAsia="Calibri" w:hAnsi="Arial"/>
          <w:b/>
          <w:sz w:val="28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 w:after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b w:val="0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15 February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 w:after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b w:val="0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6ab6179bdcoae83adb386708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 w:after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b w:val="0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 w:after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b w:val="0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 w:after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sz w:val="20"/>
                <w:rtl w:val="0"/>
              </w:rPr>
              <w:t xml:space="preserve">S.No.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 w:after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sz w:val="20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 w:after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sz w:val="20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 w:after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Arial" w:cs="Calibri" w:eastAsia="Calibri" w:hAnsi="Arial"/>
                <w:b/>
                <w:sz w:val="20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Model Summary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Rule-based ticket classification workflow implemented using ServiceNow Flow Designer. When an incident is created, the flow reads the Short Description/Description, applies configured keyword/condition rules, sets category and priority, and routes the incident to the appropriate support group. This project does not use a trained ML model.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N/A – Flow Designer workflow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Accuracy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Training Accuracy - Not Applicable</w:t>
              <w:br/>
              <w:t>Validation Accuracy - Not Applicable</w:t>
              <w:br/>
              <w:t>Reason: the implemented solution is rule-based and does not train or validate a machine-learning model.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N/A – No ML accuracy test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Fine Tunning Result( if Done)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Validation Accuracy - Not Applicable</w:t>
              <w:br/>
              <w:t>Fine-tuning is not performed because the current implementation uses Flow Designer conditions/keywords rather than a trained model.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N/A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