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Calibri" w:hAnsi="Calibri"/>
                <w:sz w:val="18"/>
              </w:rPr>
              <w:t>15 February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Calibri" w:hAnsi="Calibri"/>
                <w:sz w:val="18"/>
              </w:rPr>
              <w:t>6ab6179bdcoae83adb386708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Calibri" w:hAnsi="Calibri"/>
                <w:sz w:val="18"/>
              </w:rP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Calibri" w:hAnsi="Calibri"/>
                <w:sz w:val="18"/>
              </w:rPr>
              <w:t>5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/>
      <w:r>
        <w:t>Project Name: Auto Ticket Classification using Flow Designer</w:t>
      </w:r>
    </w:p>
    <w:p w14:paraId="3615B145" w14:textId="77777777" w:rsidR="00C415A7" w:rsidRDefault="00C415A7" w:rsidP="00C415A7">
      <w:r/>
      <w:r>
        <w:t>Project Description: ServiceNow Flow Designer automatically classifies newly created Incident tickets using configured conditions/keywords, sets priority, assigns the appropriate support group, and supports notification/status updates.</w:t>
      </w:r>
    </w:p>
    <w:p w14:paraId="793E7356" w14:textId="77777777" w:rsidR="00C415A7" w:rsidRDefault="00C415A7" w:rsidP="00C415A7">
      <w:r/>
      <w:r>
        <w:t>Project Version: 1.0</w:t>
      </w:r>
    </w:p>
    <w:p w14:paraId="6BDBB130" w14:textId="77777777" w:rsidR="00C415A7" w:rsidRDefault="00C415A7" w:rsidP="00C415A7">
      <w:r/>
      <w:r>
        <w:t>Testing Period: 15 February 2025 to 21 February 2025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Incident creation, automatic classification, priority assignment, support-group routing, notification/status update.</w:t>
      </w:r>
    </w:p>
    <w:p w14:paraId="79B41BD5" w14:textId="77777777" w:rsidR="00C415A7" w:rsidRDefault="00C415A7" w:rsidP="00C415A7">
      <w:r>
        <w:t>Requirements/User Stories: USN-1, USN-2, USN-3, USN-4, USN-5, USN-6, USN-7, USN-8.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/>
      <w:r>
        <w:t>URL/Location: ServiceNow application / Incident module</w:t>
      </w:r>
    </w:p>
    <w:p w14:paraId="2852D56D" w14:textId="77777777" w:rsidR="00C415A7" w:rsidRDefault="00C415A7" w:rsidP="00C415A7">
      <w:r/>
      <w:r>
        <w:t>Credentials (if required): Project team / tester credentials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jc w:val="center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  <w:vAlign w:val="center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Test Case ID</w:t>
            </w:r>
          </w:p>
        </w:tc>
        <w:tc>
          <w:tcPr>
            <w:tcW w:w="1285" w:type="dxa"/>
            <w:vAlign w:val="center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  <w:vAlign w:val="center"/>
          </w:tcPr>
          <w:p>
            <w:r>
              <w:rPr>
                <w:rFonts w:ascii="Calibri" w:hAnsi="Calibri"/>
                <w:sz w:val="18"/>
              </w:rPr>
              <w:t>TC-001</w:t>
            </w:r>
          </w:p>
        </w:tc>
        <w:tc>
          <w:tcPr>
            <w:tcW w:w="1285" w:type="dxa"/>
            <w:vAlign w:val="center"/>
          </w:tcPr>
          <w:p>
            <w:r>
              <w:rPr>
                <w:rFonts w:ascii="Calibri" w:hAnsi="Calibri"/>
                <w:sz w:val="18"/>
              </w:rPr>
              <w:t>Create Incident</w:t>
            </w:r>
          </w:p>
        </w:tc>
        <w:tc>
          <w:tcPr>
            <w:tcW w:w="2245" w:type="dxa"/>
            <w:vAlign w:val="center"/>
          </w:tcPr>
          <w:p>
            <w:r>
              <w:rPr>
                <w:rFonts w:ascii="Calibri" w:hAnsi="Calibri"/>
                <w:sz w:val="18"/>
              </w:rPr>
              <w:t>1. Open Incident module.</w:t>
              <w:br/>
              <w:t>2. Create a new Incident.</w:t>
              <w:br/>
              <w:t>3. Enter valid Short Description and Description.</w:t>
              <w:br/>
              <w:t>4. Submit the Incident.</w:t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Calibri" w:hAnsi="Calibri"/>
                <w:sz w:val="18"/>
              </w:rPr>
              <w:t>Incident is created successfully and Flow Designer is triggered.</w:t>
            </w:r>
          </w:p>
        </w:tc>
        <w:tc>
          <w:tcPr>
            <w:tcW w:w="1275" w:type="dxa"/>
            <w:vAlign w:val="center"/>
          </w:tcPr>
          <w:p>
            <w:r>
              <w:rPr>
                <w:rFonts w:ascii="Calibri" w:hAnsi="Calibri"/>
                <w:sz w:val="18"/>
              </w:rPr>
              <w:t>Incident created and flow triggered.</w:t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  <w:vAlign w:val="center"/>
          </w:tcPr>
          <w:p>
            <w:r>
              <w:rPr>
                <w:rFonts w:ascii="Calibri" w:hAnsi="Calibri"/>
                <w:sz w:val="18"/>
              </w:rPr>
              <w:t>TC-002</w:t>
            </w:r>
          </w:p>
        </w:tc>
        <w:tc>
          <w:tcPr>
            <w:tcW w:w="1285" w:type="dxa"/>
            <w:vAlign w:val="center"/>
          </w:tcPr>
          <w:p>
            <w:r>
              <w:rPr>
                <w:rFonts w:ascii="Calibri" w:hAnsi="Calibri"/>
                <w:sz w:val="18"/>
              </w:rPr>
              <w:t>Automatic Ticket Classification</w:t>
            </w:r>
          </w:p>
        </w:tc>
        <w:tc>
          <w:tcPr>
            <w:tcW w:w="2245" w:type="dxa"/>
            <w:vAlign w:val="center"/>
          </w:tcPr>
          <w:p>
            <w:r>
              <w:rPr>
                <w:rFonts w:ascii="Calibri" w:hAnsi="Calibri"/>
                <w:sz w:val="18"/>
              </w:rPr>
              <w:t>1. Create an Incident with a description matching a configured classification rule.</w:t>
              <w:br/>
              <w:t>2. Submit the Incident.</w:t>
              <w:br/>
              <w:t>3. Review the Category.</w:t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Calibri" w:hAnsi="Calibri"/>
                <w:sz w:val="18"/>
              </w:rPr>
              <w:t>Incident Category is set according to the configured rule.</w:t>
            </w:r>
          </w:p>
        </w:tc>
        <w:tc>
          <w:tcPr>
            <w:tcW w:w="1275" w:type="dxa"/>
            <w:vAlign w:val="center"/>
          </w:tcPr>
          <w:p>
            <w:r>
              <w:rPr>
                <w:rFonts w:ascii="Calibri" w:hAnsi="Calibri"/>
                <w:sz w:val="18"/>
              </w:rPr>
              <w:t>Category assigned according to configured rule.</w:t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TC-003</w:t>
            </w:r>
          </w:p>
        </w:tc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Priority Assignment</w:t>
            </w:r>
          </w:p>
        </w:tc>
        <w:tc>
          <w:tcPr>
            <w:tcW w:type="dxa" w:w="2245"/>
            <w:vAlign w:val="center"/>
          </w:tcPr>
          <w:p>
            <w:r>
              <w:rPr>
                <w:rFonts w:ascii="Calibri" w:hAnsi="Calibri"/>
                <w:sz w:val="18"/>
              </w:rPr>
              <w:t>1. Create an Incident containing a condition mapped to a priority.</w:t>
              <w:br/>
              <w:t>2. Submit the Incident.</w:t>
              <w:br/>
              <w:t>3. Review Priority.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Priority is updated according to the configured condition/rule.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Calibri" w:hAnsi="Calibri"/>
                <w:sz w:val="18"/>
              </w:rPr>
              <w:t>Priority updated according to configured rule.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TC-004</w:t>
            </w:r>
          </w:p>
        </w:tc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Support Group Assignment</w:t>
            </w:r>
          </w:p>
        </w:tc>
        <w:tc>
          <w:tcPr>
            <w:tcW w:type="dxa" w:w="2245"/>
            <w:vAlign w:val="center"/>
          </w:tcPr>
          <w:p>
            <w:r>
              <w:rPr>
                <w:rFonts w:ascii="Calibri" w:hAnsi="Calibri"/>
                <w:sz w:val="18"/>
              </w:rPr>
              <w:t>1. Create a ticket matching a routing condition.</w:t>
              <w:br/>
              <w:t>2. Submit the Incident.</w:t>
              <w:br/>
              <w:t>3. Review Assignment Group.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Ticket is routed to the configured support group.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Calibri" w:hAnsi="Calibri"/>
                <w:sz w:val="18"/>
              </w:rPr>
              <w:t>Assignment Group updated correctly.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TC-005</w:t>
            </w:r>
          </w:p>
        </w:tc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Notification / Status Update</w:t>
            </w:r>
          </w:p>
        </w:tc>
        <w:tc>
          <w:tcPr>
            <w:tcW w:type="dxa" w:w="2245"/>
            <w:vAlign w:val="center"/>
          </w:tcPr>
          <w:p>
            <w:r>
              <w:rPr>
                <w:rFonts w:ascii="Calibri" w:hAnsi="Calibri"/>
                <w:sz w:val="18"/>
              </w:rPr>
              <w:t>1. Create and submit an Incident.</w:t>
              <w:br/>
              <w:t>2. Allow the Flow to complete.</w:t>
              <w:br/>
              <w:t>3. Check the configured notification/status update.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Configured notification/status update is generated successfully.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Calibri" w:hAnsi="Calibri"/>
                <w:sz w:val="18"/>
              </w:rPr>
              <w:t>Notification/status update generated.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TC-006</w:t>
            </w:r>
          </w:p>
        </w:tc>
        <w:tc>
          <w:tcPr>
            <w:tcW w:type="dxa" w:w="1285"/>
            <w:vAlign w:val="center"/>
          </w:tcPr>
          <w:p>
            <w:r>
              <w:rPr>
                <w:rFonts w:ascii="Calibri" w:hAnsi="Calibri"/>
                <w:sz w:val="18"/>
              </w:rPr>
              <w:t>Negative / Unmatched Ticket</w:t>
            </w:r>
          </w:p>
        </w:tc>
        <w:tc>
          <w:tcPr>
            <w:tcW w:type="dxa" w:w="2245"/>
            <w:vAlign w:val="center"/>
          </w:tcPr>
          <w:p>
            <w:r>
              <w:rPr>
                <w:rFonts w:ascii="Calibri" w:hAnsi="Calibri"/>
                <w:sz w:val="18"/>
              </w:rPr>
              <w:t>1. Create an Incident with text that does not match configured rules.</w:t>
              <w:br/>
              <w:t>2. Submit the Incident.</w:t>
              <w:br/>
              <w:t>3. Review classification and routing fields.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Incident remains handled by the defined default/manual path without incorrect classification.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Calibri" w:hAnsi="Calibri"/>
                <w:sz w:val="18"/>
              </w:rPr>
              <w:t>Default/manual handling observed for unmatched ticket.</w:t>
            </w:r>
          </w:p>
        </w:tc>
        <w:tc>
          <w:tcPr>
            <w:tcW w:type="dxa" w:w="1276"/>
            <w:vAlign w:val="center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jc w:val="center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  <w:vAlign w:val="center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Bug ID</w:t>
            </w:r>
          </w:p>
        </w:tc>
        <w:tc>
          <w:tcPr>
            <w:tcW w:w="1441" w:type="dxa"/>
            <w:vAlign w:val="center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Bug Description</w:t>
            </w:r>
          </w:p>
        </w:tc>
        <w:tc>
          <w:tcPr>
            <w:tcW w:w="2245" w:type="dxa"/>
            <w:vAlign w:val="center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Steps</w:t>
            </w:r>
            <w:r w:rsidR="000A7CAF">
              <w:rPr>
                <w:rFonts w:ascii="Calibri" w:hAnsi="Calibri"/>
                <w:b/>
                <w:color w:val="1F1F1F"/>
                <w:sz w:val="18"/>
              </w:rPr>
              <w:t xml:space="preserve"> to reproduce</w:t>
            </w:r>
          </w:p>
        </w:tc>
        <w:tc>
          <w:tcPr>
            <w:tcW w:w="1276" w:type="dxa"/>
            <w:vAlign w:val="center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Severity</w:t>
            </w:r>
          </w:p>
        </w:tc>
        <w:tc>
          <w:tcPr>
            <w:tcW w:w="1134" w:type="dxa"/>
            <w:vAlign w:val="center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Status</w:t>
            </w:r>
          </w:p>
        </w:tc>
        <w:tc>
          <w:tcPr>
            <w:tcW w:w="1417" w:type="dxa"/>
            <w:vAlign w:val="center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rFonts w:ascii="Calibri" w:hAnsi="Calibri"/>
                <w:b/>
                <w:color w:val="1F1F1F"/>
                <w:sz w:val="18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  <w:vAlign w:val="center"/>
          </w:tcPr>
          <w:p>
            <w:r>
              <w:rPr>
                <w:rFonts w:ascii="Calibri" w:hAnsi="Calibri"/>
                <w:sz w:val="18"/>
              </w:rPr>
              <w:t>BG-001</w:t>
            </w:r>
          </w:p>
        </w:tc>
        <w:tc>
          <w:tcPr>
            <w:tcW w:w="1441" w:type="dxa"/>
            <w:vAlign w:val="center"/>
          </w:tcPr>
          <w:p>
            <w:r>
              <w:rPr>
                <w:rFonts w:ascii="Calibri" w:hAnsi="Calibri"/>
                <w:sz w:val="18"/>
              </w:rPr>
              <w:t>No defect recorded in the documented UAT scenario set.</w:t>
            </w:r>
          </w:p>
        </w:tc>
        <w:tc>
          <w:tcPr>
            <w:tcW w:w="2245" w:type="dxa"/>
            <w:vAlign w:val="center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Calibri" w:hAnsi="Calibri"/>
                <w:sz w:val="18"/>
              </w:rPr>
              <w:t>Closed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ascii="Calibri" w:hAnsi="Calibri"/>
                <w:sz w:val="18"/>
              </w:rPr>
              <w:t>No additional feedback recorded.</w:t>
            </w:r>
          </w:p>
        </w:tc>
      </w:tr>
      <w:tr w:rsidR="00C415A7" w14:paraId="47E0E6F0" w14:textId="77777777" w:rsidTr="000A7CAF">
        <w:tc>
          <w:tcPr>
            <w:tcW w:w="1129" w:type="dxa"/>
            <w:vAlign w:val="center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rFonts w:ascii="Calibri" w:hAnsi="Calibri"/>
                <w:color w:val="1F1F1F"/>
                <w:sz w:val="18"/>
              </w:rPr>
              <w:lastRenderedPageBreak/>
              <w:t>...</w:t>
            </w:r>
          </w:p>
        </w:tc>
        <w:tc>
          <w:tcPr>
            <w:tcW w:w="1441" w:type="dxa"/>
            <w:vAlign w:val="center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rFonts w:ascii="Calibri" w:hAnsi="Calibri"/>
                <w:color w:val="1F1F1F"/>
                <w:sz w:val="18"/>
              </w:rPr>
              <w:t>...</w:t>
            </w:r>
          </w:p>
        </w:tc>
        <w:tc>
          <w:tcPr>
            <w:tcW w:w="2245" w:type="dxa"/>
            <w:vAlign w:val="center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rFonts w:ascii="Calibri" w:hAnsi="Calibri"/>
                <w:color w:val="1F1F1F"/>
                <w:sz w:val="18"/>
              </w:rPr>
              <w:t>...</w:t>
            </w:r>
          </w:p>
        </w:tc>
        <w:tc>
          <w:tcPr>
            <w:tcW w:w="1276" w:type="dxa"/>
            <w:vAlign w:val="center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rFonts w:ascii="Calibri" w:hAnsi="Calibri"/>
                <w:color w:val="1F1F1F"/>
                <w:sz w:val="18"/>
              </w:rPr>
              <w:t>...</w:t>
            </w:r>
          </w:p>
        </w:tc>
        <w:tc>
          <w:tcPr>
            <w:tcW w:w="1134" w:type="dxa"/>
            <w:vAlign w:val="center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rFonts w:ascii="Calibri" w:hAnsi="Calibri"/>
                <w:color w:val="1F1F1F"/>
                <w:sz w:val="18"/>
              </w:rPr>
              <w:t>...</w:t>
            </w:r>
          </w:p>
        </w:tc>
        <w:tc>
          <w:tcPr>
            <w:tcW w:w="1417" w:type="dxa"/>
            <w:vAlign w:val="center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rFonts w:ascii="Calibri" w:hAnsi="Calibri"/>
                <w:color w:val="1F1F1F"/>
                <w:sz w:val="18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Project Team / UAT Tester</w:t>
      </w:r>
    </w:p>
    <w:p w14:paraId="3AA69D71" w14:textId="77777777" w:rsidR="00C415A7" w:rsidRDefault="00C415A7" w:rsidP="00C415A7">
      <w:r>
        <w:t>Date: 21 February 2025</w:t>
      </w:r>
    </w:p>
    <w:p w14:paraId="24F2C887" w14:textId="77777777" w:rsidR="00C415A7" w:rsidRDefault="00C415A7" w:rsidP="00C415A7">
      <w:r>
        <w:t>Signature: 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