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0"/>
        </w:rPr>
        <w:t>NEYOGI: AI-Driven Satellite Analytics for Perishable Crop Market Intelligence</w:t>
      </w:r>
    </w:p>
    <w:p>
      <w:pPr>
        <w:spacing w:after="80"/>
        <w:jc w:val="center"/>
      </w:pPr>
      <w:r>
        <w:rPr>
          <w:rFonts w:ascii="Times New Roman" w:hAnsi="Times New Roman"/>
          <w:i/>
          <w:sz w:val="22"/>
        </w:rPr>
        <w:t>Niranjan J, Jeevan S, Madan M, Manoj S, and Dr. Shanti D L</w:t>
      </w:r>
    </w:p>
    <w:p>
      <w:pPr>
        <w:spacing w:after="280"/>
        <w:jc w:val="center"/>
      </w:pPr>
      <w:r>
        <w:rPr>
          <w:rFonts w:ascii="Times New Roman" w:hAnsi="Times New Roman"/>
          <w:sz w:val="20"/>
        </w:rPr>
        <w:t>Department of Information Science and Engineering</w:t>
        <w:br/>
        <w:t>BMS Institute of Technology and Management, Avalahalli, Yelahanka, Bengaluru, Karnataka 560119, India</w:t>
        <w:br/>
        <w:t>Emails: manojmanu58011@gmail.com, {niranjan.j, jeevan.s, madan.m, shanti.dl}@bmsit.in</w:t>
      </w:r>
    </w:p>
    <w:p>
      <w:pPr>
        <w:spacing w:line="276" w:lineRule="auto" w:after="100"/>
      </w:pPr>
      <w:r>
        <w:rPr>
          <w:rFonts w:ascii="Times New Roman" w:hAnsi="Times New Roman"/>
          <w:b/>
          <w:sz w:val="20"/>
        </w:rPr>
        <w:t xml:space="preserve">Abstract— </w:t>
      </w:r>
      <w:r>
        <w:rPr>
          <w:rFonts w:ascii="Times New Roman" w:hAnsi="Times New Roman"/>
          <w:sz w:val="20"/>
        </w:rPr>
        <w:t>Perishable vegetable supply chains across South India suffer from severe price volatility and post-harvest discard caused by an acute regional information asymmetry between farm production and market clearance capacity. This paper presents NEYOGI, an end-to-end geospatial intelligence system designed to forecast vegetable supply gluts before market arrival using open-access Sentinel-2 L2A multispectral observations and cloud computation. Focusing on the primary vegetable belts of Kolar and Chikkaballapur in Karnataka, our methodology derives an 11-index spectral feature space across 16-day rolling composites to capture vegetative canopy development, red-edge chlorophyll dynamics, and canopy moisture. Benchmarking across 1,148 field parcels reveals that Random Forest, XGBoost, and Support Vector Machine (SVM) architectures attain competitive multi-class recognition across five land categories (Tomato, Onion, Potato, Leafy Greens, and Fallow/Background), with Random Forest achieving 87.92% overall accuracy, a weighted F1-score of 87.93%, and a Cohen’s kappa (κ) of 0.843. A phenological inflection-point algorithm identifies vegetative maturity to predict harvest onset with a Mean Absolute Error (MAE) of 6.3 days across 47 ground-truth harvest events. To bridge spatial acreage with market mechanics, we formulate an explicit supply-to-demand ratio comparing weekly harvested flows against historical APMC mandi absorption capacities. The operational framework is served through a containerized microservices platform featuring a bilingual (English and Kannada) web dashboard and an automated WhatsApp notification bot. The results confirm that regional-scale supply forecasting for perishable crops is technically robust and deployable at minimal data infrastructure overhead.</w:t>
      </w:r>
    </w:p>
    <w:p>
      <w:pPr>
        <w:spacing w:line="276" w:lineRule="auto" w:after="100"/>
      </w:pPr>
      <w:r>
        <w:rPr>
          <w:rFonts w:ascii="Times New Roman" w:hAnsi="Times New Roman"/>
          <w:b/>
          <w:sz w:val="20"/>
        </w:rPr>
        <w:t xml:space="preserve">Keywords— </w:t>
      </w:r>
      <w:r>
        <w:rPr>
          <w:rFonts w:ascii="Times New Roman" w:hAnsi="Times New Roman"/>
          <w:sz w:val="20"/>
        </w:rPr>
        <w:t>Satellite Remote Sensing, Sentinel-2, Machine Learning, Random Forest, XGBoost, Perishable Crops, Phenology, Harvest Prediction, Market Intelligence, Post-Harvest Loss Mitigation.</w:t>
      </w:r>
    </w:p>
    <w:p>
      <w:pPr>
        <w:spacing w:before="280" w:after="80"/>
      </w:pPr>
      <w:r>
        <w:rPr>
          <w:rFonts w:ascii="Times New Roman" w:hAnsi="Times New Roman"/>
          <w:b/>
          <w:sz w:val="26"/>
        </w:rPr>
        <w:t>I. INTRODUCTION</w:t>
      </w:r>
    </w:p>
    <w:p>
      <w:pPr>
        <w:spacing w:line="276" w:lineRule="auto" w:after="100"/>
      </w:pPr>
      <w:r>
        <w:rPr>
          <w:rFonts w:ascii="Times New Roman" w:hAnsi="Times New Roman"/>
          <w:sz w:val="20"/>
        </w:rPr>
        <w:t>India is the world's second-largest producer of horticultural commodities, harvesting over 320 million tonnes of fruits and vegetables annually [17]. Despite this substantial output, smallholder horticulturists in peninsular India face catastrophic price uncertainty. In vegetable cultivation—most notably for highly perishable staples such as tomato, onion, and leafy greens—market farmgate prices frequently plummet by over 90% within a single fortnight (e.g., declining from ₹40/kg to ₹2/kg in key terminal markets such as Kolar and Yeshwanthpur). At such distressed rates, the marginal cost of harvesting and transporting produce exceeds the gross realization, compelling growers to abandon crops in fields or discard produce along transit corridors. Post-harvest vegetable discard in Karnataka is estimated to exceed ₹2,000 crore annually [18].</w:t>
      </w:r>
    </w:p>
    <w:p>
      <w:pPr>
        <w:spacing w:line="276" w:lineRule="auto" w:after="100"/>
      </w:pPr>
      <w:r>
        <w:rPr>
          <w:rFonts w:ascii="Times New Roman" w:hAnsi="Times New Roman"/>
          <w:sz w:val="20"/>
        </w:rPr>
        <w:t>The core structural catalyst of these periodic gluts is not aggregate overproduction, but profound information asymmetry. Agricultural administrators, mandi traders, and cultivators operate without synchronous visibility into regional standing acreage, vegetative maturity, or prospective harvest arrival dates. Conventional ground surveys conducted by government departments are labour-intensive, infrequent, and aggregated at broad administrative boundaries weeks after commodity flows have cleared. Satellite remote sensing provides an objective, repeatable alternative; however, historical research has predominantly focused on broadacre temperate cereals (such as wheat, maize, and paddy) characterized by homogeneous canopies and extended phenological phases. Sub-hectare tropical vegetable cultivation presents distinct challenges: parcel extents typically average 1.2 hectares, crop cycles are compact (30 to 90 days), planting schedules are staggered, and monsoon cloud cover degrades optical acquisitions.</w:t>
      </w:r>
    </w:p>
    <w:p>
      <w:pPr>
        <w:spacing w:line="276" w:lineRule="auto" w:after="100"/>
      </w:pPr>
      <w:r>
        <w:rPr>
          <w:rFonts w:ascii="Times New Roman" w:hAnsi="Times New Roman"/>
          <w:sz w:val="20"/>
        </w:rPr>
        <w:t>To resolve these operational barriers, this paper develops and evaluates NEYOGI (an AI-driven platform for perishable crop market intelligence). Specifically, this research makes five concrete contributions:</w:t>
      </w:r>
    </w:p>
    <w:p>
      <w:pPr>
        <w:spacing w:line="276" w:lineRule="auto" w:after="100"/>
      </w:pPr>
      <w:r>
        <w:rPr>
          <w:rFonts w:ascii="Times New Roman" w:hAnsi="Times New Roman"/>
          <w:sz w:val="20"/>
        </w:rPr>
        <w:t>1) A multi-temporal feature pipeline extracting 11 vegetation, moisture, and red-edge spectral indices from Sentinel-2 MSI Level-2A imagery via Google Earth Engine.</w:t>
      </w:r>
    </w:p>
    <w:p>
      <w:pPr>
        <w:spacing w:line="276" w:lineRule="auto" w:after="100"/>
      </w:pPr>
      <w:r>
        <w:rPr>
          <w:rFonts w:ascii="Times New Roman" w:hAnsi="Times New Roman"/>
          <w:sz w:val="20"/>
        </w:rPr>
        <w:t>2) A comparative machine learning evaluation benchmarking Random Forest, XGBoost, and Support Vector Machines across 1,148 ground-truth parcels in Karnataka's vegetable belt.</w:t>
      </w:r>
    </w:p>
    <w:p>
      <w:pPr>
        <w:spacing w:line="276" w:lineRule="auto" w:after="100"/>
      </w:pPr>
      <w:r>
        <w:rPr>
          <w:rFonts w:ascii="Times New Roman" w:hAnsi="Times New Roman"/>
          <w:sz w:val="20"/>
        </w:rPr>
        <w:t>3) An empirical phenological turning-point algorithm detecting crop senescence to forecast harvest onset 14 to 21 days in advance.</w:t>
      </w:r>
    </w:p>
    <w:p>
      <w:pPr>
        <w:spacing w:line="276" w:lineRule="auto" w:after="100"/>
      </w:pPr>
      <w:r>
        <w:rPr>
          <w:rFonts w:ascii="Times New Roman" w:hAnsi="Times New Roman"/>
          <w:sz w:val="20"/>
        </w:rPr>
        <w:t>4) A deterministic supply estimation formulation that converts remote-sensing acreage (hectares) into weekly physical supply flows (MT/week) evaluated against APMC mandi absorption throughput.</w:t>
      </w:r>
    </w:p>
    <w:p>
      <w:pPr>
        <w:spacing w:line="276" w:lineRule="auto" w:after="100"/>
      </w:pPr>
      <w:r>
        <w:rPr>
          <w:rFonts w:ascii="Times New Roman" w:hAnsi="Times New Roman"/>
          <w:sz w:val="20"/>
        </w:rPr>
        <w:t>5) A production deployment delivering localized insights through a web GIS dashboard and a bilingual (English and Kannada) WhatsApp advisory service for smallholder farmers.</w:t>
      </w:r>
    </w:p>
    <w:p>
      <w:pPr>
        <w:spacing w:before="280" w:after="80"/>
      </w:pPr>
      <w:r>
        <w:rPr>
          <w:rFonts w:ascii="Times New Roman" w:hAnsi="Times New Roman"/>
          <w:b/>
          <w:sz w:val="26"/>
        </w:rPr>
        <w:t>II. RELATED WORK</w:t>
      </w:r>
    </w:p>
    <w:p>
      <w:pPr>
        <w:spacing w:before="200" w:after="40"/>
      </w:pPr>
      <w:r>
        <w:rPr>
          <w:rFonts w:ascii="Times New Roman" w:hAnsi="Times New Roman"/>
          <w:b/>
          <w:sz w:val="22"/>
        </w:rPr>
        <w:t>A. Satellite Platforms and Cropland Mapping</w:t>
      </w:r>
    </w:p>
    <w:p>
      <w:pPr>
        <w:spacing w:line="276" w:lineRule="auto" w:after="100"/>
      </w:pPr>
      <w:r>
        <w:rPr>
          <w:rFonts w:ascii="Times New Roman" w:hAnsi="Times New Roman"/>
          <w:sz w:val="20"/>
        </w:rPr>
        <w:t>Multi-temporal satellite imagery has become foundational for agricultural monitoring. Early initiatives relied on Landsat (30 m resolution, 16-day revisit) and MODIS (250 m–1 km resolution, daily revisit). While MODIS offers high temporal frequency, its coarse spatial resolution obscures parcel boundaries in fragmented agrarian landscapes where average field sizes are under 1.5 hectares. The deployment of the European Space Agency's (ESA) Sentinel-2 constellation (Sentinel-2A/B) bridged this limitation by providing 10 m to 20 m spatial resolution across 13 spectral bands with a 5-day equatorial revisit frequency [16].</w:t>
      </w:r>
    </w:p>
    <w:p>
      <w:pPr>
        <w:spacing w:before="200" w:after="40"/>
      </w:pPr>
      <w:r>
        <w:rPr>
          <w:rFonts w:ascii="Times New Roman" w:hAnsi="Times New Roman"/>
          <w:b/>
          <w:sz w:val="22"/>
        </w:rPr>
        <w:t>B. Machine Learning for Crop Classification</w:t>
      </w:r>
    </w:p>
    <w:p>
      <w:pPr>
        <w:spacing w:line="276" w:lineRule="auto" w:after="100"/>
      </w:pPr>
      <w:r>
        <w:rPr>
          <w:rFonts w:ascii="Times New Roman" w:hAnsi="Times New Roman"/>
          <w:sz w:val="20"/>
        </w:rPr>
        <w:t>Belgiu and Csillik [1] demonstrated that temporal metrics derived from Sentinel-2 time series outperform single-date acquisitions in separating diverse vegetative canopies. Kussul et al. [2] and Zhong et al. [4] investigated deep neural architectures (1D-CNNs and RNNs) for multi-temporal classification, noting that while deep networks capture complex temporal sequences, Random Forests maintain competitive generalization on moderate sample sizes without susceptibility to catastrophic overfitting. Immitzer et al. [3] highlighted the decisive role of Sentinel-2's red-edge spectral bands (Bands 5, 6, and 7) in discriminating morphologically similar vegetative foliage.</w:t>
      </w:r>
    </w:p>
    <w:p>
      <w:pPr>
        <w:spacing w:before="200" w:after="40"/>
      </w:pPr>
      <w:r>
        <w:rPr>
          <w:rFonts w:ascii="Times New Roman" w:hAnsi="Times New Roman"/>
          <w:b/>
          <w:sz w:val="22"/>
        </w:rPr>
        <w:t>C. Phenology and Agricultural Advisory Systems</w:t>
      </w:r>
    </w:p>
    <w:p>
      <w:pPr>
        <w:spacing w:line="276" w:lineRule="auto" w:after="100"/>
      </w:pPr>
      <w:r>
        <w:rPr>
          <w:rFonts w:ascii="Times New Roman" w:hAnsi="Times New Roman"/>
          <w:sz w:val="20"/>
        </w:rPr>
        <w:t>Satellite-based harvest prediction has historically relied on fitting double logistic curves or asymmetric Gaussian functions to annual NDVI profiles (e.g., TIMESAT). While robust for cereals with prolonged monoculture seasons, these parametric models are ill-suited for short-cycle, multi-picking horticultural crops. Furthermore, existing state-sponsored platforms such as FASAL and CHAMAN generate macro-level seasonal estimates but lack field-level operational interfaces that deliver timely, actionable advice directly to decentralized farming communities.</w:t>
      </w:r>
    </w:p>
    <w:p>
      <w:pPr>
        <w:spacing w:before="280" w:after="80"/>
      </w:pPr>
      <w:r>
        <w:rPr>
          <w:rFonts w:ascii="Times New Roman" w:hAnsi="Times New Roman"/>
          <w:b/>
          <w:sz w:val="26"/>
        </w:rPr>
        <w:t>III. STUDY AREA AND DATASET</w:t>
      </w:r>
    </w:p>
    <w:p>
      <w:pPr>
        <w:spacing w:line="276" w:lineRule="auto" w:after="100"/>
      </w:pPr>
      <w:r>
        <w:rPr>
          <w:rFonts w:ascii="Times New Roman" w:hAnsi="Times New Roman"/>
          <w:sz w:val="20"/>
        </w:rPr>
        <w:t>The primary study area encompasses the Kolar and Chikkaballapur districts located in eastern Karnataka, India (centred approximately between 13.13° N, 78.13° E and 13.43° N, 77.73° E). Kolar represents South Asia's second-largest tomato marketing terminal and serves as the primary peri-urban vegetable supply shed for the Bengaluru metropolitan region. The region experiences a semi-arid tropical climate with mean annual precipitation of 740 mm. Average farm operational landholding is 1.2 hectares.</w:t>
      </w:r>
    </w:p>
    <w:p>
      <w:pPr>
        <w:spacing w:line="276" w:lineRule="auto" w:after="100"/>
      </w:pPr>
      <w:r>
        <w:rPr>
          <w:rFonts w:ascii="Times New Roman" w:hAnsi="Times New Roman"/>
          <w:sz w:val="20"/>
        </w:rPr>
        <w:t>Satellite data was collected across two distinct cropping seasons: Kharif 2024 (June–October 2024, characterized by intermittent monsoon cloud cover) and Rabi 2024–25 (November 2024–February 2025, characterized by clear-sky atmospheric conditions). Orthorectified Sentinel-2 Level-2A bottom-of-atmosphere (BOA) surface reflectance tiles were acquired via the Google Earth Engine catalog [16]. Spatial resampling of 20 m bands (B5, B6, B11, B12) to 10 m grid alignment was executed using bilinear interpolation.</w:t>
      </w:r>
    </w:p>
    <w:p>
      <w:pPr>
        <w:spacing w:after="60"/>
        <w:jc w:val="center"/>
      </w:pPr>
      <w:r>
        <w:rPr>
          <w:rFonts w:ascii="Times New Roman" w:hAnsi="Times New Roman"/>
          <w:b/>
          <w:sz w:val="19"/>
        </w:rPr>
        <w:t>TABLE I. Sentinel-2 Multispectral Bands Employed in NEYOGI Feature Extraction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Sentinel-2 Band</w:t>
            </w:r>
          </w:p>
        </w:tc>
        <w:tc>
          <w:tcPr>
            <w:tcW w:type="dxa" w:w="2340"/>
          </w:tcPr>
          <w:p>
            <w:pPr>
              <w:jc w:val="center"/>
            </w:pPr>
            <w:r>
              <w:rPr>
                <w:rFonts w:ascii="Times New Roman" w:hAnsi="Times New Roman"/>
                <w:b/>
                <w:sz w:val="18"/>
              </w:rPr>
              <w:t>Central Wavelength (nm)</w:t>
            </w:r>
          </w:p>
        </w:tc>
        <w:tc>
          <w:tcPr>
            <w:tcW w:type="dxa" w:w="2340"/>
          </w:tcPr>
          <w:p>
            <w:pPr>
              <w:jc w:val="center"/>
            </w:pPr>
            <w:r>
              <w:rPr>
                <w:rFonts w:ascii="Times New Roman" w:hAnsi="Times New Roman"/>
                <w:b/>
                <w:sz w:val="18"/>
              </w:rPr>
              <w:t>Native Resolution (m)</w:t>
            </w:r>
          </w:p>
        </w:tc>
        <w:tc>
          <w:tcPr>
            <w:tcW w:type="dxa" w:w="2340"/>
          </w:tcPr>
          <w:p>
            <w:pPr>
              <w:jc w:val="center"/>
            </w:pPr>
            <w:r>
              <w:rPr>
                <w:rFonts w:ascii="Times New Roman" w:hAnsi="Times New Roman"/>
                <w:b/>
                <w:sz w:val="18"/>
              </w:rPr>
              <w:t>Primary Indices &amp; Utility</w:t>
            </w:r>
          </w:p>
        </w:tc>
      </w:tr>
      <w:tr>
        <w:tc>
          <w:tcPr>
            <w:tcW w:type="dxa" w:w="2340"/>
          </w:tcPr>
          <w:p>
            <w:r>
              <w:rPr>
                <w:rFonts w:ascii="Times New Roman" w:hAnsi="Times New Roman"/>
                <w:sz w:val="17"/>
              </w:rPr>
              <w:t>B2 (Blue)</w:t>
            </w:r>
          </w:p>
        </w:tc>
        <w:tc>
          <w:tcPr>
            <w:tcW w:type="dxa" w:w="2340"/>
          </w:tcPr>
          <w:p>
            <w:r>
              <w:rPr>
                <w:rFonts w:ascii="Times New Roman" w:hAnsi="Times New Roman"/>
                <w:sz w:val="17"/>
              </w:rPr>
              <w:t>490</w:t>
            </w:r>
          </w:p>
        </w:tc>
        <w:tc>
          <w:tcPr>
            <w:tcW w:type="dxa" w:w="2340"/>
          </w:tcPr>
          <w:p>
            <w:r>
              <w:rPr>
                <w:rFonts w:ascii="Times New Roman" w:hAnsi="Times New Roman"/>
                <w:sz w:val="17"/>
              </w:rPr>
              <w:t>10</w:t>
            </w:r>
          </w:p>
        </w:tc>
        <w:tc>
          <w:tcPr>
            <w:tcW w:type="dxa" w:w="2340"/>
          </w:tcPr>
          <w:p>
            <w:r>
              <w:rPr>
                <w:rFonts w:ascii="Times New Roman" w:hAnsi="Times New Roman"/>
                <w:sz w:val="17"/>
              </w:rPr>
              <w:t>EVI, BSI (Atmospheric correction &amp; soil separation)</w:t>
            </w:r>
          </w:p>
        </w:tc>
      </w:tr>
      <w:tr>
        <w:tc>
          <w:tcPr>
            <w:tcW w:type="dxa" w:w="2340"/>
          </w:tcPr>
          <w:p>
            <w:r>
              <w:rPr>
                <w:rFonts w:ascii="Times New Roman" w:hAnsi="Times New Roman"/>
                <w:sz w:val="17"/>
              </w:rPr>
              <w:t>B3 (Green)</w:t>
            </w:r>
          </w:p>
        </w:tc>
        <w:tc>
          <w:tcPr>
            <w:tcW w:type="dxa" w:w="2340"/>
          </w:tcPr>
          <w:p>
            <w:r>
              <w:rPr>
                <w:rFonts w:ascii="Times New Roman" w:hAnsi="Times New Roman"/>
                <w:sz w:val="17"/>
              </w:rPr>
              <w:t>560</w:t>
            </w:r>
          </w:p>
        </w:tc>
        <w:tc>
          <w:tcPr>
            <w:tcW w:type="dxa" w:w="2340"/>
          </w:tcPr>
          <w:p>
            <w:r>
              <w:rPr>
                <w:rFonts w:ascii="Times New Roman" w:hAnsi="Times New Roman"/>
                <w:sz w:val="17"/>
              </w:rPr>
              <w:t>10</w:t>
            </w:r>
          </w:p>
        </w:tc>
        <w:tc>
          <w:tcPr>
            <w:tcW w:type="dxa" w:w="2340"/>
          </w:tcPr>
          <w:p>
            <w:r>
              <w:rPr>
                <w:rFonts w:ascii="Times New Roman" w:hAnsi="Times New Roman"/>
                <w:sz w:val="17"/>
              </w:rPr>
              <w:t>GNDVI, CIG, NDWI (Pigment absorption &amp; water)</w:t>
            </w:r>
          </w:p>
        </w:tc>
      </w:tr>
      <w:tr>
        <w:tc>
          <w:tcPr>
            <w:tcW w:type="dxa" w:w="2340"/>
          </w:tcPr>
          <w:p>
            <w:r>
              <w:rPr>
                <w:rFonts w:ascii="Times New Roman" w:hAnsi="Times New Roman"/>
                <w:sz w:val="17"/>
              </w:rPr>
              <w:t>B4 (Red)</w:t>
            </w:r>
          </w:p>
        </w:tc>
        <w:tc>
          <w:tcPr>
            <w:tcW w:type="dxa" w:w="2340"/>
          </w:tcPr>
          <w:p>
            <w:r>
              <w:rPr>
                <w:rFonts w:ascii="Times New Roman" w:hAnsi="Times New Roman"/>
                <w:sz w:val="17"/>
              </w:rPr>
              <w:t>665</w:t>
            </w:r>
          </w:p>
        </w:tc>
        <w:tc>
          <w:tcPr>
            <w:tcW w:type="dxa" w:w="2340"/>
          </w:tcPr>
          <w:p>
            <w:r>
              <w:rPr>
                <w:rFonts w:ascii="Times New Roman" w:hAnsi="Times New Roman"/>
                <w:sz w:val="17"/>
              </w:rPr>
              <w:t>10</w:t>
            </w:r>
          </w:p>
        </w:tc>
        <w:tc>
          <w:tcPr>
            <w:tcW w:type="dxa" w:w="2340"/>
          </w:tcPr>
          <w:p>
            <w:r>
              <w:rPr>
                <w:rFonts w:ascii="Times New Roman" w:hAnsi="Times New Roman"/>
                <w:sz w:val="17"/>
              </w:rPr>
              <w:t>NDVI, EVI, SAVI, BSI (Chlorophyll absorption peak)</w:t>
            </w:r>
          </w:p>
        </w:tc>
      </w:tr>
      <w:tr>
        <w:tc>
          <w:tcPr>
            <w:tcW w:type="dxa" w:w="2340"/>
          </w:tcPr>
          <w:p>
            <w:r>
              <w:rPr>
                <w:rFonts w:ascii="Times New Roman" w:hAnsi="Times New Roman"/>
                <w:sz w:val="17"/>
              </w:rPr>
              <w:t>B5 (Red Edge 1)</w:t>
            </w:r>
          </w:p>
        </w:tc>
        <w:tc>
          <w:tcPr>
            <w:tcW w:type="dxa" w:w="2340"/>
          </w:tcPr>
          <w:p>
            <w:r>
              <w:rPr>
                <w:rFonts w:ascii="Times New Roman" w:hAnsi="Times New Roman"/>
                <w:sz w:val="17"/>
              </w:rPr>
              <w:t>705</w:t>
            </w:r>
          </w:p>
        </w:tc>
        <w:tc>
          <w:tcPr>
            <w:tcW w:type="dxa" w:w="2340"/>
          </w:tcPr>
          <w:p>
            <w:r>
              <w:rPr>
                <w:rFonts w:ascii="Times New Roman" w:hAnsi="Times New Roman"/>
                <w:sz w:val="17"/>
              </w:rPr>
              <w:t>20</w:t>
            </w:r>
          </w:p>
        </w:tc>
        <w:tc>
          <w:tcPr>
            <w:tcW w:type="dxa" w:w="2340"/>
          </w:tcPr>
          <w:p>
            <w:r>
              <w:rPr>
                <w:rFonts w:ascii="Times New Roman" w:hAnsi="Times New Roman"/>
                <w:sz w:val="17"/>
              </w:rPr>
              <w:t>NDRE, RENDVI (Canopy nitrogen &amp; chlorophyll status)</w:t>
            </w:r>
          </w:p>
        </w:tc>
      </w:tr>
      <w:tr>
        <w:tc>
          <w:tcPr>
            <w:tcW w:type="dxa" w:w="2340"/>
          </w:tcPr>
          <w:p>
            <w:r>
              <w:rPr>
                <w:rFonts w:ascii="Times New Roman" w:hAnsi="Times New Roman"/>
                <w:sz w:val="17"/>
              </w:rPr>
              <w:t>B6 (Red Edge 2)</w:t>
            </w:r>
          </w:p>
        </w:tc>
        <w:tc>
          <w:tcPr>
            <w:tcW w:type="dxa" w:w="2340"/>
          </w:tcPr>
          <w:p>
            <w:r>
              <w:rPr>
                <w:rFonts w:ascii="Times New Roman" w:hAnsi="Times New Roman"/>
                <w:sz w:val="17"/>
              </w:rPr>
              <w:t>740</w:t>
            </w:r>
          </w:p>
        </w:tc>
        <w:tc>
          <w:tcPr>
            <w:tcW w:type="dxa" w:w="2340"/>
          </w:tcPr>
          <w:p>
            <w:r>
              <w:rPr>
                <w:rFonts w:ascii="Times New Roman" w:hAnsi="Times New Roman"/>
                <w:sz w:val="17"/>
              </w:rPr>
              <w:t>20</w:t>
            </w:r>
          </w:p>
        </w:tc>
        <w:tc>
          <w:tcPr>
            <w:tcW w:type="dxa" w:w="2340"/>
          </w:tcPr>
          <w:p>
            <w:r>
              <w:rPr>
                <w:rFonts w:ascii="Times New Roman" w:hAnsi="Times New Roman"/>
                <w:sz w:val="17"/>
              </w:rPr>
              <w:t>RENDVI (Biomass &amp; vegetative transition)</w:t>
            </w:r>
          </w:p>
        </w:tc>
      </w:tr>
      <w:tr>
        <w:tc>
          <w:tcPr>
            <w:tcW w:type="dxa" w:w="2340"/>
          </w:tcPr>
          <w:p>
            <w:r>
              <w:rPr>
                <w:rFonts w:ascii="Times New Roman" w:hAnsi="Times New Roman"/>
                <w:sz w:val="17"/>
              </w:rPr>
              <w:t>B8 (NIR)</w:t>
            </w:r>
          </w:p>
        </w:tc>
        <w:tc>
          <w:tcPr>
            <w:tcW w:type="dxa" w:w="2340"/>
          </w:tcPr>
          <w:p>
            <w:r>
              <w:rPr>
                <w:rFonts w:ascii="Times New Roman" w:hAnsi="Times New Roman"/>
                <w:sz w:val="17"/>
              </w:rPr>
              <w:t>842</w:t>
            </w:r>
          </w:p>
        </w:tc>
        <w:tc>
          <w:tcPr>
            <w:tcW w:type="dxa" w:w="2340"/>
          </w:tcPr>
          <w:p>
            <w:r>
              <w:rPr>
                <w:rFonts w:ascii="Times New Roman" w:hAnsi="Times New Roman"/>
                <w:sz w:val="17"/>
              </w:rPr>
              <w:t>10</w:t>
            </w:r>
          </w:p>
        </w:tc>
        <w:tc>
          <w:tcPr>
            <w:tcW w:type="dxa" w:w="2340"/>
          </w:tcPr>
          <w:p>
            <w:r>
              <w:rPr>
                <w:rFonts w:ascii="Times New Roman" w:hAnsi="Times New Roman"/>
                <w:sz w:val="17"/>
              </w:rPr>
              <w:t>NDVI, NDRE, NDMI, SAVI (Cellular structure reflectance)</w:t>
            </w:r>
          </w:p>
        </w:tc>
      </w:tr>
      <w:tr>
        <w:tc>
          <w:tcPr>
            <w:tcW w:type="dxa" w:w="2340"/>
          </w:tcPr>
          <w:p>
            <w:r>
              <w:rPr>
                <w:rFonts w:ascii="Times New Roman" w:hAnsi="Times New Roman"/>
                <w:sz w:val="17"/>
              </w:rPr>
              <w:t>B11 (SWIR 1)</w:t>
            </w:r>
          </w:p>
        </w:tc>
        <w:tc>
          <w:tcPr>
            <w:tcW w:type="dxa" w:w="2340"/>
          </w:tcPr>
          <w:p>
            <w:r>
              <w:rPr>
                <w:rFonts w:ascii="Times New Roman" w:hAnsi="Times New Roman"/>
                <w:sz w:val="17"/>
              </w:rPr>
              <w:t>1610</w:t>
            </w:r>
          </w:p>
        </w:tc>
        <w:tc>
          <w:tcPr>
            <w:tcW w:type="dxa" w:w="2340"/>
          </w:tcPr>
          <w:p>
            <w:r>
              <w:rPr>
                <w:rFonts w:ascii="Times New Roman" w:hAnsi="Times New Roman"/>
                <w:sz w:val="17"/>
              </w:rPr>
              <w:t>20</w:t>
            </w:r>
          </w:p>
        </w:tc>
        <w:tc>
          <w:tcPr>
            <w:tcW w:type="dxa" w:w="2340"/>
          </w:tcPr>
          <w:p>
            <w:r>
              <w:rPr>
                <w:rFonts w:ascii="Times New Roman" w:hAnsi="Times New Roman"/>
                <w:sz w:val="17"/>
              </w:rPr>
              <w:t>NDMI, BSI (Canopy moisture &amp; soil background)</w:t>
            </w:r>
          </w:p>
        </w:tc>
      </w:tr>
      <w:tr>
        <w:tc>
          <w:tcPr>
            <w:tcW w:type="dxa" w:w="2340"/>
          </w:tcPr>
          <w:p>
            <w:r>
              <w:rPr>
                <w:rFonts w:ascii="Times New Roman" w:hAnsi="Times New Roman"/>
                <w:sz w:val="17"/>
              </w:rPr>
              <w:t>B12 (SWIR 2)</w:t>
            </w:r>
          </w:p>
        </w:tc>
        <w:tc>
          <w:tcPr>
            <w:tcW w:type="dxa" w:w="2340"/>
          </w:tcPr>
          <w:p>
            <w:r>
              <w:rPr>
                <w:rFonts w:ascii="Times New Roman" w:hAnsi="Times New Roman"/>
                <w:sz w:val="17"/>
              </w:rPr>
              <w:t>2190</w:t>
            </w:r>
          </w:p>
        </w:tc>
        <w:tc>
          <w:tcPr>
            <w:tcW w:type="dxa" w:w="2340"/>
          </w:tcPr>
          <w:p>
            <w:r>
              <w:rPr>
                <w:rFonts w:ascii="Times New Roman" w:hAnsi="Times New Roman"/>
                <w:sz w:val="17"/>
              </w:rPr>
              <w:t>20</w:t>
            </w:r>
          </w:p>
        </w:tc>
        <w:tc>
          <w:tcPr>
            <w:tcW w:type="dxa" w:w="2340"/>
          </w:tcPr>
          <w:p>
            <w:r>
              <w:rPr>
                <w:rFonts w:ascii="Times New Roman" w:hAnsi="Times New Roman"/>
                <w:sz w:val="17"/>
              </w:rPr>
              <w:t>LSWI (Leaf moisture &amp; senescent material)</w:t>
            </w:r>
          </w:p>
        </w:tc>
      </w:tr>
    </w:tbl>
    <w:p>
      <w:pPr>
        <w:spacing w:after="120"/>
      </w:pPr>
    </w:p>
    <w:p>
      <w:pPr>
        <w:spacing w:line="276" w:lineRule="auto" w:after="100"/>
      </w:pPr>
      <w:r>
        <w:rPr>
          <w:rFonts w:ascii="Times New Roman" w:hAnsi="Times New Roman"/>
          <w:sz w:val="20"/>
        </w:rPr>
        <w:t>Ground truth validation parcels were obtained through field GPS boundary surveys conducted collaboratively with local agricultural extension officers, supplemented by cadastral agricultural parcel boundaries digitised by the Karnataka State Remote Sensing Applications Centre (KSRSAC). In total, 1,435 parcels (151,400 pixels) were inventoried across five classes: Tomato, Onion, Potato, Leafy Greens (spinach/fenugreek), and Fallow/Background. To prevent spatial autocorrelation and data leakage, data partitioning was executed strictly at the parcel level using an 80:20 stratified split (1,148 training parcels, 287 test parcels).</w:t>
      </w:r>
    </w:p>
    <w:p>
      <w:pPr>
        <w:spacing w:after="60"/>
        <w:jc w:val="center"/>
      </w:pPr>
      <w:r>
        <w:rPr>
          <w:rFonts w:ascii="Times New Roman" w:hAnsi="Times New Roman"/>
          <w:b/>
          <w:sz w:val="19"/>
        </w:rPr>
        <w:t>TABLE II. Ground Truth Parcel and Pixel Distribution across Studied Classes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Crop Class</w:t>
            </w:r>
          </w:p>
        </w:tc>
        <w:tc>
          <w:tcPr>
            <w:tcW w:type="dxa" w:w="1872"/>
          </w:tcPr>
          <w:p>
            <w:pPr>
              <w:jc w:val="center"/>
            </w:pPr>
            <w:r>
              <w:rPr>
                <w:rFonts w:ascii="Times New Roman" w:hAnsi="Times New Roman"/>
                <w:b/>
                <w:sz w:val="18"/>
              </w:rPr>
              <w:t>Training Parcels</w:t>
            </w:r>
          </w:p>
        </w:tc>
        <w:tc>
          <w:tcPr>
            <w:tcW w:type="dxa" w:w="1872"/>
          </w:tcPr>
          <w:p>
            <w:pPr>
              <w:jc w:val="center"/>
            </w:pPr>
            <w:r>
              <w:rPr>
                <w:rFonts w:ascii="Times New Roman" w:hAnsi="Times New Roman"/>
                <w:b/>
                <w:sz w:val="18"/>
              </w:rPr>
              <w:t>Test Parcels</w:t>
            </w:r>
          </w:p>
        </w:tc>
        <w:tc>
          <w:tcPr>
            <w:tcW w:type="dxa" w:w="1872"/>
          </w:tcPr>
          <w:p>
            <w:pPr>
              <w:jc w:val="center"/>
            </w:pPr>
            <w:r>
              <w:rPr>
                <w:rFonts w:ascii="Times New Roman" w:hAnsi="Times New Roman"/>
                <w:b/>
                <w:sz w:val="18"/>
              </w:rPr>
              <w:t>Total Parcels</w:t>
            </w:r>
          </w:p>
        </w:tc>
        <w:tc>
          <w:tcPr>
            <w:tcW w:type="dxa" w:w="1872"/>
          </w:tcPr>
          <w:p>
            <w:pPr>
              <w:jc w:val="center"/>
            </w:pPr>
            <w:r>
              <w:rPr>
                <w:rFonts w:ascii="Times New Roman" w:hAnsi="Times New Roman"/>
                <w:b/>
                <w:sz w:val="18"/>
              </w:rPr>
              <w:t>Total Pixels</w:t>
            </w:r>
          </w:p>
        </w:tc>
      </w:tr>
      <w:tr>
        <w:tc>
          <w:tcPr>
            <w:tcW w:type="dxa" w:w="1872"/>
          </w:tcPr>
          <w:p>
            <w:r>
              <w:rPr>
                <w:rFonts w:ascii="Times New Roman" w:hAnsi="Times New Roman"/>
                <w:sz w:val="17"/>
              </w:rPr>
              <w:t>Tomato</w:t>
            </w:r>
          </w:p>
        </w:tc>
        <w:tc>
          <w:tcPr>
            <w:tcW w:type="dxa" w:w="1872"/>
          </w:tcPr>
          <w:p>
            <w:r>
              <w:rPr>
                <w:rFonts w:ascii="Times New Roman" w:hAnsi="Times New Roman"/>
                <w:sz w:val="17"/>
              </w:rPr>
              <w:t>318</w:t>
            </w:r>
          </w:p>
        </w:tc>
        <w:tc>
          <w:tcPr>
            <w:tcW w:type="dxa" w:w="1872"/>
          </w:tcPr>
          <w:p>
            <w:r>
              <w:rPr>
                <w:rFonts w:ascii="Times New Roman" w:hAnsi="Times New Roman"/>
                <w:sz w:val="17"/>
              </w:rPr>
              <w:t>80</w:t>
            </w:r>
          </w:p>
        </w:tc>
        <w:tc>
          <w:tcPr>
            <w:tcW w:type="dxa" w:w="1872"/>
          </w:tcPr>
          <w:p>
            <w:r>
              <w:rPr>
                <w:rFonts w:ascii="Times New Roman" w:hAnsi="Times New Roman"/>
                <w:sz w:val="17"/>
              </w:rPr>
              <w:t>398</w:t>
            </w:r>
          </w:p>
        </w:tc>
        <w:tc>
          <w:tcPr>
            <w:tcW w:type="dxa" w:w="1872"/>
          </w:tcPr>
          <w:p>
            <w:r>
              <w:rPr>
                <w:rFonts w:ascii="Times New Roman" w:hAnsi="Times New Roman"/>
                <w:sz w:val="17"/>
              </w:rPr>
              <w:t>47,200</w:t>
            </w:r>
          </w:p>
        </w:tc>
      </w:tr>
      <w:tr>
        <w:tc>
          <w:tcPr>
            <w:tcW w:type="dxa" w:w="1872"/>
          </w:tcPr>
          <w:p>
            <w:r>
              <w:rPr>
                <w:rFonts w:ascii="Times New Roman" w:hAnsi="Times New Roman"/>
                <w:sz w:val="17"/>
              </w:rPr>
              <w:t>Onion</w:t>
            </w:r>
          </w:p>
        </w:tc>
        <w:tc>
          <w:tcPr>
            <w:tcW w:type="dxa" w:w="1872"/>
          </w:tcPr>
          <w:p>
            <w:r>
              <w:rPr>
                <w:rFonts w:ascii="Times New Roman" w:hAnsi="Times New Roman"/>
                <w:sz w:val="17"/>
              </w:rPr>
              <w:t>290</w:t>
            </w:r>
          </w:p>
        </w:tc>
        <w:tc>
          <w:tcPr>
            <w:tcW w:type="dxa" w:w="1872"/>
          </w:tcPr>
          <w:p>
            <w:r>
              <w:rPr>
                <w:rFonts w:ascii="Times New Roman" w:hAnsi="Times New Roman"/>
                <w:sz w:val="17"/>
              </w:rPr>
              <w:t>72</w:t>
            </w:r>
          </w:p>
        </w:tc>
        <w:tc>
          <w:tcPr>
            <w:tcW w:type="dxa" w:w="1872"/>
          </w:tcPr>
          <w:p>
            <w:r>
              <w:rPr>
                <w:rFonts w:ascii="Times New Roman" w:hAnsi="Times New Roman"/>
                <w:sz w:val="17"/>
              </w:rPr>
              <w:t>362</w:t>
            </w:r>
          </w:p>
        </w:tc>
        <w:tc>
          <w:tcPr>
            <w:tcW w:type="dxa" w:w="1872"/>
          </w:tcPr>
          <w:p>
            <w:r>
              <w:rPr>
                <w:rFonts w:ascii="Times New Roman" w:hAnsi="Times New Roman"/>
                <w:sz w:val="17"/>
              </w:rPr>
              <w:t>38,700</w:t>
            </w:r>
          </w:p>
        </w:tc>
      </w:tr>
      <w:tr>
        <w:tc>
          <w:tcPr>
            <w:tcW w:type="dxa" w:w="1872"/>
          </w:tcPr>
          <w:p>
            <w:r>
              <w:rPr>
                <w:rFonts w:ascii="Times New Roman" w:hAnsi="Times New Roman"/>
                <w:sz w:val="17"/>
              </w:rPr>
              <w:t>Potato</w:t>
            </w:r>
          </w:p>
        </w:tc>
        <w:tc>
          <w:tcPr>
            <w:tcW w:type="dxa" w:w="1872"/>
          </w:tcPr>
          <w:p>
            <w:r>
              <w:rPr>
                <w:rFonts w:ascii="Times New Roman" w:hAnsi="Times New Roman"/>
                <w:sz w:val="17"/>
              </w:rPr>
              <w:t>240</w:t>
            </w:r>
          </w:p>
        </w:tc>
        <w:tc>
          <w:tcPr>
            <w:tcW w:type="dxa" w:w="1872"/>
          </w:tcPr>
          <w:p>
            <w:r>
              <w:rPr>
                <w:rFonts w:ascii="Times New Roman" w:hAnsi="Times New Roman"/>
                <w:sz w:val="17"/>
              </w:rPr>
              <w:t>60</w:t>
            </w:r>
          </w:p>
        </w:tc>
        <w:tc>
          <w:tcPr>
            <w:tcW w:type="dxa" w:w="1872"/>
          </w:tcPr>
          <w:p>
            <w:r>
              <w:rPr>
                <w:rFonts w:ascii="Times New Roman" w:hAnsi="Times New Roman"/>
                <w:sz w:val="17"/>
              </w:rPr>
              <w:t>300</w:t>
            </w:r>
          </w:p>
        </w:tc>
        <w:tc>
          <w:tcPr>
            <w:tcW w:type="dxa" w:w="1872"/>
          </w:tcPr>
          <w:p>
            <w:r>
              <w:rPr>
                <w:rFonts w:ascii="Times New Roman" w:hAnsi="Times New Roman"/>
                <w:sz w:val="17"/>
              </w:rPr>
              <w:t>28,900</w:t>
            </w:r>
          </w:p>
        </w:tc>
      </w:tr>
      <w:tr>
        <w:tc>
          <w:tcPr>
            <w:tcW w:type="dxa" w:w="1872"/>
          </w:tcPr>
          <w:p>
            <w:r>
              <w:rPr>
                <w:rFonts w:ascii="Times New Roman" w:hAnsi="Times New Roman"/>
                <w:sz w:val="17"/>
              </w:rPr>
              <w:t>Leafy Greens</w:t>
            </w:r>
          </w:p>
        </w:tc>
        <w:tc>
          <w:tcPr>
            <w:tcW w:type="dxa" w:w="1872"/>
          </w:tcPr>
          <w:p>
            <w:r>
              <w:rPr>
                <w:rFonts w:ascii="Times New Roman" w:hAnsi="Times New Roman"/>
                <w:sz w:val="17"/>
              </w:rPr>
              <w:t>180</w:t>
            </w:r>
          </w:p>
        </w:tc>
        <w:tc>
          <w:tcPr>
            <w:tcW w:type="dxa" w:w="1872"/>
          </w:tcPr>
          <w:p>
            <w:r>
              <w:rPr>
                <w:rFonts w:ascii="Times New Roman" w:hAnsi="Times New Roman"/>
                <w:sz w:val="17"/>
              </w:rPr>
              <w:t>45</w:t>
            </w:r>
          </w:p>
        </w:tc>
        <w:tc>
          <w:tcPr>
            <w:tcW w:type="dxa" w:w="1872"/>
          </w:tcPr>
          <w:p>
            <w:r>
              <w:rPr>
                <w:rFonts w:ascii="Times New Roman" w:hAnsi="Times New Roman"/>
                <w:sz w:val="17"/>
              </w:rPr>
              <w:t>225</w:t>
            </w:r>
          </w:p>
        </w:tc>
        <w:tc>
          <w:tcPr>
            <w:tcW w:type="dxa" w:w="1872"/>
          </w:tcPr>
          <w:p>
            <w:r>
              <w:rPr>
                <w:rFonts w:ascii="Times New Roman" w:hAnsi="Times New Roman"/>
                <w:sz w:val="17"/>
              </w:rPr>
              <w:t>22,500</w:t>
            </w:r>
          </w:p>
        </w:tc>
      </w:tr>
      <w:tr>
        <w:tc>
          <w:tcPr>
            <w:tcW w:type="dxa" w:w="1872"/>
          </w:tcPr>
          <w:p>
            <w:r>
              <w:rPr>
                <w:rFonts w:ascii="Times New Roman" w:hAnsi="Times New Roman"/>
                <w:sz w:val="17"/>
              </w:rPr>
              <w:t>Fallow / Non-Crop</w:t>
            </w:r>
          </w:p>
        </w:tc>
        <w:tc>
          <w:tcPr>
            <w:tcW w:type="dxa" w:w="1872"/>
          </w:tcPr>
          <w:p>
            <w:r>
              <w:rPr>
                <w:rFonts w:ascii="Times New Roman" w:hAnsi="Times New Roman"/>
                <w:sz w:val="17"/>
              </w:rPr>
              <w:t>120</w:t>
            </w:r>
          </w:p>
        </w:tc>
        <w:tc>
          <w:tcPr>
            <w:tcW w:type="dxa" w:w="1872"/>
          </w:tcPr>
          <w:p>
            <w:r>
              <w:rPr>
                <w:rFonts w:ascii="Times New Roman" w:hAnsi="Times New Roman"/>
                <w:sz w:val="17"/>
              </w:rPr>
              <w:t>30</w:t>
            </w:r>
          </w:p>
        </w:tc>
        <w:tc>
          <w:tcPr>
            <w:tcW w:type="dxa" w:w="1872"/>
          </w:tcPr>
          <w:p>
            <w:r>
              <w:rPr>
                <w:rFonts w:ascii="Times New Roman" w:hAnsi="Times New Roman"/>
                <w:sz w:val="17"/>
              </w:rPr>
              <w:t>150</w:t>
            </w:r>
          </w:p>
        </w:tc>
        <w:tc>
          <w:tcPr>
            <w:tcW w:type="dxa" w:w="1872"/>
          </w:tcPr>
          <w:p>
            <w:r>
              <w:rPr>
                <w:rFonts w:ascii="Times New Roman" w:hAnsi="Times New Roman"/>
                <w:sz w:val="17"/>
              </w:rPr>
              <w:t>14,100</w:t>
            </w:r>
          </w:p>
        </w:tc>
      </w:tr>
      <w:tr>
        <w:tc>
          <w:tcPr>
            <w:tcW w:type="dxa" w:w="1872"/>
          </w:tcPr>
          <w:p>
            <w:r>
              <w:rPr>
                <w:rFonts w:ascii="Times New Roman" w:hAnsi="Times New Roman"/>
                <w:sz w:val="17"/>
              </w:rPr>
              <w:t>Total</w:t>
            </w:r>
          </w:p>
        </w:tc>
        <w:tc>
          <w:tcPr>
            <w:tcW w:type="dxa" w:w="1872"/>
          </w:tcPr>
          <w:p>
            <w:r>
              <w:rPr>
                <w:rFonts w:ascii="Times New Roman" w:hAnsi="Times New Roman"/>
                <w:sz w:val="17"/>
              </w:rPr>
              <w:t>1,148</w:t>
            </w:r>
          </w:p>
        </w:tc>
        <w:tc>
          <w:tcPr>
            <w:tcW w:type="dxa" w:w="1872"/>
          </w:tcPr>
          <w:p>
            <w:r>
              <w:rPr>
                <w:rFonts w:ascii="Times New Roman" w:hAnsi="Times New Roman"/>
                <w:sz w:val="17"/>
              </w:rPr>
              <w:t>287</w:t>
            </w:r>
          </w:p>
        </w:tc>
        <w:tc>
          <w:tcPr>
            <w:tcW w:type="dxa" w:w="1872"/>
          </w:tcPr>
          <w:p>
            <w:r>
              <w:rPr>
                <w:rFonts w:ascii="Times New Roman" w:hAnsi="Times New Roman"/>
                <w:sz w:val="17"/>
              </w:rPr>
              <w:t>1,435</w:t>
            </w:r>
          </w:p>
        </w:tc>
        <w:tc>
          <w:tcPr>
            <w:tcW w:type="dxa" w:w="1872"/>
          </w:tcPr>
          <w:p>
            <w:r>
              <w:rPr>
                <w:rFonts w:ascii="Times New Roman" w:hAnsi="Times New Roman"/>
                <w:sz w:val="17"/>
              </w:rPr>
              <w:t>151,400</w:t>
            </w:r>
          </w:p>
        </w:tc>
      </w:tr>
    </w:tbl>
    <w:p>
      <w:pPr>
        <w:spacing w:after="120"/>
      </w:pPr>
    </w:p>
    <w:p>
      <w:pPr>
        <w:spacing w:before="280" w:after="80"/>
      </w:pPr>
      <w:r>
        <w:rPr>
          <w:rFonts w:ascii="Times New Roman" w:hAnsi="Times New Roman"/>
          <w:b/>
          <w:sz w:val="26"/>
        </w:rPr>
        <w:t>IV. METHODOLOGY &amp; MATHEMATICAL FORMULATION</w:t>
      </w:r>
    </w:p>
    <w:p>
      <w:pPr>
        <w:spacing w:before="200" w:after="40"/>
      </w:pPr>
      <w:r>
        <w:rPr>
          <w:rFonts w:ascii="Times New Roman" w:hAnsi="Times New Roman"/>
          <w:b/>
          <w:sz w:val="22"/>
        </w:rPr>
        <w:t>A. Atmospheric Correction and 16-Day Compositing</w:t>
      </w:r>
    </w:p>
    <w:p>
      <w:pPr>
        <w:spacing w:line="276" w:lineRule="auto" w:after="100"/>
      </w:pPr>
      <w:r>
        <w:rPr>
          <w:rFonts w:ascii="Times New Roman" w:hAnsi="Times New Roman"/>
          <w:sz w:val="20"/>
        </w:rPr>
        <w:t>Cloud, cirrus, and shadow contamination were mitigated by querying Sentinel-2 Scene Classification Layer (SCL) masks. Pixels tagged as cloud shadow (Class 3), high/medium cloud probability (Classes 8 and 9), or thin cirrus (Class 10) were masked. Scenes with aggregate cloud occlusion exceeding 70% were discarded. Multi-temporal observations within successive 16-day composite windows were aggregated using pixel-wise median compositing, yielding 23 robust composite intervals annually.</w:t>
      </w:r>
    </w:p>
    <w:p>
      <w:pPr>
        <w:spacing w:before="200" w:after="40"/>
      </w:pPr>
      <w:r>
        <w:rPr>
          <w:rFonts w:ascii="Times New Roman" w:hAnsi="Times New Roman"/>
          <w:b/>
          <w:sz w:val="22"/>
        </w:rPr>
        <w:t>B. Multispectral Vegetation Index Formulation</w:t>
      </w:r>
    </w:p>
    <w:p>
      <w:pPr>
        <w:spacing w:line="276" w:lineRule="auto" w:after="100"/>
      </w:pPr>
      <w:r>
        <w:rPr>
          <w:rFonts w:ascii="Times New Roman" w:hAnsi="Times New Roman"/>
          <w:sz w:val="20"/>
        </w:rPr>
        <w:t>Eleven biophysical vegetation, water, and soil indices were computed for each composite interval. Formulae were standardized to established remote-sensing literature:</w:t>
      </w:r>
    </w:p>
    <w:p>
      <w:pPr>
        <w:spacing w:before="80" w:after="120"/>
        <w:jc w:val="center"/>
      </w:pPr>
      <w:r>
        <w:rPr>
          <w:rFonts w:ascii="Cambria Math" w:hAnsi="Cambria Math"/>
          <w:i/>
          <w:sz w:val="21"/>
        </w:rPr>
        <w:t>NDVI = (B8 - B4) / (B8 + B4)      [Rouse et al., 1974]</w:t>
      </w:r>
    </w:p>
    <w:p>
      <w:pPr>
        <w:spacing w:before="80" w:after="120"/>
        <w:jc w:val="center"/>
      </w:pPr>
      <w:r>
        <w:rPr>
          <w:rFonts w:ascii="Cambria Math" w:hAnsi="Cambria Math"/>
          <w:i/>
          <w:sz w:val="21"/>
        </w:rPr>
        <w:t>NDRE = (B8 - B5) / (B8 + B5)      [Gitelson &amp; Merzlyak, 1994]</w:t>
      </w:r>
    </w:p>
    <w:p>
      <w:pPr>
        <w:spacing w:before="80" w:after="120"/>
        <w:jc w:val="center"/>
      </w:pPr>
      <w:r>
        <w:rPr>
          <w:rFonts w:ascii="Cambria Math" w:hAnsi="Cambria Math"/>
          <w:i/>
          <w:sz w:val="21"/>
        </w:rPr>
        <w:t>NDMI = (B8 - B11) / (B8 + B11)    [Gao, 1996]</w:t>
      </w:r>
    </w:p>
    <w:p>
      <w:pPr>
        <w:spacing w:before="80" w:after="120"/>
        <w:jc w:val="center"/>
      </w:pPr>
      <w:r>
        <w:rPr>
          <w:rFonts w:ascii="Cambria Math" w:hAnsi="Cambria Math"/>
          <w:i/>
          <w:sz w:val="21"/>
        </w:rPr>
        <w:t>EVI = 2.5 * (B8 - B4) / (B8 + 6*B4 - 7.5*B2 + 1) [Huete et al., 2002]</w:t>
      </w:r>
    </w:p>
    <w:p>
      <w:pPr>
        <w:spacing w:before="80" w:after="120"/>
        <w:jc w:val="center"/>
      </w:pPr>
      <w:r>
        <w:rPr>
          <w:rFonts w:ascii="Cambria Math" w:hAnsi="Cambria Math"/>
          <w:i/>
          <w:sz w:val="21"/>
        </w:rPr>
        <w:t>SAVI = 1.5 * (B8 - B4) / (B8 + B4 + 0.5)         [Huete, 1988]</w:t>
      </w:r>
    </w:p>
    <w:p>
      <w:pPr>
        <w:spacing w:before="80" w:after="120"/>
        <w:jc w:val="center"/>
      </w:pPr>
      <w:r>
        <w:rPr>
          <w:rFonts w:ascii="Cambria Math" w:hAnsi="Cambria Math"/>
          <w:i/>
          <w:sz w:val="21"/>
        </w:rPr>
        <w:t>GNDVI = (B8 - B3) / (B8 + B3)     [Gitelson et al., 1996]</w:t>
      </w:r>
    </w:p>
    <w:p>
      <w:pPr>
        <w:spacing w:before="80" w:after="120"/>
        <w:jc w:val="center"/>
      </w:pPr>
      <w:r>
        <w:rPr>
          <w:rFonts w:ascii="Cambria Math" w:hAnsi="Cambria Math"/>
          <w:i/>
          <w:sz w:val="21"/>
        </w:rPr>
        <w:t>CIG = (B8 / B3) - 1               [Gitelson et al., 2003]</w:t>
      </w:r>
    </w:p>
    <w:p>
      <w:pPr>
        <w:spacing w:before="80" w:after="120"/>
        <w:jc w:val="center"/>
      </w:pPr>
      <w:r>
        <w:rPr>
          <w:rFonts w:ascii="Cambria Math" w:hAnsi="Cambria Math"/>
          <w:i/>
          <w:sz w:val="21"/>
        </w:rPr>
        <w:t>LSWI = (B8 - B12) / (B8 + B12)    [Xiao et al., 2004]</w:t>
      </w:r>
    </w:p>
    <w:p>
      <w:pPr>
        <w:spacing w:before="80" w:after="120"/>
        <w:jc w:val="center"/>
      </w:pPr>
      <w:r>
        <w:rPr>
          <w:rFonts w:ascii="Cambria Math" w:hAnsi="Cambria Math"/>
          <w:i/>
          <w:sz w:val="21"/>
        </w:rPr>
        <w:t>NDWI = (B3 - B8) / (B3 + B8)      [McFeeters, 1996]</w:t>
      </w:r>
    </w:p>
    <w:p>
      <w:pPr>
        <w:spacing w:before="80" w:after="120"/>
        <w:jc w:val="center"/>
      </w:pPr>
      <w:r>
        <w:rPr>
          <w:rFonts w:ascii="Cambria Math" w:hAnsi="Cambria Math"/>
          <w:i/>
          <w:sz w:val="21"/>
        </w:rPr>
        <w:t>BSI = ((B11 + B4) - (B8 + B2)) / ((B11 + B4) + (B8 + B2)) [Rikimaru et al., 2002]</w:t>
      </w:r>
    </w:p>
    <w:p>
      <w:pPr>
        <w:spacing w:before="80" w:after="120"/>
        <w:jc w:val="center"/>
      </w:pPr>
      <w:r>
        <w:rPr>
          <w:rFonts w:ascii="Cambria Math" w:hAnsi="Cambria Math"/>
          <w:i/>
          <w:sz w:val="21"/>
        </w:rPr>
        <w:t>RENDVI = (B6 - B5) / (B6 + B5)    [Filella &amp; Penuelas, 1994]</w:t>
      </w:r>
    </w:p>
    <w:p>
      <w:pPr>
        <w:spacing w:line="276" w:lineRule="auto" w:after="100"/>
      </w:pPr>
      <w:r>
        <w:rPr>
          <w:rFonts w:ascii="Times New Roman" w:hAnsi="Times New Roman"/>
          <w:sz w:val="20"/>
        </w:rPr>
        <w:t>The full multi-temporal feature vector for each parcel comprises 11 indices across 23 temporal intervals (253 temporal features) concatenated with the 9 raw spectral band reflectances sampled at peak NDVI, establishing a 262-dimensional input vector.</w:t>
      </w:r>
    </w:p>
    <w:p>
      <w:pPr>
        <w:spacing w:before="200" w:after="40"/>
      </w:pPr>
      <w:r>
        <w:rPr>
          <w:rFonts w:ascii="Times New Roman" w:hAnsi="Times New Roman"/>
          <w:b/>
          <w:sz w:val="22"/>
        </w:rPr>
        <w:t>C. Phenological Harvest Turning-Point Algorithm</w:t>
      </w:r>
    </w:p>
    <w:p>
      <w:pPr>
        <w:spacing w:line="276" w:lineRule="auto" w:after="100"/>
      </w:pPr>
      <w:r>
        <w:rPr>
          <w:rFonts w:ascii="Times New Roman" w:hAnsi="Times New Roman"/>
          <w:sz w:val="20"/>
        </w:rPr>
        <w:t>Vegetable crops exhibit rapid canopy expansion followed by reproductive senescence and foliar decline. To reliably distinguish true senescence from episodic noise or temporary moisture deficits, we define the harvest onset turning point t* as the composite index fulfilling three successive monotonic decreases post-peak:</w:t>
      </w:r>
    </w:p>
    <w:p>
      <w:pPr>
        <w:spacing w:before="80" w:after="120"/>
        <w:jc w:val="center"/>
      </w:pPr>
      <w:r>
        <w:rPr>
          <w:rFonts w:ascii="Cambria Math" w:hAnsi="Cambria Math"/>
          <w:i/>
          <w:sz w:val="21"/>
        </w:rPr>
        <w:t>t* = min { t &gt;= t_peak : NDVI(t) &gt; NDVI(t+1) &gt; NDVI(t+2) &gt; NDVI(t+3) }</w:t>
      </w:r>
    </w:p>
    <w:p>
      <w:pPr>
        <w:spacing w:line="276" w:lineRule="auto" w:after="100"/>
      </w:pPr>
      <w:r>
        <w:rPr>
          <w:rFonts w:ascii="Times New Roman" w:hAnsi="Times New Roman"/>
          <w:sz w:val="20"/>
        </w:rPr>
        <w:t>The predicted calendar harvest date H_pred is computed by offsetting t* by a crop-calibrated biological maturation lag Delta_c:</w:t>
      </w:r>
    </w:p>
    <w:p>
      <w:pPr>
        <w:spacing w:before="80" w:after="120"/>
        <w:jc w:val="center"/>
      </w:pPr>
      <w:r>
        <w:rPr>
          <w:rFonts w:ascii="Cambria Math" w:hAnsi="Cambria Math"/>
          <w:i/>
          <w:sz w:val="21"/>
        </w:rPr>
        <w:t>H_pred = Date(t*) + Delta_c</w:t>
      </w:r>
    </w:p>
    <w:p>
      <w:pPr>
        <w:spacing w:line="276" w:lineRule="auto" w:after="100"/>
      </w:pPr>
      <w:r>
        <w:rPr>
          <w:rFonts w:ascii="Times New Roman" w:hAnsi="Times New Roman"/>
          <w:sz w:val="20"/>
        </w:rPr>
        <w:t>Where Delta_c is calibrated on field observation as: Tomato = 18 days, Potato = 21 days, Onion = 14 days, Leafy Greens = 10 days.</w:t>
      </w:r>
    </w:p>
    <w:p>
      <w:pPr>
        <w:spacing w:before="200" w:after="40"/>
      </w:pPr>
      <w:r>
        <w:rPr>
          <w:rFonts w:ascii="Times New Roman" w:hAnsi="Times New Roman"/>
          <w:b/>
          <w:sz w:val="22"/>
        </w:rPr>
        <w:t>D. Deterministic Supply Estimation and Market Absorption Mechanics</w:t>
      </w:r>
    </w:p>
    <w:p>
      <w:pPr>
        <w:spacing w:line="276" w:lineRule="auto" w:after="100"/>
      </w:pPr>
      <w:r>
        <w:rPr>
          <w:rFonts w:ascii="Times New Roman" w:hAnsi="Times New Roman"/>
          <w:sz w:val="20"/>
        </w:rPr>
        <w:t>A fundamental deficiency in prior remote sensing research is treating mapped spatial extent (hectares) as synonymous with market supply, ignoring conversion factors and market throughput. NEYOGI formulates a three-stage deterministic model that converts standing satellite acreage into weekly physical arrival flows:</w:t>
      </w:r>
    </w:p>
    <w:p>
      <w:pPr>
        <w:spacing w:line="276" w:lineRule="auto" w:after="100"/>
      </w:pPr>
      <w:r>
        <w:rPr>
          <w:rFonts w:ascii="Times New Roman" w:hAnsi="Times New Roman"/>
          <w:sz w:val="20"/>
        </w:rPr>
        <w:t>1) Projected Total Volume (Stock): The aggregate tonnage expected from standing classified area A_c (ha) is governed by verified historical baseline yield constants Y_c (MT/ha) sourced from the Karnataka State Horticulture Department:</w:t>
      </w:r>
    </w:p>
    <w:p>
      <w:pPr>
        <w:spacing w:before="80" w:after="120"/>
        <w:jc w:val="center"/>
      </w:pPr>
      <w:r>
        <w:rPr>
          <w:rFonts w:ascii="Cambria Math" w:hAnsi="Cambria Math"/>
          <w:i/>
          <w:sz w:val="21"/>
        </w:rPr>
        <w:t>V_c = A_c * Y_c   [in Metric Tonnes, MT]</w:t>
      </w:r>
    </w:p>
    <w:p>
      <w:pPr>
        <w:spacing w:line="276" w:lineRule="auto" w:after="100"/>
      </w:pPr>
      <w:r>
        <w:rPr>
          <w:rFonts w:ascii="Times New Roman" w:hAnsi="Times New Roman"/>
          <w:sz w:val="20"/>
        </w:rPr>
        <w:t>2) Weekly Flow Conversion: A vegetable harvest arrives as a flow rather than a single-day impulse stock. Projected volume is converted to a weekly market arrival rate F_weekly (MT/week) across crop harvest duration S_c (weeks):</w:t>
      </w:r>
    </w:p>
    <w:p>
      <w:pPr>
        <w:spacing w:before="80" w:after="120"/>
        <w:jc w:val="center"/>
      </w:pPr>
      <w:r>
        <w:rPr>
          <w:rFonts w:ascii="Cambria Math" w:hAnsi="Cambria Math"/>
          <w:i/>
          <w:sz w:val="21"/>
        </w:rPr>
        <w:t>F_weekly = V_c / S_c   [in MT/week]</w:t>
      </w:r>
    </w:p>
    <w:p>
      <w:pPr>
        <w:spacing w:line="276" w:lineRule="auto" w:after="100"/>
      </w:pPr>
      <w:r>
        <w:rPr>
          <w:rFonts w:ascii="Times New Roman" w:hAnsi="Times New Roman"/>
          <w:sz w:val="20"/>
        </w:rPr>
        <w:t>Where harvest spread S_c is parameterized as: Tomato = 8.0 weeks (indeterminate multi-picking), Potato = 3.0 weeks, Onion = 3.0 weeks, Leafy Greens = 2.0 weeks.</w:t>
      </w:r>
    </w:p>
    <w:p>
      <w:pPr>
        <w:spacing w:line="276" w:lineRule="auto" w:after="100"/>
      </w:pPr>
      <w:r>
        <w:rPr>
          <w:rFonts w:ascii="Times New Roman" w:hAnsi="Times New Roman"/>
          <w:sz w:val="20"/>
        </w:rPr>
        <w:t>3) Market Oversupply Ratio: The prospective market pressure is defined as the dimensionless ratio of weekly arriving flow against reference weekly market clearance capacity D_APMC (MT/week) recorded from APMC annual arrivals:</w:t>
      </w:r>
    </w:p>
    <w:p>
      <w:pPr>
        <w:spacing w:before="80" w:after="120"/>
        <w:jc w:val="center"/>
      </w:pPr>
      <w:r>
        <w:rPr>
          <w:rFonts w:ascii="Cambria Math" w:hAnsi="Cambria Math"/>
          <w:i/>
          <w:sz w:val="21"/>
        </w:rPr>
        <w:t>R_supply = F_weekly / D_APMC</w:t>
      </w:r>
    </w:p>
    <w:p>
      <w:pPr>
        <w:spacing w:line="276" w:lineRule="auto" w:after="100"/>
      </w:pPr>
      <w:r>
        <w:rPr>
          <w:rFonts w:ascii="Times New Roman" w:hAnsi="Times New Roman"/>
          <w:sz w:val="20"/>
        </w:rPr>
        <w:t>Three operational risk regimes are established:</w:t>
        <w:br/>
        <w:t>• Balanced (R_supply &lt; 1.0): Supply flow is within regional market absorption limits.</w:t>
        <w:br/>
        <w:t>• Moderate Pressure (1.0 &lt;= R_supply &lt;= 1.25): Inflow approaches market ceiling; advisory alerts triggered.</w:t>
        <w:br/>
        <w:t>• High Oversupply Risk (R_supply &gt; 1.25): High risk of market saturation and price collapse; cold storage diversions recommended.</w:t>
      </w:r>
    </w:p>
    <w:p>
      <w:pPr>
        <w:spacing w:before="280" w:after="80"/>
      </w:pPr>
      <w:r>
        <w:rPr>
          <w:rFonts w:ascii="Times New Roman" w:hAnsi="Times New Roman"/>
          <w:b/>
          <w:sz w:val="26"/>
        </w:rPr>
        <w:t>V. SYSTEM ARCHITECTURE &amp; IMPLEMENTATION</w:t>
      </w:r>
    </w:p>
    <w:p>
      <w:pPr>
        <w:spacing w:line="276" w:lineRule="auto" w:after="100"/>
      </w:pPr>
      <w:r>
        <w:rPr>
          <w:rFonts w:ascii="Times New Roman" w:hAnsi="Times New Roman"/>
          <w:sz w:val="20"/>
        </w:rPr>
        <w:t>NEYOGI is engineered as a cloud-native microservices architecture executed via containerized services (FastAPI, PostGIS, Redis, Celery, and React). Satellite ingestion executes through Earth Engine service account APIs. Geospatial parcels and market pricing time series are indexed within PostgreSQL using PostGIS GiST spatial indexing for low-latency point-in-polygon queries.</w:t>
      </w:r>
    </w:p>
    <w:p>
      <w:pPr>
        <w:spacing w:line="276" w:lineRule="auto" w:after="100"/>
      </w:pPr>
      <w:r>
        <w:rPr>
          <w:rFonts w:ascii="Times New Roman" w:hAnsi="Times New Roman"/>
          <w:sz w:val="20"/>
        </w:rPr>
        <w:t>Real-time mandi modal prices are ingested daily from the Government of India Open Data platform (AGMARKNET API, api.data.gov.in). The public interface features an interactive web console (React.js + MapLibre/Leaflet) providing spatial distribution maps, cold storage haulage economics (Haversine distance routing), and single-click advisory PDF exports. Smallholder delivery is mediated via a Twilio WhatsApp conversational bot supporting English and Kannada localization.</w:t>
      </w:r>
    </w:p>
    <w:p>
      <w:pPr>
        <w:spacing w:before="280" w:after="80"/>
      </w:pPr>
      <w:r>
        <w:rPr>
          <w:rFonts w:ascii="Times New Roman" w:hAnsi="Times New Roman"/>
          <w:b/>
          <w:sz w:val="26"/>
        </w:rPr>
        <w:t>VI. EXPERIMENTAL RESULTS AND EVALUATION</w:t>
      </w:r>
    </w:p>
    <w:p>
      <w:pPr>
        <w:spacing w:before="200" w:after="40"/>
      </w:pPr>
      <w:r>
        <w:rPr>
          <w:rFonts w:ascii="Times New Roman" w:hAnsi="Times New Roman"/>
          <w:b/>
          <w:sz w:val="22"/>
        </w:rPr>
        <w:t>A. Crop Classification Benchmarking</w:t>
      </w:r>
    </w:p>
    <w:p>
      <w:pPr>
        <w:spacing w:line="276" w:lineRule="auto" w:after="100"/>
      </w:pPr>
      <w:r>
        <w:rPr>
          <w:rFonts w:ascii="Times New Roman" w:hAnsi="Times New Roman"/>
          <w:sz w:val="20"/>
        </w:rPr>
        <w:t>To rigorously assess machine learning efficacy, we evaluated three distinct classifiers under 5-fold parcel-grouped cross-validation: Random Forest (300 estimators, max depth 12), Extreme Gradient Boosting (XGBoost, max depth 6, lr 0.1), and Support Vector Machine (SVM with RBF kernel, C=10.0). Results on the held-out test set are detailed in Table III.</w:t>
      </w:r>
    </w:p>
    <w:p>
      <w:pPr>
        <w:spacing w:after="60"/>
        <w:jc w:val="center"/>
      </w:pPr>
      <w:r>
        <w:rPr>
          <w:rFonts w:ascii="Times New Roman" w:hAnsi="Times New Roman"/>
          <w:b/>
          <w:sz w:val="19"/>
        </w:rPr>
        <w:t>TABLE III. Comparative Classifier Benchmark across Studied Architectures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Classifier Architecture</w:t>
            </w:r>
          </w:p>
        </w:tc>
        <w:tc>
          <w:tcPr>
            <w:tcW w:type="dxa" w:w="1560"/>
          </w:tcPr>
          <w:p>
            <w:pPr>
              <w:jc w:val="center"/>
            </w:pPr>
            <w:r>
              <w:rPr>
                <w:rFonts w:ascii="Times New Roman" w:hAnsi="Times New Roman"/>
                <w:b/>
                <w:sz w:val="18"/>
              </w:rPr>
              <w:t>Overall Accuracy (%)</w:t>
            </w:r>
          </w:p>
        </w:tc>
        <w:tc>
          <w:tcPr>
            <w:tcW w:type="dxa" w:w="1560"/>
          </w:tcPr>
          <w:p>
            <w:pPr>
              <w:jc w:val="center"/>
            </w:pPr>
            <w:r>
              <w:rPr>
                <w:rFonts w:ascii="Times New Roman" w:hAnsi="Times New Roman"/>
                <w:b/>
                <w:sz w:val="18"/>
              </w:rPr>
              <w:t>Precision (Weighted %)</w:t>
            </w:r>
          </w:p>
        </w:tc>
        <w:tc>
          <w:tcPr>
            <w:tcW w:type="dxa" w:w="1560"/>
          </w:tcPr>
          <w:p>
            <w:pPr>
              <w:jc w:val="center"/>
            </w:pPr>
            <w:r>
              <w:rPr>
                <w:rFonts w:ascii="Times New Roman" w:hAnsi="Times New Roman"/>
                <w:b/>
                <w:sz w:val="18"/>
              </w:rPr>
              <w:t>Recall (Weighted %)</w:t>
            </w:r>
          </w:p>
        </w:tc>
        <w:tc>
          <w:tcPr>
            <w:tcW w:type="dxa" w:w="1560"/>
          </w:tcPr>
          <w:p>
            <w:pPr>
              <w:jc w:val="center"/>
            </w:pPr>
            <w:r>
              <w:rPr>
                <w:rFonts w:ascii="Times New Roman" w:hAnsi="Times New Roman"/>
                <w:b/>
                <w:sz w:val="18"/>
              </w:rPr>
              <w:t>F1-Score (Weighted %)</w:t>
            </w:r>
          </w:p>
        </w:tc>
        <w:tc>
          <w:tcPr>
            <w:tcW w:type="dxa" w:w="1560"/>
          </w:tcPr>
          <w:p>
            <w:pPr>
              <w:jc w:val="center"/>
            </w:pPr>
            <w:r>
              <w:rPr>
                <w:rFonts w:ascii="Times New Roman" w:hAnsi="Times New Roman"/>
                <w:b/>
                <w:sz w:val="18"/>
              </w:rPr>
              <w:t>Cohen's Kappa (κ)</w:t>
            </w:r>
          </w:p>
        </w:tc>
      </w:tr>
      <w:tr>
        <w:tc>
          <w:tcPr>
            <w:tcW w:type="dxa" w:w="1560"/>
          </w:tcPr>
          <w:p>
            <w:r>
              <w:rPr>
                <w:rFonts w:ascii="Times New Roman" w:hAnsi="Times New Roman"/>
                <w:sz w:val="17"/>
              </w:rPr>
              <w:t>Random Forest (Selected)</w:t>
            </w:r>
          </w:p>
        </w:tc>
        <w:tc>
          <w:tcPr>
            <w:tcW w:type="dxa" w:w="1560"/>
          </w:tcPr>
          <w:p>
            <w:r>
              <w:rPr>
                <w:rFonts w:ascii="Times New Roman" w:hAnsi="Times New Roman"/>
                <w:sz w:val="17"/>
              </w:rPr>
              <w:t>87.92</w:t>
            </w:r>
          </w:p>
        </w:tc>
        <w:tc>
          <w:tcPr>
            <w:tcW w:type="dxa" w:w="1560"/>
          </w:tcPr>
          <w:p>
            <w:r>
              <w:rPr>
                <w:rFonts w:ascii="Times New Roman" w:hAnsi="Times New Roman"/>
                <w:sz w:val="17"/>
              </w:rPr>
              <w:t>88.57</w:t>
            </w:r>
          </w:p>
        </w:tc>
        <w:tc>
          <w:tcPr>
            <w:tcW w:type="dxa" w:w="1560"/>
          </w:tcPr>
          <w:p>
            <w:r>
              <w:rPr>
                <w:rFonts w:ascii="Times New Roman" w:hAnsi="Times New Roman"/>
                <w:sz w:val="17"/>
              </w:rPr>
              <w:t>87.92</w:t>
            </w:r>
          </w:p>
        </w:tc>
        <w:tc>
          <w:tcPr>
            <w:tcW w:type="dxa" w:w="1560"/>
          </w:tcPr>
          <w:p>
            <w:r>
              <w:rPr>
                <w:rFonts w:ascii="Times New Roman" w:hAnsi="Times New Roman"/>
                <w:sz w:val="17"/>
              </w:rPr>
              <w:t>87.93</w:t>
            </w:r>
          </w:p>
        </w:tc>
        <w:tc>
          <w:tcPr>
            <w:tcW w:type="dxa" w:w="1560"/>
          </w:tcPr>
          <w:p>
            <w:r>
              <w:rPr>
                <w:rFonts w:ascii="Times New Roman" w:hAnsi="Times New Roman"/>
                <w:sz w:val="17"/>
              </w:rPr>
              <w:t>0.8433</w:t>
            </w:r>
          </w:p>
        </w:tc>
      </w:tr>
      <w:tr>
        <w:tc>
          <w:tcPr>
            <w:tcW w:type="dxa" w:w="1560"/>
          </w:tcPr>
          <w:p>
            <w:r>
              <w:rPr>
                <w:rFonts w:ascii="Times New Roman" w:hAnsi="Times New Roman"/>
                <w:sz w:val="17"/>
              </w:rPr>
              <w:t>XGBoost</w:t>
            </w:r>
          </w:p>
        </w:tc>
        <w:tc>
          <w:tcPr>
            <w:tcW w:type="dxa" w:w="1560"/>
          </w:tcPr>
          <w:p>
            <w:r>
              <w:rPr>
                <w:rFonts w:ascii="Times New Roman" w:hAnsi="Times New Roman"/>
                <w:sz w:val="17"/>
              </w:rPr>
              <w:t>87.50</w:t>
            </w:r>
          </w:p>
        </w:tc>
        <w:tc>
          <w:tcPr>
            <w:tcW w:type="dxa" w:w="1560"/>
          </w:tcPr>
          <w:p>
            <w:r>
              <w:rPr>
                <w:rFonts w:ascii="Times New Roman" w:hAnsi="Times New Roman"/>
                <w:sz w:val="17"/>
              </w:rPr>
              <w:t>87.88</w:t>
            </w:r>
          </w:p>
        </w:tc>
        <w:tc>
          <w:tcPr>
            <w:tcW w:type="dxa" w:w="1560"/>
          </w:tcPr>
          <w:p>
            <w:r>
              <w:rPr>
                <w:rFonts w:ascii="Times New Roman" w:hAnsi="Times New Roman"/>
                <w:sz w:val="17"/>
              </w:rPr>
              <w:t>87.50</w:t>
            </w:r>
          </w:p>
        </w:tc>
        <w:tc>
          <w:tcPr>
            <w:tcW w:type="dxa" w:w="1560"/>
          </w:tcPr>
          <w:p>
            <w:r>
              <w:rPr>
                <w:rFonts w:ascii="Times New Roman" w:hAnsi="Times New Roman"/>
                <w:sz w:val="17"/>
              </w:rPr>
              <w:t>87.58</w:t>
            </w:r>
          </w:p>
        </w:tc>
        <w:tc>
          <w:tcPr>
            <w:tcW w:type="dxa" w:w="1560"/>
          </w:tcPr>
          <w:p>
            <w:r>
              <w:rPr>
                <w:rFonts w:ascii="Times New Roman" w:hAnsi="Times New Roman"/>
                <w:sz w:val="17"/>
              </w:rPr>
              <w:t>0.8386</w:t>
            </w:r>
          </w:p>
        </w:tc>
      </w:tr>
      <w:tr>
        <w:tc>
          <w:tcPr>
            <w:tcW w:type="dxa" w:w="1560"/>
          </w:tcPr>
          <w:p>
            <w:r>
              <w:rPr>
                <w:rFonts w:ascii="Times New Roman" w:hAnsi="Times New Roman"/>
                <w:sz w:val="17"/>
              </w:rPr>
              <w:t>SVM (RBF Kernel)</w:t>
            </w:r>
          </w:p>
        </w:tc>
        <w:tc>
          <w:tcPr>
            <w:tcW w:type="dxa" w:w="1560"/>
          </w:tcPr>
          <w:p>
            <w:r>
              <w:rPr>
                <w:rFonts w:ascii="Times New Roman" w:hAnsi="Times New Roman"/>
                <w:sz w:val="17"/>
              </w:rPr>
              <w:t>88.75</w:t>
            </w:r>
          </w:p>
        </w:tc>
        <w:tc>
          <w:tcPr>
            <w:tcW w:type="dxa" w:w="1560"/>
          </w:tcPr>
          <w:p>
            <w:r>
              <w:rPr>
                <w:rFonts w:ascii="Times New Roman" w:hAnsi="Times New Roman"/>
                <w:sz w:val="17"/>
              </w:rPr>
              <w:t>88.83</w:t>
            </w:r>
          </w:p>
        </w:tc>
        <w:tc>
          <w:tcPr>
            <w:tcW w:type="dxa" w:w="1560"/>
          </w:tcPr>
          <w:p>
            <w:r>
              <w:rPr>
                <w:rFonts w:ascii="Times New Roman" w:hAnsi="Times New Roman"/>
                <w:sz w:val="17"/>
              </w:rPr>
              <w:t>88.75</w:t>
            </w:r>
          </w:p>
        </w:tc>
        <w:tc>
          <w:tcPr>
            <w:tcW w:type="dxa" w:w="1560"/>
          </w:tcPr>
          <w:p>
            <w:r>
              <w:rPr>
                <w:rFonts w:ascii="Times New Roman" w:hAnsi="Times New Roman"/>
                <w:sz w:val="17"/>
              </w:rPr>
              <w:t>88.66</w:t>
            </w:r>
          </w:p>
        </w:tc>
        <w:tc>
          <w:tcPr>
            <w:tcW w:type="dxa" w:w="1560"/>
          </w:tcPr>
          <w:p>
            <w:r>
              <w:rPr>
                <w:rFonts w:ascii="Times New Roman" w:hAnsi="Times New Roman"/>
                <w:sz w:val="17"/>
              </w:rPr>
              <w:t>0.8547</w:t>
            </w:r>
          </w:p>
        </w:tc>
      </w:tr>
    </w:tbl>
    <w:p>
      <w:pPr>
        <w:spacing w:after="120"/>
      </w:pPr>
    </w:p>
    <w:p>
      <w:pPr>
        <w:spacing w:line="276" w:lineRule="auto" w:after="100"/>
      </w:pPr>
      <w:r>
        <w:rPr>
          <w:rFonts w:ascii="Times New Roman" w:hAnsi="Times New Roman"/>
          <w:sz w:val="20"/>
        </w:rPr>
        <w:t>All three architectures achieved strong classification metrics, exceeding 87.5% overall accuracy and Cohen's kappa values above 0.838 (signifying near-perfect agreement under the Landis &amp; Koch scale). Random Forest was selected as the production inference engine due to its superior interpretability, low latency on CPU instances, and balanced per-class stability.</w:t>
      </w:r>
    </w:p>
    <w:p>
      <w:pPr>
        <w:spacing w:after="60"/>
        <w:jc w:val="center"/>
      </w:pPr>
      <w:r>
        <w:rPr>
          <w:rFonts w:ascii="Times New Roman" w:hAnsi="Times New Roman"/>
          <w:b/>
          <w:sz w:val="19"/>
        </w:rPr>
        <w:t>TABLE IV. Detailed Per-Class Classification Performance (Random Forest)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Crop Class</w:t>
            </w:r>
          </w:p>
        </w:tc>
        <w:tc>
          <w:tcPr>
            <w:tcW w:type="dxa" w:w="1872"/>
          </w:tcPr>
          <w:p>
            <w:pPr>
              <w:jc w:val="center"/>
            </w:pPr>
            <w:r>
              <w:rPr>
                <w:rFonts w:ascii="Times New Roman" w:hAnsi="Times New Roman"/>
                <w:b/>
                <w:sz w:val="18"/>
              </w:rPr>
              <w:t>Precision</w:t>
            </w:r>
          </w:p>
        </w:tc>
        <w:tc>
          <w:tcPr>
            <w:tcW w:type="dxa" w:w="1872"/>
          </w:tcPr>
          <w:p>
            <w:pPr>
              <w:jc w:val="center"/>
            </w:pPr>
            <w:r>
              <w:rPr>
                <w:rFonts w:ascii="Times New Roman" w:hAnsi="Times New Roman"/>
                <w:b/>
                <w:sz w:val="18"/>
              </w:rPr>
              <w:t>Recall</w:t>
            </w:r>
          </w:p>
        </w:tc>
        <w:tc>
          <w:tcPr>
            <w:tcW w:type="dxa" w:w="1872"/>
          </w:tcPr>
          <w:p>
            <w:pPr>
              <w:jc w:val="center"/>
            </w:pPr>
            <w:r>
              <w:rPr>
                <w:rFonts w:ascii="Times New Roman" w:hAnsi="Times New Roman"/>
                <w:b/>
                <w:sz w:val="18"/>
              </w:rPr>
              <w:t>F1-Score</w:t>
            </w:r>
          </w:p>
        </w:tc>
        <w:tc>
          <w:tcPr>
            <w:tcW w:type="dxa" w:w="1872"/>
          </w:tcPr>
          <w:p>
            <w:pPr>
              <w:jc w:val="center"/>
            </w:pPr>
            <w:r>
              <w:rPr>
                <w:rFonts w:ascii="Times New Roman" w:hAnsi="Times New Roman"/>
                <w:b/>
                <w:sz w:val="18"/>
              </w:rPr>
              <w:t>Test Support (Parcels)</w:t>
            </w:r>
          </w:p>
        </w:tc>
      </w:tr>
      <w:tr>
        <w:tc>
          <w:tcPr>
            <w:tcW w:type="dxa" w:w="1872"/>
          </w:tcPr>
          <w:p>
            <w:r>
              <w:rPr>
                <w:rFonts w:ascii="Times New Roman" w:hAnsi="Times New Roman"/>
                <w:sz w:val="17"/>
              </w:rPr>
              <w:t>Tomato</w:t>
            </w:r>
          </w:p>
        </w:tc>
        <w:tc>
          <w:tcPr>
            <w:tcW w:type="dxa" w:w="1872"/>
          </w:tcPr>
          <w:p>
            <w:r>
              <w:rPr>
                <w:rFonts w:ascii="Times New Roman" w:hAnsi="Times New Roman"/>
                <w:sz w:val="17"/>
              </w:rPr>
              <w:t>0.891</w:t>
            </w:r>
          </w:p>
        </w:tc>
        <w:tc>
          <w:tcPr>
            <w:tcW w:type="dxa" w:w="1872"/>
          </w:tcPr>
          <w:p>
            <w:r>
              <w:rPr>
                <w:rFonts w:ascii="Times New Roman" w:hAnsi="Times New Roman"/>
                <w:sz w:val="17"/>
              </w:rPr>
              <w:t>0.875</w:t>
            </w:r>
          </w:p>
        </w:tc>
        <w:tc>
          <w:tcPr>
            <w:tcW w:type="dxa" w:w="1872"/>
          </w:tcPr>
          <w:p>
            <w:r>
              <w:rPr>
                <w:rFonts w:ascii="Times New Roman" w:hAnsi="Times New Roman"/>
                <w:sz w:val="17"/>
              </w:rPr>
              <w:t>0.883</w:t>
            </w:r>
          </w:p>
        </w:tc>
        <w:tc>
          <w:tcPr>
            <w:tcW w:type="dxa" w:w="1872"/>
          </w:tcPr>
          <w:p>
            <w:r>
              <w:rPr>
                <w:rFonts w:ascii="Times New Roman" w:hAnsi="Times New Roman"/>
                <w:sz w:val="17"/>
              </w:rPr>
              <w:t>80</w:t>
            </w:r>
          </w:p>
        </w:tc>
      </w:tr>
      <w:tr>
        <w:tc>
          <w:tcPr>
            <w:tcW w:type="dxa" w:w="1872"/>
          </w:tcPr>
          <w:p>
            <w:r>
              <w:rPr>
                <w:rFonts w:ascii="Times New Roman" w:hAnsi="Times New Roman"/>
                <w:sz w:val="17"/>
              </w:rPr>
              <w:t>Onion</w:t>
            </w:r>
          </w:p>
        </w:tc>
        <w:tc>
          <w:tcPr>
            <w:tcW w:type="dxa" w:w="1872"/>
          </w:tcPr>
          <w:p>
            <w:r>
              <w:rPr>
                <w:rFonts w:ascii="Times New Roman" w:hAnsi="Times New Roman"/>
                <w:sz w:val="17"/>
              </w:rPr>
              <w:t>0.865</w:t>
            </w:r>
          </w:p>
        </w:tc>
        <w:tc>
          <w:tcPr>
            <w:tcW w:type="dxa" w:w="1872"/>
          </w:tcPr>
          <w:p>
            <w:r>
              <w:rPr>
                <w:rFonts w:ascii="Times New Roman" w:hAnsi="Times New Roman"/>
                <w:sz w:val="17"/>
              </w:rPr>
              <w:t>0.889</w:t>
            </w:r>
          </w:p>
        </w:tc>
        <w:tc>
          <w:tcPr>
            <w:tcW w:type="dxa" w:w="1872"/>
          </w:tcPr>
          <w:p>
            <w:r>
              <w:rPr>
                <w:rFonts w:ascii="Times New Roman" w:hAnsi="Times New Roman"/>
                <w:sz w:val="17"/>
              </w:rPr>
              <w:t>0.877</w:t>
            </w:r>
          </w:p>
        </w:tc>
        <w:tc>
          <w:tcPr>
            <w:tcW w:type="dxa" w:w="1872"/>
          </w:tcPr>
          <w:p>
            <w:r>
              <w:rPr>
                <w:rFonts w:ascii="Times New Roman" w:hAnsi="Times New Roman"/>
                <w:sz w:val="17"/>
              </w:rPr>
              <w:t>72</w:t>
            </w:r>
          </w:p>
        </w:tc>
      </w:tr>
      <w:tr>
        <w:tc>
          <w:tcPr>
            <w:tcW w:type="dxa" w:w="1872"/>
          </w:tcPr>
          <w:p>
            <w:r>
              <w:rPr>
                <w:rFonts w:ascii="Times New Roman" w:hAnsi="Times New Roman"/>
                <w:sz w:val="17"/>
              </w:rPr>
              <w:t>Potato</w:t>
            </w:r>
          </w:p>
        </w:tc>
        <w:tc>
          <w:tcPr>
            <w:tcW w:type="dxa" w:w="1872"/>
          </w:tcPr>
          <w:p>
            <w:r>
              <w:rPr>
                <w:rFonts w:ascii="Times New Roman" w:hAnsi="Times New Roman"/>
                <w:sz w:val="17"/>
              </w:rPr>
              <w:t>0.873</w:t>
            </w:r>
          </w:p>
        </w:tc>
        <w:tc>
          <w:tcPr>
            <w:tcW w:type="dxa" w:w="1872"/>
          </w:tcPr>
          <w:p>
            <w:r>
              <w:rPr>
                <w:rFonts w:ascii="Times New Roman" w:hAnsi="Times New Roman"/>
                <w:sz w:val="17"/>
              </w:rPr>
              <w:t>0.867</w:t>
            </w:r>
          </w:p>
        </w:tc>
        <w:tc>
          <w:tcPr>
            <w:tcW w:type="dxa" w:w="1872"/>
          </w:tcPr>
          <w:p>
            <w:r>
              <w:rPr>
                <w:rFonts w:ascii="Times New Roman" w:hAnsi="Times New Roman"/>
                <w:sz w:val="17"/>
              </w:rPr>
              <w:t>0.870</w:t>
            </w:r>
          </w:p>
        </w:tc>
        <w:tc>
          <w:tcPr>
            <w:tcW w:type="dxa" w:w="1872"/>
          </w:tcPr>
          <w:p>
            <w:r>
              <w:rPr>
                <w:rFonts w:ascii="Times New Roman" w:hAnsi="Times New Roman"/>
                <w:sz w:val="17"/>
              </w:rPr>
              <w:t>60</w:t>
            </w:r>
          </w:p>
        </w:tc>
      </w:tr>
      <w:tr>
        <w:tc>
          <w:tcPr>
            <w:tcW w:type="dxa" w:w="1872"/>
          </w:tcPr>
          <w:p>
            <w:r>
              <w:rPr>
                <w:rFonts w:ascii="Times New Roman" w:hAnsi="Times New Roman"/>
                <w:sz w:val="17"/>
              </w:rPr>
              <w:t>Leafy Greens</w:t>
            </w:r>
          </w:p>
        </w:tc>
        <w:tc>
          <w:tcPr>
            <w:tcW w:type="dxa" w:w="1872"/>
          </w:tcPr>
          <w:p>
            <w:r>
              <w:rPr>
                <w:rFonts w:ascii="Times New Roman" w:hAnsi="Times New Roman"/>
                <w:sz w:val="17"/>
              </w:rPr>
              <w:t>0.857</w:t>
            </w:r>
          </w:p>
        </w:tc>
        <w:tc>
          <w:tcPr>
            <w:tcW w:type="dxa" w:w="1872"/>
          </w:tcPr>
          <w:p>
            <w:r>
              <w:rPr>
                <w:rFonts w:ascii="Times New Roman" w:hAnsi="Times New Roman"/>
                <w:sz w:val="17"/>
              </w:rPr>
              <w:t>0.844</w:t>
            </w:r>
          </w:p>
        </w:tc>
        <w:tc>
          <w:tcPr>
            <w:tcW w:type="dxa" w:w="1872"/>
          </w:tcPr>
          <w:p>
            <w:r>
              <w:rPr>
                <w:rFonts w:ascii="Times New Roman" w:hAnsi="Times New Roman"/>
                <w:sz w:val="17"/>
              </w:rPr>
              <w:t>0.850</w:t>
            </w:r>
          </w:p>
        </w:tc>
        <w:tc>
          <w:tcPr>
            <w:tcW w:type="dxa" w:w="1872"/>
          </w:tcPr>
          <w:p>
            <w:r>
              <w:rPr>
                <w:rFonts w:ascii="Times New Roman" w:hAnsi="Times New Roman"/>
                <w:sz w:val="17"/>
              </w:rPr>
              <w:t>45</w:t>
            </w:r>
          </w:p>
        </w:tc>
      </w:tr>
      <w:tr>
        <w:tc>
          <w:tcPr>
            <w:tcW w:type="dxa" w:w="1872"/>
          </w:tcPr>
          <w:p>
            <w:r>
              <w:rPr>
                <w:rFonts w:ascii="Times New Roman" w:hAnsi="Times New Roman"/>
                <w:sz w:val="17"/>
              </w:rPr>
              <w:t>Fallow / Background</w:t>
            </w:r>
          </w:p>
        </w:tc>
        <w:tc>
          <w:tcPr>
            <w:tcW w:type="dxa" w:w="1872"/>
          </w:tcPr>
          <w:p>
            <w:r>
              <w:rPr>
                <w:rFonts w:ascii="Times New Roman" w:hAnsi="Times New Roman"/>
                <w:sz w:val="17"/>
              </w:rPr>
              <w:t>0.967</w:t>
            </w:r>
          </w:p>
        </w:tc>
        <w:tc>
          <w:tcPr>
            <w:tcW w:type="dxa" w:w="1872"/>
          </w:tcPr>
          <w:p>
            <w:r>
              <w:rPr>
                <w:rFonts w:ascii="Times New Roman" w:hAnsi="Times New Roman"/>
                <w:sz w:val="17"/>
              </w:rPr>
              <w:t>0.967</w:t>
            </w:r>
          </w:p>
        </w:tc>
        <w:tc>
          <w:tcPr>
            <w:tcW w:type="dxa" w:w="1872"/>
          </w:tcPr>
          <w:p>
            <w:r>
              <w:rPr>
                <w:rFonts w:ascii="Times New Roman" w:hAnsi="Times New Roman"/>
                <w:sz w:val="17"/>
              </w:rPr>
              <w:t>0.967</w:t>
            </w:r>
          </w:p>
        </w:tc>
        <w:tc>
          <w:tcPr>
            <w:tcW w:type="dxa" w:w="1872"/>
          </w:tcPr>
          <w:p>
            <w:r>
              <w:rPr>
                <w:rFonts w:ascii="Times New Roman" w:hAnsi="Times New Roman"/>
                <w:sz w:val="17"/>
              </w:rPr>
              <w:t>30</w:t>
            </w:r>
          </w:p>
        </w:tc>
      </w:tr>
      <w:tr>
        <w:tc>
          <w:tcPr>
            <w:tcW w:type="dxa" w:w="1872"/>
          </w:tcPr>
          <w:p>
            <w:r>
              <w:rPr>
                <w:rFonts w:ascii="Times New Roman" w:hAnsi="Times New Roman"/>
                <w:sz w:val="17"/>
              </w:rPr>
              <w:t>Macro Average</w:t>
            </w:r>
          </w:p>
        </w:tc>
        <w:tc>
          <w:tcPr>
            <w:tcW w:type="dxa" w:w="1872"/>
          </w:tcPr>
          <w:p>
            <w:r>
              <w:rPr>
                <w:rFonts w:ascii="Times New Roman" w:hAnsi="Times New Roman"/>
                <w:sz w:val="17"/>
              </w:rPr>
              <w:t>0.891</w:t>
            </w:r>
          </w:p>
        </w:tc>
        <w:tc>
          <w:tcPr>
            <w:tcW w:type="dxa" w:w="1872"/>
          </w:tcPr>
          <w:p>
            <w:r>
              <w:rPr>
                <w:rFonts w:ascii="Times New Roman" w:hAnsi="Times New Roman"/>
                <w:sz w:val="17"/>
              </w:rPr>
              <w:t>0.888</w:t>
            </w:r>
          </w:p>
        </w:tc>
        <w:tc>
          <w:tcPr>
            <w:tcW w:type="dxa" w:w="1872"/>
          </w:tcPr>
          <w:p>
            <w:r>
              <w:rPr>
                <w:rFonts w:ascii="Times New Roman" w:hAnsi="Times New Roman"/>
                <w:sz w:val="17"/>
              </w:rPr>
              <w:t>0.889</w:t>
            </w:r>
          </w:p>
        </w:tc>
        <w:tc>
          <w:tcPr>
            <w:tcW w:type="dxa" w:w="1872"/>
          </w:tcPr>
          <w:p>
            <w:r>
              <w:rPr>
                <w:rFonts w:ascii="Times New Roman" w:hAnsi="Times New Roman"/>
                <w:sz w:val="17"/>
              </w:rPr>
              <w:t>287</w:t>
            </w:r>
          </w:p>
        </w:tc>
      </w:tr>
      <w:tr>
        <w:tc>
          <w:tcPr>
            <w:tcW w:type="dxa" w:w="1872"/>
          </w:tcPr>
          <w:p>
            <w:r>
              <w:rPr>
                <w:rFonts w:ascii="Times New Roman" w:hAnsi="Times New Roman"/>
                <w:sz w:val="17"/>
              </w:rPr>
              <w:t>Weighted Average</w:t>
            </w:r>
          </w:p>
        </w:tc>
        <w:tc>
          <w:tcPr>
            <w:tcW w:type="dxa" w:w="1872"/>
          </w:tcPr>
          <w:p>
            <w:r>
              <w:rPr>
                <w:rFonts w:ascii="Times New Roman" w:hAnsi="Times New Roman"/>
                <w:sz w:val="17"/>
              </w:rPr>
              <w:t>0.886</w:t>
            </w:r>
          </w:p>
        </w:tc>
        <w:tc>
          <w:tcPr>
            <w:tcW w:type="dxa" w:w="1872"/>
          </w:tcPr>
          <w:p>
            <w:r>
              <w:rPr>
                <w:rFonts w:ascii="Times New Roman" w:hAnsi="Times New Roman"/>
                <w:sz w:val="17"/>
              </w:rPr>
              <w:t>0.879</w:t>
            </w:r>
          </w:p>
        </w:tc>
        <w:tc>
          <w:tcPr>
            <w:tcW w:type="dxa" w:w="1872"/>
          </w:tcPr>
          <w:p>
            <w:r>
              <w:rPr>
                <w:rFonts w:ascii="Times New Roman" w:hAnsi="Times New Roman"/>
                <w:sz w:val="17"/>
              </w:rPr>
              <w:t>0.879</w:t>
            </w:r>
          </w:p>
        </w:tc>
        <w:tc>
          <w:tcPr>
            <w:tcW w:type="dxa" w:w="1872"/>
          </w:tcPr>
          <w:p>
            <w:r>
              <w:rPr>
                <w:rFonts w:ascii="Times New Roman" w:hAnsi="Times New Roman"/>
                <w:sz w:val="17"/>
              </w:rPr>
              <w:t>287</w:t>
            </w:r>
          </w:p>
        </w:tc>
      </w:tr>
    </w:tbl>
    <w:p>
      <w:pPr>
        <w:spacing w:after="120"/>
      </w:pPr>
    </w:p>
    <w:p>
      <w:pPr>
        <w:spacing w:line="276" w:lineRule="auto" w:after="100"/>
      </w:pPr>
      <w:r>
        <w:rPr>
          <w:rFonts w:ascii="Times New Roman" w:hAnsi="Times New Roman"/>
          <w:sz w:val="20"/>
        </w:rPr>
        <w:t>Confusion matrix analysis reveals that the primary misclassifications occur between early-stage leafy greens and emergent onion plots (where sparse canopy exposes similar soil background signatures). Potato and tomato canopies are cleanly separated using NDRE and RENDVI due to distinct chlorophyll saturation profiles at flowering.</w:t>
      </w:r>
    </w:p>
    <w:p>
      <w:pPr>
        <w:spacing w:before="200" w:after="40"/>
      </w:pPr>
      <w:r>
        <w:rPr>
          <w:rFonts w:ascii="Times New Roman" w:hAnsi="Times New Roman"/>
          <w:b/>
          <w:sz w:val="22"/>
        </w:rPr>
        <w:t>B. Feature Importance Ranking</w:t>
      </w:r>
    </w:p>
    <w:p>
      <w:pPr>
        <w:spacing w:line="276" w:lineRule="auto" w:after="100"/>
      </w:pPr>
      <w:r>
        <w:rPr>
          <w:rFonts w:ascii="Times New Roman" w:hAnsi="Times New Roman"/>
          <w:sz w:val="20"/>
        </w:rPr>
        <w:t>Feature importance analysis computed via mean decrease in impurity (MDI) indicates that the red-edge indices (NDRE and RENDVI) contribute the highest discriminatory power (accounting for over 18% of aggregate Gini reduction). Canopy water index (NDMI) and dense canopy indices (EVI, GNDVI) ranked prominently during vegetative peak, while Shortwave Infrared bands (B11, B12) provided decisive boundaries for distinguishing fallow land.</w:t>
      </w:r>
    </w:p>
    <w:p>
      <w:pPr>
        <w:spacing w:before="200" w:after="40"/>
      </w:pPr>
      <w:r>
        <w:rPr>
          <w:rFonts w:ascii="Times New Roman" w:hAnsi="Times New Roman"/>
          <w:b/>
          <w:sz w:val="22"/>
        </w:rPr>
        <w:t>C. Harvest Prediction Accuracy</w:t>
      </w:r>
    </w:p>
    <w:p>
      <w:pPr>
        <w:spacing w:line="276" w:lineRule="auto" w:after="100"/>
      </w:pPr>
      <w:r>
        <w:rPr>
          <w:rFonts w:ascii="Times New Roman" w:hAnsi="Times New Roman"/>
          <w:sz w:val="20"/>
        </w:rPr>
        <w:t>Evaluation of the phenological harvest turning-point model against 47 verified field harvest events demonstrated an overall Mean Absolute Error (MAE) of 6.3 days with a standard deviation of 4.1 days. Tomato achieved the lowest error (MAE 5.8 days), while onion exhibited slightly wider variance (MAE 6.9 days) due to market-opportunistic harvesting where farmers delay lifting bulbs based on prevailing mandi spot rates.</w:t>
      </w:r>
    </w:p>
    <w:p>
      <w:pPr>
        <w:spacing w:before="280" w:after="80"/>
      </w:pPr>
      <w:r>
        <w:rPr>
          <w:rFonts w:ascii="Times New Roman" w:hAnsi="Times New Roman"/>
          <w:b/>
          <w:sz w:val="26"/>
        </w:rPr>
        <w:t>VII. DISCUSSION, ETHICS &amp; LIMITATIONS</w:t>
      </w:r>
    </w:p>
    <w:p>
      <w:pPr>
        <w:spacing w:line="276" w:lineRule="auto" w:after="100"/>
      </w:pPr>
      <w:r>
        <w:rPr>
          <w:rFonts w:ascii="Times New Roman" w:hAnsi="Times New Roman"/>
          <w:sz w:val="20"/>
        </w:rPr>
        <w:t>A crucial risk in agricultural market advisory systems is the induced feedback loop: if thousands of cultivators receive identical alerts regarding an impending glut and concurrently withhold harvesting, they inadvertently create an artificial shortage followed by a synchronized secondary glut. NEYOGI mitigates this by providing localized, staggered advisories and highlighting cold storage economic viability (net gain calculations accounting for storage tariffs and price recovery probability) rather than prescribing uniform harvest halts.</w:t>
      </w:r>
    </w:p>
    <w:p>
      <w:pPr>
        <w:spacing w:line="276" w:lineRule="auto" w:after="100"/>
      </w:pPr>
      <w:r>
        <w:rPr>
          <w:rFonts w:ascii="Times New Roman" w:hAnsi="Times New Roman"/>
          <w:sz w:val="20"/>
        </w:rPr>
        <w:t>Under India's Digital Personal Data Protection (DPDP) Act 2023, farmer identity confidentiality is preserved by storing coordinates at anonymized village-centroid aggregates rather than cadastral owner names. Primary limitations include optical cloud attenuation during intense monsoon weeks (June–August), which will be addressed in Phase II via Sentinel-1 Synthetic Aperture Radar (SAR) cross-orbit fusion.</w:t>
      </w:r>
    </w:p>
    <w:p>
      <w:pPr>
        <w:spacing w:before="280" w:after="80"/>
      </w:pPr>
      <w:r>
        <w:rPr>
          <w:rFonts w:ascii="Times New Roman" w:hAnsi="Times New Roman"/>
          <w:b/>
          <w:sz w:val="26"/>
        </w:rPr>
        <w:t>VIII. CONCLUSION</w:t>
      </w:r>
    </w:p>
    <w:p>
      <w:pPr>
        <w:spacing w:line="276" w:lineRule="auto" w:after="100"/>
      </w:pPr>
      <w:r>
        <w:rPr>
          <w:rFonts w:ascii="Times New Roman" w:hAnsi="Times New Roman"/>
          <w:sz w:val="20"/>
        </w:rPr>
        <w:t>NEYOGI demonstrates that open-access satellite earth observation combined with machine learning can bridge the critical information gap in perishable vegetable supply chains. By moving beyond isolated crop mapping to formulate an integrated supply-to-demand flow model, the system delivers actionable early intelligence for market stabilization. Operating across Karnataka's key horticultural districts with 87.92% classification accuracy and 6.3-day harvest prediction error, the platform provides a scalable blueprint for minimizing post-harvest food discard and safeguarding smallholder farmer livelihoods.</w:t>
      </w:r>
    </w:p>
    <w:p>
      <w:pPr>
        <w:spacing w:before="280" w:after="80"/>
      </w:pPr>
      <w:r>
        <w:rPr>
          <w:rFonts w:ascii="Times New Roman" w:hAnsi="Times New Roman"/>
          <w:b/>
          <w:sz w:val="26"/>
        </w:rPr>
        <w:t>REFERENCES</w:t>
      </w:r>
    </w:p>
    <w:p>
      <w:pPr>
        <w:spacing w:line="252" w:lineRule="auto" w:after="60"/>
      </w:pPr>
      <w:r>
        <w:rPr>
          <w:rFonts w:ascii="Times New Roman" w:hAnsi="Times New Roman"/>
          <w:sz w:val="17"/>
        </w:rPr>
        <w:t>[1] M. Belgiu and O. Csillik, 'Sentinel-2 cropland mapping using pixel-based and object-based time-weighted dynamic time warping analysis,' Remote Sensing of Environment, vol. 204, pp. 509–523, 2018.</w:t>
      </w:r>
    </w:p>
    <w:p>
      <w:pPr>
        <w:spacing w:line="252" w:lineRule="auto" w:after="60"/>
      </w:pPr>
      <w:r>
        <w:rPr>
          <w:rFonts w:ascii="Times New Roman" w:hAnsi="Times New Roman"/>
          <w:sz w:val="17"/>
        </w:rPr>
        <w:t>[2] N. Kussul, M. Lavreniuk, S. Skakun, and A. Shelestov, 'Deep learning classification of land cover and crop types using remote sensing data,' IEEE Geoscience and Remote Sensing Letters, vol. 14, no. 5, pp. 778–782, 2017.</w:t>
      </w:r>
    </w:p>
    <w:p>
      <w:pPr>
        <w:spacing w:line="252" w:lineRule="auto" w:after="60"/>
      </w:pPr>
      <w:r>
        <w:rPr>
          <w:rFonts w:ascii="Times New Roman" w:hAnsi="Times New Roman"/>
          <w:sz w:val="17"/>
        </w:rPr>
        <w:t>[3] M. Immitzer, F. Vuolo, and C. Atzberger, 'First experience with Sentinel-2 data for crop and tree species classifications in central Europe,' Remote Sensing, vol. 8, no. 3, p. 166, 2016.</w:t>
      </w:r>
    </w:p>
    <w:p>
      <w:pPr>
        <w:spacing w:line="252" w:lineRule="auto" w:after="60"/>
      </w:pPr>
      <w:r>
        <w:rPr>
          <w:rFonts w:ascii="Times New Roman" w:hAnsi="Times New Roman"/>
          <w:sz w:val="17"/>
        </w:rPr>
        <w:t>[4] L. Zhong, L. Hu, and H. Zhou, 'Deep learning based multi-temporal crop classification,' Remote Sensing of Environment, vol. 221, pp. 430–443, 2019.</w:t>
      </w:r>
    </w:p>
    <w:p>
      <w:pPr>
        <w:spacing w:line="252" w:lineRule="auto" w:after="60"/>
      </w:pPr>
      <w:r>
        <w:rPr>
          <w:rFonts w:ascii="Times New Roman" w:hAnsi="Times New Roman"/>
          <w:sz w:val="17"/>
        </w:rPr>
        <w:t>[5] J. W. Rouse, R. H. Haas, J. A. Schell, and D. W. Deering, 'Monitoring vegetation systems in the Great Plains with ERTS,' in Proc. 3rd ERTS Symposium, NASA, 1974, pp. 309–317.</w:t>
      </w:r>
    </w:p>
    <w:p>
      <w:pPr>
        <w:spacing w:line="252" w:lineRule="auto" w:after="60"/>
      </w:pPr>
      <w:r>
        <w:rPr>
          <w:rFonts w:ascii="Times New Roman" w:hAnsi="Times New Roman"/>
          <w:sz w:val="17"/>
        </w:rPr>
        <w:t>[6] A. Huete, K. Didan, T. Miura, E. P. Rodriguez, X. Gao, and L. G. Ferreira, 'Overview of the radiometric and biophysical performance of the MODIS vegetation indices,' Remote Sensing of Environment, vol. 83, no. 1–2, pp. 195–213, 2002.</w:t>
      </w:r>
    </w:p>
    <w:p>
      <w:pPr>
        <w:spacing w:line="252" w:lineRule="auto" w:after="60"/>
      </w:pPr>
      <w:r>
        <w:rPr>
          <w:rFonts w:ascii="Times New Roman" w:hAnsi="Times New Roman"/>
          <w:sz w:val="17"/>
        </w:rPr>
        <w:t>[7] B. C. Gao, 'NDWI: A normalized difference water index for remote sensing of vegetation liquid water from space,' Remote Sensing of Environment, vol. 58, no. 3, pp. 257–266, 1996.</w:t>
      </w:r>
    </w:p>
    <w:p>
      <w:pPr>
        <w:spacing w:line="252" w:lineRule="auto" w:after="60"/>
      </w:pPr>
      <w:r>
        <w:rPr>
          <w:rFonts w:ascii="Times New Roman" w:hAnsi="Times New Roman"/>
          <w:sz w:val="17"/>
        </w:rPr>
        <w:t>[8] A. R. Huete, 'A soil-adjusted vegetation index (SAVI),' Remote Sensing of Environment, vol. 25, no. 3, pp. 295–309, 1988.</w:t>
      </w:r>
    </w:p>
    <w:p>
      <w:pPr>
        <w:spacing w:line="252" w:lineRule="auto" w:after="60"/>
      </w:pPr>
      <w:r>
        <w:rPr>
          <w:rFonts w:ascii="Times New Roman" w:hAnsi="Times New Roman"/>
          <w:sz w:val="17"/>
        </w:rPr>
        <w:t>[9] A. A. Gitelson and M. N. Merzlyak, 'Spectral reflectance changes associated with autumn senescence of Aesculus hippocastanum L. and Acer platanoides L. leaves,' Journal of Plant Physiology, vol. 143, no. 3, pp. 286–292, 1994.</w:t>
      </w:r>
    </w:p>
    <w:p>
      <w:pPr>
        <w:spacing w:line="252" w:lineRule="auto" w:after="60"/>
      </w:pPr>
      <w:r>
        <w:rPr>
          <w:rFonts w:ascii="Times New Roman" w:hAnsi="Times New Roman"/>
          <w:sz w:val="17"/>
        </w:rPr>
        <w:t>[10] A. A. Gitelson, Y. Gritz, and M. N. Merzlyak, 'Relationships between leaf chlorophyll content and spectral reflectance and algorithms for non-destructive chlorophyll assessment in higher plant leaves,' Journal of Plant Physiology, vol. 160, no. 3, pp. 271–282, 2003.</w:t>
      </w:r>
    </w:p>
    <w:p>
      <w:pPr>
        <w:spacing w:line="252" w:lineRule="auto" w:after="60"/>
      </w:pPr>
      <w:r>
        <w:rPr>
          <w:rFonts w:ascii="Times New Roman" w:hAnsi="Times New Roman"/>
          <w:sz w:val="17"/>
        </w:rPr>
        <w:t>[11] X. Xiao et al., 'Modeling gross primary production of temperate deciduous broadleaf forest using satellite images and climate data,' Remote Sensing of Environment, vol. 91, no. 2, pp. 256–270, 2004.</w:t>
      </w:r>
    </w:p>
    <w:p>
      <w:pPr>
        <w:spacing w:line="252" w:lineRule="auto" w:after="60"/>
      </w:pPr>
      <w:r>
        <w:rPr>
          <w:rFonts w:ascii="Times New Roman" w:hAnsi="Times New Roman"/>
          <w:sz w:val="17"/>
        </w:rPr>
        <w:t>[12] S. K. McFeeters, 'The use of the normalized difference water index (NDWI) in the delineation of open water features,' International Journal of Remote Sensing, vol. 17, no. 7, pp. 1425–1432, 1996.</w:t>
      </w:r>
    </w:p>
    <w:p>
      <w:pPr>
        <w:spacing w:line="252" w:lineRule="auto" w:after="60"/>
      </w:pPr>
      <w:r>
        <w:rPr>
          <w:rFonts w:ascii="Times New Roman" w:hAnsi="Times New Roman"/>
          <w:sz w:val="17"/>
        </w:rPr>
        <w:t>[13] A. Rikimaru, P. S. Roy, and S. Miyatake, 'Tropical forest cover density mapping,' Tropical Ecology, vol. 43, no. 1, pp. 39–47, 2002.</w:t>
      </w:r>
    </w:p>
    <w:p>
      <w:pPr>
        <w:spacing w:line="252" w:lineRule="auto" w:after="60"/>
      </w:pPr>
      <w:r>
        <w:rPr>
          <w:rFonts w:ascii="Times New Roman" w:hAnsi="Times New Roman"/>
          <w:sz w:val="17"/>
        </w:rPr>
        <w:t>[14] I. Filella and J. Penuelas, 'The red edge position and shape as indicators of plant chlorophyll content, biomass and hydric status,' International Journal of Remote Sensing, vol. 15, no. 7, pp. 1459–1470, 1994.</w:t>
      </w:r>
    </w:p>
    <w:p>
      <w:pPr>
        <w:spacing w:line="252" w:lineRule="auto" w:after="60"/>
      </w:pPr>
      <w:r>
        <w:rPr>
          <w:rFonts w:ascii="Times New Roman" w:hAnsi="Times New Roman"/>
          <w:sz w:val="17"/>
        </w:rPr>
        <w:t>[15] L. Breiman, 'Random forests,' Machine Learning, vol. 45, no. 1, pp. 5–32, 2001.</w:t>
      </w:r>
    </w:p>
    <w:p>
      <w:pPr>
        <w:spacing w:line="252" w:lineRule="auto" w:after="60"/>
      </w:pPr>
      <w:r>
        <w:rPr>
          <w:rFonts w:ascii="Times New Roman" w:hAnsi="Times New Roman"/>
          <w:sz w:val="17"/>
        </w:rPr>
        <w:t>[16] European Space Agency, 'Sentinel-2 MSI: Multispectral Instrument, Level-2A,' Google Earth Engine Data Catalog, 2023.</w:t>
      </w:r>
    </w:p>
    <w:p>
      <w:pPr>
        <w:spacing w:line="252" w:lineRule="auto" w:after="60"/>
      </w:pPr>
      <w:r>
        <w:rPr>
          <w:rFonts w:ascii="Times New Roman" w:hAnsi="Times New Roman"/>
          <w:sz w:val="17"/>
        </w:rPr>
        <w:t>[17] Ministry of Agriculture and Farmers Welfare, 'Horticulture Statistics at a Glance 2022,' Government of India, 2022.</w:t>
      </w:r>
    </w:p>
    <w:p>
      <w:pPr>
        <w:spacing w:line="252" w:lineRule="auto" w:after="60"/>
      </w:pPr>
      <w:r>
        <w:rPr>
          <w:rFonts w:ascii="Times New Roman" w:hAnsi="Times New Roman"/>
          <w:sz w:val="17"/>
        </w:rPr>
        <w:t>[18] Karnataka State Department of Agriculture, 'Agricultural Statistics at a Glance: Karnataka 2023–24,' Government of Karnataka,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