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FF8C61"/>
          <w:spacing w:val="16"/>
          <w:sz w:val="16"/>
          <w:szCs w:val="16"/>
        </w:rPr>
        <w:t xml:space="preserve">PROJECT REPORT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1295C"/>
          <w:sz w:val="44"/>
          <w:szCs w:val="44"/>
        </w:rPr>
        <w:t xml:space="preserve">Personal AI Agent</w:t>
      </w:r>
    </w:p>
    <w:p>
      <w:pPr>
        <w:pBdr>
          <w:bottom w:val="single" w:color="21295C" w:sz="10" w:space="6"/>
        </w:pBdr>
        <w:tabs>
          <w:tab w:val="right" w:pos="9026"/>
        </w:tabs>
        <w:spacing w:after="140"/>
      </w:pPr>
      <w:r>
        <w:rPr>
          <w:rFonts w:ascii="Calibri" w:cs="Calibri" w:eastAsia="Calibri" w:hAnsi="Calibri"/>
          <w:color w:val="5B6785"/>
          <w:sz w:val="18"/>
          <w:szCs w:val="18"/>
        </w:rPr>
        <w:t xml:space="preserve">AI-powered, resume-aware interview practice platform</w:t>
      </w:r>
      <w:r>
        <w:rPr>
          <w:rFonts w:ascii="Calibri" w:cs="Calibri" w:eastAsia="Calibri" w:hAnsi="Calibri"/>
          <w:color w:val="5B6785"/>
          <w:sz w:val="16"/>
          <w:szCs w:val="16"/>
        </w:rPr>
        <w:t xml:space="preserve">	Prepared by Manoj  |  July 2026</w:t>
      </w:r>
    </w:p>
    <w:tbl>
      <w:tblPr>
        <w:tblW w:type="dxa" w:w="104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0"/>
        <w:gridCol w:w="5250"/>
      </w:tblGrid>
      <w:tr>
        <w:tc>
          <w:tcPr>
            <w:tcW w:type="dxa" w:w="5200"/>
            <w:tcMar>
              <w:right w:type="dxa" w:w="220"/>
            </w:tcMar>
          </w:tcPr>
          <w:p>
            <w:pPr>
              <w:pBdr>
                <w:bottom w:val="single" w:color="1C7293" w:sz="4" w:space="2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C7293"/>
                <w:spacing w:val="12"/>
                <w:sz w:val="19"/>
                <w:szCs w:val="19"/>
              </w:rPr>
              <w:t xml:space="preserve">PROJECT OVERVIEW</w:t>
            </w:r>
          </w:p>
          <w:p>
            <w:pPr>
              <w:spacing w:after="90" w:line="264"/>
            </w:pPr>
            <w:r>
              <w:rPr>
                <w:rFonts w:ascii="Calibri" w:cs="Calibri" w:eastAsia="Calibri" w:hAnsi="Calibri"/>
                <w:color w:val="1B2138"/>
                <w:sz w:val="18"/>
                <w:szCs w:val="18"/>
              </w:rPr>
              <w:t xml:space="preserve">Personal AI Agent is a resume-aware interview practice platform built with Flask. Candidates upload a resume (PDF, DOCX, or TXT), and the app extracts a structured profile — skills, education, projects, and experience — to personalize a live mock-interview session.</w:t>
            </w:r>
          </w:p>
          <w:p>
            <w:pPr>
              <w:spacing w:after="90" w:line="264"/>
            </w:pPr>
            <w:r>
              <w:rPr>
                <w:rFonts w:ascii="Calibri" w:cs="Calibri" w:eastAsia="Calibri" w:hAnsi="Calibri"/>
                <w:color w:val="1B2138"/>
                <w:sz w:val="18"/>
                <w:szCs w:val="18"/>
              </w:rPr>
              <w:t xml:space="preserve">During practice, the app captures a running transcript of the conversation and generates candidate-style answers grounded strictly in resume facts, using the OpenAI API or a rule-based fallback when no key is configured.</w:t>
            </w:r>
          </w:p>
          <w:p>
            <w:pPr>
              <w:pBdr>
                <w:bottom w:val="single" w:color="1C7293" w:sz="4" w:space="2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C7293"/>
                <w:spacing w:val="12"/>
                <w:sz w:val="19"/>
                <w:szCs w:val="19"/>
              </w:rPr>
              <w:t xml:space="preserve">KEY FEATURES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FF8C61"/>
                <w:sz w:val="15"/>
                <w:szCs w:val="15"/>
              </w:rPr>
              <w:t xml:space="preserve">●  </w:t>
            </w:r>
            <w:r>
              <w:rPr>
                <w:rFonts w:ascii="Calibri" w:cs="Calibri" w:eastAsia="Calibri" w:hAnsi="Calibri"/>
                <w:color w:val="1B2138"/>
                <w:sz w:val="18"/>
                <w:szCs w:val="18"/>
              </w:rPr>
              <w:t xml:space="preserve">Resume parsing into name, skills, education, experience, projects, and certifications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FF8C61"/>
                <w:sz w:val="15"/>
                <w:szCs w:val="15"/>
              </w:rPr>
              <w:t xml:space="preserve">●  </w:t>
            </w:r>
            <w:r>
              <w:rPr>
                <w:rFonts w:ascii="Calibri" w:cs="Calibri" w:eastAsia="Calibri" w:hAnsi="Calibri"/>
                <w:color w:val="1B2138"/>
                <w:sz w:val="18"/>
                <w:szCs w:val="18"/>
              </w:rPr>
              <w:t xml:space="preserve">Live, timestamped transcript with speaker identification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FF8C61"/>
                <w:sz w:val="15"/>
                <w:szCs w:val="15"/>
              </w:rPr>
              <w:t xml:space="preserve">●  </w:t>
            </w:r>
            <w:r>
              <w:rPr>
                <w:rFonts w:ascii="Calibri" w:cs="Calibri" w:eastAsia="Calibri" w:hAnsi="Calibri"/>
                <w:color w:val="1B2138"/>
                <w:sz w:val="18"/>
                <w:szCs w:val="18"/>
              </w:rPr>
              <w:t xml:space="preserve">Resume-grounded AI answer generation (no invented experience)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FF8C61"/>
                <w:sz w:val="15"/>
                <w:szCs w:val="15"/>
              </w:rPr>
              <w:t xml:space="preserve">●  </w:t>
            </w:r>
            <w:r>
              <w:rPr>
                <w:rFonts w:ascii="Calibri" w:cs="Calibri" w:eastAsia="Calibri" w:hAnsi="Calibri"/>
                <w:color w:val="1B2138"/>
                <w:sz w:val="18"/>
                <w:szCs w:val="18"/>
              </w:rPr>
              <w:t xml:space="preserve">Runs as a local web app or a packaged Windows desktop app (pywebview)</w:t>
            </w:r>
          </w:p>
        </w:tc>
        <w:tc>
          <w:tcPr>
            <w:tcW w:type="dxa" w:w="5250"/>
            <w:tcMar>
              <w:left w:type="dxa" w:w="220"/>
            </w:tcMar>
          </w:tcPr>
          <w:p>
            <w:pPr>
              <w:pBdr>
                <w:bottom w:val="single" w:color="FF8C61" w:sz="4" w:space="2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FF8C61"/>
                <w:spacing w:val="12"/>
                <w:sz w:val="19"/>
                <w:szCs w:val="19"/>
              </w:rPr>
              <w:t xml:space="preserve">TECH STACK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FF8C61"/>
                <w:sz w:val="15"/>
                <w:szCs w:val="15"/>
              </w:rPr>
              <w:t xml:space="preserve">●  </w:t>
            </w:r>
            <w:r>
              <w:rPr>
                <w:rFonts w:ascii="Calibri" w:cs="Calibri" w:eastAsia="Calibri" w:hAnsi="Calibri"/>
                <w:color w:val="1B2138"/>
                <w:sz w:val="18"/>
                <w:szCs w:val="18"/>
              </w:rPr>
              <w:t xml:space="preserve">Flask — backend &amp; routing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FF8C61"/>
                <w:sz w:val="15"/>
                <w:szCs w:val="15"/>
              </w:rPr>
              <w:t xml:space="preserve">●  </w:t>
            </w:r>
            <w:r>
              <w:rPr>
                <w:rFonts w:ascii="Calibri" w:cs="Calibri" w:eastAsia="Calibri" w:hAnsi="Calibri"/>
                <w:color w:val="1B2138"/>
                <w:sz w:val="18"/>
                <w:szCs w:val="18"/>
              </w:rPr>
              <w:t xml:space="preserve">OpenAI API — gpt-3.5-turbo response generation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FF8C61"/>
                <w:sz w:val="15"/>
                <w:szCs w:val="15"/>
              </w:rPr>
              <w:t xml:space="preserve">●  </w:t>
            </w:r>
            <w:r>
              <w:rPr>
                <w:rFonts w:ascii="Calibri" w:cs="Calibri" w:eastAsia="Calibri" w:hAnsi="Calibri"/>
                <w:color w:val="1B2138"/>
                <w:sz w:val="18"/>
                <w:szCs w:val="18"/>
              </w:rPr>
              <w:t xml:space="preserve">pdfplumber / python-docx — resume parsing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FF8C61"/>
                <w:sz w:val="15"/>
                <w:szCs w:val="15"/>
              </w:rPr>
              <w:t xml:space="preserve">●  </w:t>
            </w:r>
            <w:r>
              <w:rPr>
                <w:rFonts w:ascii="Calibri" w:cs="Calibri" w:eastAsia="Calibri" w:hAnsi="Calibri"/>
                <w:color w:val="1B2138"/>
                <w:sz w:val="18"/>
                <w:szCs w:val="18"/>
              </w:rPr>
              <w:t xml:space="preserve">pywebview + PyInstaller — desktop packaging</w:t>
            </w:r>
          </w:p>
          <w:p>
            <w:pPr>
              <w:pBdr>
                <w:bottom w:val="single" w:color="FF8C61" w:sz="4" w:space="2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FF8C61"/>
                <w:spacing w:val="12"/>
                <w:sz w:val="19"/>
                <w:szCs w:val="19"/>
              </w:rPr>
              <w:t xml:space="preserve">DEVELOPMENT STATUS</w:t>
            </w:r>
          </w:p>
          <w:tbl>
            <w:tblPr>
              <w:tblW w:type="dxa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2600"/>
              <w:gridCol w:w="1200"/>
            </w:tblGrid>
            <w:tr>
              <w:trPr>
                <w:tblHeader/>
              </w:trPr>
              <w:tc>
                <w:tcPr>
                  <w:tcW w:type="dxa" w:w="1200"/>
                  <w:shd w:fill="21295C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5"/>
                      <w:szCs w:val="15"/>
                    </w:rPr>
                    <w:t xml:space="preserve">Phase</w:t>
                  </w:r>
                </w:p>
              </w:tc>
              <w:tc>
                <w:tcPr>
                  <w:tcW w:type="dxa" w:w="2600"/>
                  <w:shd w:fill="21295C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5"/>
                      <w:szCs w:val="15"/>
                    </w:rPr>
                    <w:t xml:space="preserve">Focus</w:t>
                  </w:r>
                </w:p>
              </w:tc>
              <w:tc>
                <w:tcPr>
                  <w:tcW w:type="dxa" w:w="1200"/>
                  <w:shd w:fill="21295C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5"/>
                      <w:szCs w:val="15"/>
                    </w:rPr>
                    <w:t xml:space="preserve">Status</w:t>
                  </w:r>
                </w:p>
              </w:tc>
            </w:tr>
            <w:tr>
              <w:tc>
                <w:tcPr>
                  <w:tcW w:type="dxa" w:w="1200"/>
                  <w:shd w:fill="F2F5FA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65A82"/>
                      <w:sz w:val="15"/>
                      <w:szCs w:val="15"/>
                    </w:rPr>
                    <w:t xml:space="preserve">Phase 1.5</w:t>
                  </w:r>
                </w:p>
              </w:tc>
              <w:tc>
                <w:tcPr>
                  <w:tcW w:type="dxa" w:w="2600"/>
                  <w:shd w:fill="F2F5FA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B2138"/>
                      <w:sz w:val="15"/>
                      <w:szCs w:val="15"/>
                    </w:rPr>
                    <w:t xml:space="preserve">Resume Upload</w:t>
                  </w:r>
                </w:p>
              </w:tc>
              <w:tc>
                <w:tcPr>
                  <w:tcW w:type="dxa" w:w="1200"/>
                  <w:shd w:fill="F2F5FA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E8A6E"/>
                      <w:sz w:val="15"/>
                      <w:szCs w:val="15"/>
                    </w:rPr>
                    <w:t xml:space="preserve">Complete</w:t>
                  </w:r>
                </w:p>
              </w:tc>
            </w:tr>
            <w:tr>
              <w:tc>
                <w:tcPr>
                  <w:tcW w:type="dxa" w:w="1200"/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65A82"/>
                      <w:sz w:val="15"/>
                      <w:szCs w:val="15"/>
                    </w:rPr>
                    <w:t xml:space="preserve">Phase 1</w:t>
                  </w:r>
                </w:p>
              </w:tc>
              <w:tc>
                <w:tcPr>
                  <w:tcW w:type="dxa" w:w="2600"/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B2138"/>
                      <w:sz w:val="15"/>
                      <w:szCs w:val="15"/>
                    </w:rPr>
                    <w:t xml:space="preserve">Transcript Display</w:t>
                  </w:r>
                </w:p>
              </w:tc>
              <w:tc>
                <w:tcPr>
                  <w:tcW w:type="dxa" w:w="1200"/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E8A6E"/>
                      <w:sz w:val="15"/>
                      <w:szCs w:val="15"/>
                    </w:rPr>
                    <w:t xml:space="preserve">Complete</w:t>
                  </w:r>
                </w:p>
              </w:tc>
            </w:tr>
            <w:tr>
              <w:tc>
                <w:tcPr>
                  <w:tcW w:type="dxa" w:w="1200"/>
                  <w:shd w:fill="F2F5FA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65A82"/>
                      <w:sz w:val="15"/>
                      <w:szCs w:val="15"/>
                    </w:rPr>
                    <w:t xml:space="preserve">Phase 2</w:t>
                  </w:r>
                </w:p>
              </w:tc>
              <w:tc>
                <w:tcPr>
                  <w:tcW w:type="dxa" w:w="2600"/>
                  <w:shd w:fill="F2F5FA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B2138"/>
                      <w:sz w:val="15"/>
                      <w:szCs w:val="15"/>
                    </w:rPr>
                    <w:t xml:space="preserve">Question Detection</w:t>
                  </w:r>
                </w:p>
              </w:tc>
              <w:tc>
                <w:tcPr>
                  <w:tcW w:type="dxa" w:w="1200"/>
                  <w:shd w:fill="F2F5FA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B6785"/>
                      <w:sz w:val="15"/>
                      <w:szCs w:val="15"/>
                    </w:rPr>
                    <w:t xml:space="preserve">Planned</w:t>
                  </w:r>
                </w:p>
              </w:tc>
            </w:tr>
            <w:tr>
              <w:tc>
                <w:tcPr>
                  <w:tcW w:type="dxa" w:w="1200"/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65A82"/>
                      <w:sz w:val="15"/>
                      <w:szCs w:val="15"/>
                    </w:rPr>
                    <w:t xml:space="preserve">Phase 3</w:t>
                  </w:r>
                </w:p>
              </w:tc>
              <w:tc>
                <w:tcPr>
                  <w:tcW w:type="dxa" w:w="2600"/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B2138"/>
                      <w:sz w:val="15"/>
                      <w:szCs w:val="15"/>
                    </w:rPr>
                    <w:t xml:space="preserve">Answer Generation</w:t>
                  </w:r>
                </w:p>
              </w:tc>
              <w:tc>
                <w:tcPr>
                  <w:tcW w:type="dxa" w:w="1200"/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B6785"/>
                      <w:sz w:val="15"/>
                      <w:szCs w:val="15"/>
                    </w:rPr>
                    <w:t xml:space="preserve">Planned</w:t>
                  </w:r>
                </w:p>
              </w:tc>
            </w:tr>
            <w:tr>
              <w:tc>
                <w:tcPr>
                  <w:tcW w:type="dxa" w:w="1200"/>
                  <w:shd w:fill="F2F5FA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65A82"/>
                      <w:sz w:val="15"/>
                      <w:szCs w:val="15"/>
                    </w:rPr>
                    <w:t xml:space="preserve">Phase 5</w:t>
                  </w:r>
                </w:p>
              </w:tc>
              <w:tc>
                <w:tcPr>
                  <w:tcW w:type="dxa" w:w="2600"/>
                  <w:shd w:fill="F2F5FA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B2138"/>
                      <w:sz w:val="15"/>
                      <w:szCs w:val="15"/>
                    </w:rPr>
                    <w:t xml:space="preserve">Dashboard &amp; Analytics</w:t>
                  </w:r>
                </w:p>
              </w:tc>
              <w:tc>
                <w:tcPr>
                  <w:tcW w:type="dxa" w:w="1200"/>
                  <w:shd w:fill="F2F5FA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B6785"/>
                      <w:sz w:val="15"/>
                      <w:szCs w:val="15"/>
                    </w:rPr>
                    <w:t xml:space="preserve">Planned</w:t>
                  </w:r>
                </w:p>
              </w:tc>
            </w:tr>
            <w:tr>
              <w:tc>
                <w:tcPr>
                  <w:tcW w:type="dxa" w:w="1200"/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65A82"/>
                      <w:sz w:val="15"/>
                      <w:szCs w:val="15"/>
                    </w:rPr>
                    <w:t xml:space="preserve">Phase 6</w:t>
                  </w:r>
                </w:p>
              </w:tc>
              <w:tc>
                <w:tcPr>
                  <w:tcW w:type="dxa" w:w="2600"/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B2138"/>
                      <w:sz w:val="15"/>
                      <w:szCs w:val="15"/>
                    </w:rPr>
                    <w:t xml:space="preserve">UI Polish</w:t>
                  </w:r>
                </w:p>
              </w:tc>
              <w:tc>
                <w:tcPr>
                  <w:tcW w:type="dxa" w:w="1200"/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B6785"/>
                      <w:sz w:val="15"/>
                      <w:szCs w:val="15"/>
                    </w:rPr>
                    <w:t xml:space="preserve">Planned</w:t>
                  </w:r>
                </w:p>
              </w:tc>
            </w:tr>
            <w:tr>
              <w:tc>
                <w:tcPr>
                  <w:tcW w:type="dxa" w:w="1200"/>
                  <w:shd w:fill="F2F5FA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65A82"/>
                      <w:sz w:val="15"/>
                      <w:szCs w:val="15"/>
                    </w:rPr>
                    <w:t xml:space="preserve">Phase 7</w:t>
                  </w:r>
                </w:p>
              </w:tc>
              <w:tc>
                <w:tcPr>
                  <w:tcW w:type="dxa" w:w="2600"/>
                  <w:shd w:fill="F2F5FA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B2138"/>
                      <w:sz w:val="15"/>
                      <w:szCs w:val="15"/>
                    </w:rPr>
                    <w:t xml:space="preserve">Deployment</w:t>
                  </w:r>
                </w:p>
              </w:tc>
              <w:tc>
                <w:tcPr>
                  <w:tcW w:type="dxa" w:w="1200"/>
                  <w:shd w:fill="F2F5FA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B6785"/>
                      <w:sz w:val="15"/>
                      <w:szCs w:val="15"/>
                    </w:rPr>
                    <w:t xml:space="preserve">Planned</w:t>
                  </w:r>
                </w:p>
              </w:tc>
            </w:tr>
          </w:tbl>
          <w:p/>
        </w:tc>
      </w:tr>
    </w:tbl>
    <w:p>
      <w:pPr>
        <w:pBdr>
          <w:bottom w:val="single" w:color="1C7293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C7293"/>
          <w:spacing w:val="12"/>
          <w:sz w:val="19"/>
          <w:szCs w:val="19"/>
        </w:rPr>
        <w:t xml:space="preserve">REFERENCES &amp; TOOLS USED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65A82"/>
          <w:sz w:val="16"/>
          <w:szCs w:val="16"/>
        </w:rPr>
        <w:t xml:space="preserve">ChatGPT</w:t>
      </w:r>
      <w:r>
        <w:rPr>
          <w:rFonts w:ascii="Calibri" w:cs="Calibri" w:eastAsia="Calibri" w:hAnsi="Calibri"/>
          <w:color w:val="5B6785"/>
          <w:sz w:val="16"/>
          <w:szCs w:val="16"/>
        </w:rPr>
        <w:t xml:space="preserve">  (coding assistance)   ·   </w:t>
      </w:r>
      <w:r>
        <w:rPr>
          <w:rFonts w:ascii="Calibri" w:cs="Calibri" w:eastAsia="Calibri" w:hAnsi="Calibri"/>
          <w:b/>
          <w:bCs/>
          <w:color w:val="065A82"/>
          <w:sz w:val="16"/>
          <w:szCs w:val="16"/>
        </w:rPr>
        <w:t xml:space="preserve">Claude</w:t>
      </w:r>
      <w:r>
        <w:rPr>
          <w:rFonts w:ascii="Calibri" w:cs="Calibri" w:eastAsia="Calibri" w:hAnsi="Calibri"/>
          <w:color w:val="5B6785"/>
          <w:sz w:val="16"/>
          <w:szCs w:val="16"/>
        </w:rPr>
        <w:t xml:space="preserve">  (reasoning &amp; docs)   ·   </w:t>
      </w:r>
      <w:r>
        <w:rPr>
          <w:rFonts w:ascii="Calibri" w:cs="Calibri" w:eastAsia="Calibri" w:hAnsi="Calibri"/>
          <w:b/>
          <w:bCs/>
          <w:color w:val="065A82"/>
          <w:sz w:val="16"/>
          <w:szCs w:val="16"/>
        </w:rPr>
        <w:t xml:space="preserve">Perplexity</w:t>
      </w:r>
      <w:r>
        <w:rPr>
          <w:rFonts w:ascii="Calibri" w:cs="Calibri" w:eastAsia="Calibri" w:hAnsi="Calibri"/>
          <w:color w:val="5B6785"/>
          <w:sz w:val="16"/>
          <w:szCs w:val="16"/>
        </w:rPr>
        <w:t xml:space="preserve">  (research)   ·   </w:t>
      </w:r>
      <w:r>
        <w:rPr>
          <w:rFonts w:ascii="Calibri" w:cs="Calibri" w:eastAsia="Calibri" w:hAnsi="Calibri"/>
          <w:b/>
          <w:bCs/>
          <w:color w:val="065A82"/>
          <w:sz w:val="16"/>
          <w:szCs w:val="16"/>
        </w:rPr>
        <w:t xml:space="preserve">OpenAI API</w:t>
      </w:r>
      <w:r>
        <w:rPr>
          <w:rFonts w:ascii="Calibri" w:cs="Calibri" w:eastAsia="Calibri" w:hAnsi="Calibri"/>
          <w:color w:val="5B6785"/>
          <w:sz w:val="16"/>
          <w:szCs w:val="16"/>
        </w:rPr>
        <w:t xml:space="preserve">  (model backend)   ·   </w:t>
      </w:r>
      <w:r>
        <w:rPr>
          <w:rFonts w:ascii="Calibri" w:cs="Calibri" w:eastAsia="Calibri" w:hAnsi="Calibri"/>
          <w:b/>
          <w:bCs/>
          <w:color w:val="065A82"/>
          <w:sz w:val="16"/>
          <w:szCs w:val="16"/>
        </w:rPr>
        <w:t xml:space="preserve">VS Code</w:t>
      </w:r>
      <w:r>
        <w:rPr>
          <w:rFonts w:ascii="Calibri" w:cs="Calibri" w:eastAsia="Calibri" w:hAnsi="Calibri"/>
          <w:color w:val="5B6785"/>
          <w:sz w:val="16"/>
          <w:szCs w:val="16"/>
        </w:rPr>
        <w:t xml:space="preserve">  (development editor)</w:t>
      </w:r>
    </w:p>
    <w:p>
      <w:pPr>
        <w:spacing w:before="60"/>
      </w:pPr>
      <w:r>
        <w:rPr>
          <w:rFonts w:ascii="Calibri" w:cs="Calibri" w:eastAsia="Calibri" w:hAnsi="Calibri"/>
          <w:color w:val="5B6785"/>
          <w:sz w:val="13"/>
          <w:szCs w:val="13"/>
        </w:rPr>
        <w:t xml:space="preserve">Tool names are used for attribution only; this project is independent and unaffiliated with these providers.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2026-07-05T17:04:40.769Z</dcterms:created>
  <dcterms:modified xsi:type="dcterms:W3CDTF">2026-07-05T17:04:40.770Z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