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0" w:line="360" w:lineRule="auto"/>
        <w:jc w:val="both"/>
        <w:rPr>
          <w:rFonts w:ascii="Roboto" w:cs="Roboto" w:eastAsia="Roboto" w:hAnsi="Roboto"/>
          <w:b w:val="1"/>
          <w:color w:val="001f5f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001f5f"/>
          <w:sz w:val="32"/>
          <w:szCs w:val="32"/>
          <w:rtl w:val="0"/>
        </w:rPr>
        <w:t xml:space="preserve">Practical Exercise: Validating the WSO2 API Manager Environment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Training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During this exercise, you will be able to validate if your clustered environment is running properly. 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Business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PizzaShack wants to make sure a new environment works correctly before moving it to handle production load. 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High-Level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Run the following practical exercises from WSO2 API Manager Developer Fundamentals course and make sure you do it with one node up at a time: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Practical Exercise: Creating and Publishing the PizzaShack API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Practical Exercise: Subscribing to APIs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Practical Exercise: Invoking the API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Practical Exercise: Working with Throttling Policies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only need to create the PizzaShack API once. Make sure that you can call it on both nodes.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This environment will be used during training. In order to make sure you can continue with all other steps, this Lab should not be skipped.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Expected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WSO2 API Manager pattern #1 is tested and working as expected. 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spacing w:line="240" w:lineRule="auto"/>
      <w:ind w:right="-90"/>
      <w:jc w:val="both"/>
      <w:rPr/>
    </w:pPr>
    <w:r w:rsidDel="00000000" w:rsidR="00000000" w:rsidRPr="00000000">
      <w:rPr>
        <w:rFonts w:ascii="Trebuchet MS" w:cs="Trebuchet MS" w:eastAsia="Trebuchet MS" w:hAnsi="Trebuchet MS"/>
        <w:sz w:val="20"/>
        <w:szCs w:val="20"/>
        <w:rtl w:val="0"/>
      </w:rPr>
      <w:t xml:space="preserve">                                                                                                                                     </w:t>
    </w:r>
    <w:r w:rsidDel="00000000" w:rsidR="00000000" w:rsidRPr="00000000">
      <w:rPr>
        <w:rFonts w:ascii="Trebuchet MS" w:cs="Trebuchet MS" w:eastAsia="Trebuchet MS" w:hAnsi="Trebuchet MS"/>
        <w:color w:val="ff9900"/>
        <w:sz w:val="20"/>
        <w:szCs w:val="20"/>
      </w:rPr>
      <w:drawing>
        <wp:inline distB="114300" distT="114300" distL="114300" distR="114300">
          <wp:extent cx="195263" cy="190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263" cy="190500"/>
                  </a:xfrm>
                  <a:prstGeom prst="rect"/>
                  <a:ln/>
                </pic:spPr>
              </pic:pic>
            </a:graphicData>
          </a:graphic>
        </wp:inline>
      </w:drawing>
    </w:r>
    <w:hyperlink r:id="rId2">
      <w:r w:rsidDel="00000000" w:rsidR="00000000" w:rsidRPr="00000000">
        <w:rPr>
          <w:color w:val="1155cc"/>
          <w:sz w:val="20"/>
          <w:szCs w:val="20"/>
          <w:rtl w:val="0"/>
        </w:rPr>
        <w:t xml:space="preserve">CC BY 4.0</w:t>
      </w:r>
    </w:hyperlink>
    <w:r w:rsidDel="00000000" w:rsidR="00000000" w:rsidRPr="00000000">
      <w:rPr>
        <w:rFonts w:ascii="Trebuchet MS" w:cs="Trebuchet MS" w:eastAsia="Trebuchet MS" w:hAnsi="Trebuchet MS"/>
        <w:color w:val="ff9900"/>
        <w:sz w:val="20"/>
        <w:szCs w:val="20"/>
        <w:rtl w:val="0"/>
      </w:rPr>
      <w:t xml:space="preserve"> </w:t>
    </w:r>
    <w:r w:rsidDel="00000000" w:rsidR="00000000" w:rsidRPr="00000000">
      <w:rPr>
        <w:rFonts w:ascii="Trebuchet MS" w:cs="Trebuchet MS" w:eastAsia="Trebuchet MS" w:hAnsi="Trebuchet MS"/>
        <w:sz w:val="20"/>
        <w:szCs w:val="20"/>
        <w:rtl w:val="0"/>
      </w:rPr>
      <w:tab/>
      <w:t xml:space="preserve">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Heading1"/>
      <w:pageBreakBefore w:val="0"/>
      <w:spacing w:before="0" w:line="360" w:lineRule="auto"/>
      <w:jc w:val="right"/>
      <w:rPr/>
    </w:pPr>
    <w:bookmarkStart w:colFirst="0" w:colLast="0" w:name="_30j0zll" w:id="1"/>
    <w:bookmarkEnd w:id="1"/>
    <w:r w:rsidDel="00000000" w:rsidR="00000000" w:rsidRPr="00000000">
      <w:rPr>
        <w:rFonts w:ascii="Calibri" w:cs="Calibri" w:eastAsia="Calibri" w:hAnsi="Calibri"/>
        <w:sz w:val="22"/>
        <w:szCs w:val="22"/>
      </w:rPr>
      <w:drawing>
        <wp:inline distB="114300" distT="114300" distL="114300" distR="114300">
          <wp:extent cx="829628" cy="319088"/>
          <wp:effectExtent b="0" l="0" r="0" t="0"/>
          <wp:docPr descr="wso2-logo.jpg" id="1" name="image2.jpg"/>
          <a:graphic>
            <a:graphicData uri="http://schemas.openxmlformats.org/drawingml/2006/picture">
              <pic:pic>
                <pic:nvPicPr>
                  <pic:cNvPr descr="wso2-logo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9628" cy="3190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/4.0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