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 xml:space="preserve">Practical Exercise: Cloud-Native </w:t>
      </w:r>
      <w:proofErr w:type="spellStart"/>
      <w:r>
        <w:rPr>
          <w:rFonts w:ascii="Roboto-Bold" w:hAnsi="Roboto-Bold" w:cs="Roboto-Bold"/>
          <w:b/>
          <w:bCs/>
          <w:color w:val="001F5F"/>
          <w:sz w:val="32"/>
          <w:szCs w:val="32"/>
        </w:rPr>
        <w:t>Observability</w:t>
      </w:r>
      <w:proofErr w:type="spellEnd"/>
      <w:r>
        <w:rPr>
          <w:rFonts w:ascii="Roboto-Bold" w:hAnsi="Roboto-Bold" w:cs="Roboto-Bold"/>
          <w:b/>
          <w:bCs/>
          <w:color w:val="001F5F"/>
          <w:sz w:val="32"/>
          <w:szCs w:val="32"/>
        </w:rPr>
        <w:t xml:space="preserve"> on </w:t>
      </w:r>
      <w:proofErr w:type="spellStart"/>
      <w:r>
        <w:rPr>
          <w:rFonts w:ascii="Roboto-Bold" w:hAnsi="Roboto-Bold" w:cs="Roboto-Bold"/>
          <w:b/>
          <w:bCs/>
          <w:color w:val="001F5F"/>
          <w:sz w:val="32"/>
          <w:szCs w:val="32"/>
        </w:rPr>
        <w:t>Kubernetes</w:t>
      </w:r>
      <w:proofErr w:type="spellEnd"/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Learn how to set up and view dashboards to </w:t>
      </w:r>
      <w:proofErr w:type="spellStart"/>
      <w:r>
        <w:rPr>
          <w:rFonts w:ascii="Roboto-Regular" w:hAnsi="Roboto-Regular" w:cs="Roboto-Regular"/>
          <w:color w:val="000000"/>
        </w:rPr>
        <w:t>analyze</w:t>
      </w:r>
      <w:proofErr w:type="spellEnd"/>
      <w:r>
        <w:rPr>
          <w:rFonts w:ascii="Roboto-Regular" w:hAnsi="Roboto-Regular" w:cs="Roboto-Regular"/>
          <w:color w:val="000000"/>
        </w:rPr>
        <w:t xml:space="preserve"> statistics of WSO2 Micro Integrator.</w:t>
      </w: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High-level Steps</w:t>
      </w:r>
    </w:p>
    <w:p w:rsidR="000E3419" w:rsidRPr="000E3419" w:rsidRDefault="000E3419" w:rsidP="000E3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0E3419">
        <w:rPr>
          <w:rFonts w:ascii="Roboto-Regular" w:hAnsi="Roboto-Regular" w:cs="Roboto-Regular"/>
          <w:color w:val="000000"/>
        </w:rPr>
        <w:t>Install and set up monitoring tools.</w:t>
      </w:r>
    </w:p>
    <w:p w:rsidR="000E3419" w:rsidRPr="000E3419" w:rsidRDefault="000E3419" w:rsidP="000E3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0E3419">
        <w:rPr>
          <w:rFonts w:ascii="Roboto-Regular" w:hAnsi="Roboto-Regular" w:cs="Roboto-Regular"/>
          <w:color w:val="000000"/>
        </w:rPr>
        <w:t xml:space="preserve">View the dashboards to see and </w:t>
      </w:r>
      <w:proofErr w:type="spellStart"/>
      <w:r w:rsidRPr="000E3419">
        <w:rPr>
          <w:rFonts w:ascii="Roboto-Regular" w:hAnsi="Roboto-Regular" w:cs="Roboto-Regular"/>
          <w:color w:val="000000"/>
        </w:rPr>
        <w:t>analyze</w:t>
      </w:r>
      <w:proofErr w:type="spellEnd"/>
      <w:r w:rsidRPr="000E3419">
        <w:rPr>
          <w:rFonts w:ascii="Roboto-Regular" w:hAnsi="Roboto-Regular" w:cs="Roboto-Regular"/>
          <w:color w:val="000000"/>
        </w:rPr>
        <w:t xml:space="preserve"> service mediation statistics.</w:t>
      </w: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Prerequisites</w:t>
      </w:r>
    </w:p>
    <w:p w:rsidR="000E3419" w:rsidRDefault="000E3419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Download and install helm. Follow the instructions given below.</w:t>
      </w:r>
    </w:p>
    <w:p w:rsidR="00786A7C" w:rsidRDefault="00786A7C" w:rsidP="000E341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786A7C" w:rsidRPr="00786A7C" w:rsidRDefault="00786A7C" w:rsidP="00786A7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 xml:space="preserve">Setting up Cloud Native </w:t>
      </w:r>
      <w:proofErr w:type="spellStart"/>
      <w:r w:rsidRPr="00786A7C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 xml:space="preserve"> on </w:t>
      </w:r>
      <w:proofErr w:type="spellStart"/>
      <w:r w:rsidRPr="00786A7C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Kubernetes</w:t>
      </w:r>
      <w:proofErr w:type="spellEnd"/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Follow the instructions given below to set up a cloud native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in a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environment.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streamline the deployment of the cloud native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in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the Micro Integrator provides a Helm chart via which you can deploy the solution to your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cluster. The deployment installs the relevant products and adds the required configurations. After the installation, you can directly use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with a few additional configurations.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Prerequisites</w:t>
      </w:r>
    </w:p>
    <w:p w:rsidR="00786A7C" w:rsidRPr="00786A7C" w:rsidRDefault="00786A7C" w:rsidP="00786A7C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Set up a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cluster. For instructions, see 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"https://kubernetes.io/docs/home/" \t "_blank" </w:instrTex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786A7C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 xml:space="preserve"> Documentation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Install Helm in the client machine.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Setting up the </w:t>
      </w:r>
      <w:proofErr w:type="spellStart"/>
      <w:r w:rsidRPr="00786A7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 deployment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When you deployed the solution on a VM, you first set up the minimum deployment (with metrics monitoring capability) and then added log processing and message tracing capabilities (as add-ons). However, when you deploy on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, you must first select the required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capabilities and then deploy all the related technologies and configurations in one step.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Select the required deployment option from the following list and follow the instructions.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Option 1 - Metrics Monitoring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 xml:space="preserve">The basic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stack allows you to view metrics by installing and configuring Prometheus and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 To install it, follow the steps below:</w:t>
      </w:r>
    </w:p>
    <w:p w:rsidR="00786A7C" w:rsidRPr="00786A7C" w:rsidRDefault="00786A7C" w:rsidP="00786A7C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Clone the </w:t>
      </w:r>
      <w:hyperlink r:id="rId5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Helm repository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Navigate to the home directory of the cloned repository.</w:t>
      </w:r>
    </w:p>
    <w:p w:rsidR="00786A7C" w:rsidRPr="00786A7C" w:rsidRDefault="00786A7C" w:rsidP="00786A7C">
      <w:pPr>
        <w:numPr>
          <w:ilvl w:val="0"/>
          <w:numId w:val="3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To install the basic deployment with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wso2-observability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release name, issue the following command.</w:t>
      </w:r>
    </w:p>
    <w:p w:rsidR="00786A7C" w:rsidRPr="00786A7C" w:rsidRDefault="00786A7C" w:rsidP="00786A7C">
      <w:p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helm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install wso2-observability . --render-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subchart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-notes</w:t>
      </w:r>
    </w:p>
    <w:p w:rsidR="00786A7C" w:rsidRPr="00786A7C" w:rsidRDefault="00786A7C" w:rsidP="00786A7C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Make changes to the default settings of the chart if required. For information about configurable parameters, see </w:t>
      </w:r>
      <w:hyperlink r:id="rId6" w:anchor="configuration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Integration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Observability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- Configuration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above step deploys the basic deployment and displays instructions to access the dashboards. This deployment allows you to access both Prometheus and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UIs and provides you with the ability to view and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analyze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metrics.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Option 2 - Metrics + Log Monitoring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deployment involves deploying Prometheus,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, Loki, and Fluent-bit Daemon set with all the required configurations to integrate deployed products. To install the deployment using Helm, follow the steps below:</w:t>
      </w:r>
    </w:p>
    <w:p w:rsidR="00786A7C" w:rsidRPr="00786A7C" w:rsidRDefault="00786A7C" w:rsidP="00786A7C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Clone the </w:t>
      </w:r>
      <w:hyperlink r:id="rId7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Helm repository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Navigate to the home directory of the cloned repository.</w:t>
      </w:r>
    </w:p>
    <w:p w:rsidR="00786A7C" w:rsidRPr="00786A7C" w:rsidRDefault="00786A7C" w:rsidP="00786A7C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values.yaml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file and set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parameter to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true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for Loki-stack as shown in the extract below.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loki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-stack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true</w:t>
      </w:r>
    </w:p>
    <w:p w:rsidR="00786A7C" w:rsidRPr="00786A7C" w:rsidRDefault="00786A7C" w:rsidP="00786A7C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install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 including log processing capabilities with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wso2-observability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release name, issue the following command.</w:t>
      </w:r>
    </w:p>
    <w:p w:rsidR="00786A7C" w:rsidRPr="00786A7C" w:rsidRDefault="00786A7C" w:rsidP="00786A7C">
      <w:p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helm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install wso2-observability . --render-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subchart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-notes</w:t>
      </w:r>
    </w:p>
    <w:p w:rsidR="00786A7C" w:rsidRPr="00786A7C" w:rsidRDefault="00786A7C" w:rsidP="00786A7C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Make changes to the default settings of the chart if required. For information about configurable parameters, see </w:t>
      </w:r>
      <w:hyperlink r:id="rId8" w:anchor="configuration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Integration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Observability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- Configuration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above steps deploy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with log processing capabilities and display instructions to access the dashboards. With this deployment, you can access Prometheus and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UIs.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Option 3 - Metrics Monitoring + Message Tracing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involves deploying Prometheus,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, and Jaeger-operator with all the required configurations to integrate deployed products. To install the deployment using Helm, follow the steps below:</w:t>
      </w:r>
    </w:p>
    <w:p w:rsidR="00786A7C" w:rsidRPr="00786A7C" w:rsidRDefault="00786A7C" w:rsidP="00786A7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Clone the </w:t>
      </w:r>
      <w:hyperlink r:id="rId9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Helm repository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Navigate to the home directory of the cloned repository.</w:t>
      </w:r>
    </w:p>
    <w:p w:rsidR="00786A7C" w:rsidRPr="00786A7C" w:rsidRDefault="00786A7C" w:rsidP="00786A7C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values.yaml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file and set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parameter to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true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for Jaeger as shown in the extract below.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jaeger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true</w:t>
      </w:r>
    </w:p>
    <w:p w:rsidR="00786A7C" w:rsidRPr="00786A7C" w:rsidRDefault="00786A7C" w:rsidP="00786A7C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install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 including tracing capabilities with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wso2-observability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release name, issue the following command.</w:t>
      </w:r>
    </w:p>
    <w:p w:rsidR="00786A7C" w:rsidRPr="00786A7C" w:rsidRDefault="00786A7C" w:rsidP="00786A7C">
      <w:p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helm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install wso2-observability . --render-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subchart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-notes</w:t>
      </w:r>
    </w:p>
    <w:p w:rsidR="00786A7C" w:rsidRPr="00786A7C" w:rsidRDefault="00786A7C" w:rsidP="00786A7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Make changes to the default settings of the chart if required. For information about configurable parameters, see </w:t>
      </w:r>
      <w:hyperlink r:id="rId10" w:anchor="configuration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Integration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Observability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- Configuration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above steps deploy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with tracing capabilities and displays instructions to access the dashboards. With this deployment, you are able to access Prometheus,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, and Jaeger UIs.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This deployment installs Jaeger-Operator. To install the Jaeger deployment, follow the steps in </w:t>
      </w:r>
      <w:hyperlink r:id="rId11" w:anchor="creating-a-new-jaeger-instance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Jaeger Operator documentation - Creating a new instance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and deploy the preferred Jaeger deployment.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Note</w:t>
      </w:r>
    </w:p>
    <w:p w:rsidR="00786A7C" w:rsidRPr="00786A7C" w:rsidRDefault="00786A7C" w:rsidP="00786A7C">
      <w:pPr>
        <w:numPr>
          <w:ilvl w:val="0"/>
          <w:numId w:val="6"/>
        </w:numPr>
        <w:spacing w:before="100" w:beforeAutospacing="1" w:after="120" w:line="240" w:lineRule="auto"/>
        <w:ind w:left="102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There are some limitations because the Jaeger client, by default, uses a UDP sender as mentioned in </w:t>
      </w:r>
      <w:hyperlink r:id="rId12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the Jaeger documentation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 If the payload size exceeds 65 KB, spans might get lost in the Jaeger console.</w:t>
      </w:r>
    </w:p>
    <w:p w:rsidR="00786A7C" w:rsidRPr="00786A7C" w:rsidRDefault="00786A7C" w:rsidP="00786A7C">
      <w:pPr>
        <w:numPr>
          <w:ilvl w:val="0"/>
          <w:numId w:val="6"/>
        </w:numPr>
        <w:spacing w:before="100" w:beforeAutospacing="1" w:after="120" w:line="240" w:lineRule="auto"/>
        <w:ind w:left="102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Jaeger </w:t>
      </w:r>
      <w:hyperlink r:id="rId13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sampler types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can also play a major role in tracing. Depending on the TPS, the sampler type should be carefully chosen.</w:t>
      </w:r>
    </w:p>
    <w:p w:rsidR="00786A7C" w:rsidRPr="00786A7C" w:rsidRDefault="00786A7C" w:rsidP="00786A7C">
      <w:pPr>
        <w:numPr>
          <w:ilvl w:val="0"/>
          <w:numId w:val="6"/>
        </w:numPr>
        <w:spacing w:before="100" w:beforeAutospacing="1" w:line="240" w:lineRule="auto"/>
        <w:ind w:left="102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Be sure to check the performance tests and scaling requirements before including tracing in production deployments. For details on how to achieve better performance, see the </w:t>
      </w:r>
      <w:hyperlink r:id="rId14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Jaeger performance tuning guide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Times New Roman"/>
          <w:b/>
          <w:bCs/>
          <w:caps/>
          <w:spacing w:val="-2"/>
          <w:sz w:val="20"/>
          <w:szCs w:val="20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caps/>
          <w:spacing w:val="-2"/>
          <w:sz w:val="20"/>
          <w:szCs w:val="20"/>
          <w:lang w:eastAsia="en-IN"/>
        </w:rPr>
        <w:t>CONFIGURING GRAFANA TO VISUALIZE TRACING INFORMATION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The Helm chart configures the Jaeger data source automatically. Therefore, unlike in Setting up </w:t>
      </w:r>
      <w:hyperlink r:id="rId15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Cloud Native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Observability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in a Virtual Machine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, it is not required to add it manually. However, to configure the links into Jaeger UI from the service-level dashboards, you need to perform the following steps:</w:t>
      </w:r>
    </w:p>
    <w:p w:rsidR="00786A7C" w:rsidRPr="00786A7C" w:rsidRDefault="00786A7C" w:rsidP="00786A7C">
      <w:pPr>
        <w:numPr>
          <w:ilvl w:val="0"/>
          <w:numId w:val="7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Access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via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localhost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:3000</w:t>
      </w:r>
      <w:proofErr w:type="gram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and sign in.</w:t>
      </w:r>
    </w:p>
    <w:p w:rsidR="00786A7C" w:rsidRPr="00786A7C" w:rsidRDefault="00786A7C" w:rsidP="00786A7C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Navigate to the settings section of the service level dashboard by clicking the cog wheel icon in the top right corner.</w:t>
      </w:r>
    </w:p>
    <w:p w:rsidR="00786A7C" w:rsidRPr="00786A7C" w:rsidRDefault="00786A7C" w:rsidP="00786A7C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Variable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 This opens the following view.</w:t>
      </w:r>
    </w:p>
    <w:p w:rsidR="00786A7C" w:rsidRPr="00786A7C" w:rsidRDefault="00786A7C" w:rsidP="00786A7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noProof/>
          <w:color w:val="3F51B5"/>
          <w:sz w:val="24"/>
          <w:szCs w:val="24"/>
          <w:lang w:eastAsia="en-IN"/>
        </w:rPr>
        <w:drawing>
          <wp:inline distT="0" distB="0" distL="0" distR="0">
            <wp:extent cx="5389726" cy="917548"/>
            <wp:effectExtent l="0" t="0" r="1905" b="0"/>
            <wp:docPr id="3" name="Picture 3" descr="Variables vie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vie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73422" cy="9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7C" w:rsidRPr="00786A7C" w:rsidRDefault="00786A7C" w:rsidP="00786A7C">
      <w:pPr>
        <w:numPr>
          <w:ilvl w:val="0"/>
          <w:numId w:val="7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Edit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JaegerHost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variable and provide your Jaeger query component hostname and port in the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host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:port</w:t>
      </w:r>
      <w:proofErr w:type="spellEnd"/>
      <w:proofErr w:type="gram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syntax as shown below.</w:t>
      </w:r>
    </w:p>
    <w:p w:rsidR="00786A7C" w:rsidRPr="00786A7C" w:rsidRDefault="00786A7C" w:rsidP="00786A7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noProof/>
          <w:color w:val="3F51B5"/>
          <w:sz w:val="24"/>
          <w:szCs w:val="24"/>
          <w:lang w:eastAsia="en-IN"/>
        </w:rPr>
        <w:drawing>
          <wp:inline distT="0" distB="0" distL="0" distR="0">
            <wp:extent cx="5355912" cy="506906"/>
            <wp:effectExtent l="0" t="0" r="0" b="7620"/>
            <wp:docPr id="2" name="Picture 2" descr="constant opti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tant option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45" cy="5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7C" w:rsidRPr="00786A7C" w:rsidRDefault="00786A7C" w:rsidP="00786A7C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Click </w:t>
      </w: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Save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You need to perform the above steps for all the service-level dashboards (i.e., Proxy Service dashboard, API Service Dashboard, and Inbound Endpoint dashboard).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Once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is successfully configured to visualize statistics, you should be correctly redirected to the Jaeger UI from the Response Time widget of each service level dashboard as shown below.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noProof/>
          <w:color w:val="3F51B5"/>
          <w:sz w:val="24"/>
          <w:szCs w:val="24"/>
          <w:lang w:eastAsia="en-IN"/>
        </w:rPr>
        <w:drawing>
          <wp:inline distT="0" distB="0" distL="0" distR="0">
            <wp:extent cx="5590710" cy="3208020"/>
            <wp:effectExtent l="0" t="0" r="0" b="0"/>
            <wp:docPr id="1" name="Picture 1" descr="jaeger ui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eger ui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54" cy="32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Option 4 - Metrics + Logs + Message Tracing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install the cloud native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solution with logging and tracing capabilities in your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cluster, follow the steps below:</w:t>
      </w:r>
    </w:p>
    <w:p w:rsidR="00786A7C" w:rsidRPr="00786A7C" w:rsidRDefault="00786A7C" w:rsidP="00786A7C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Clone the </w:t>
      </w:r>
      <w:hyperlink r:id="rId22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Helm repository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Navigate to the home directory of the cloned repository.</w:t>
      </w:r>
    </w:p>
    <w:p w:rsidR="00786A7C" w:rsidRPr="00786A7C" w:rsidRDefault="00786A7C" w:rsidP="00786A7C">
      <w:pPr>
        <w:numPr>
          <w:ilvl w:val="0"/>
          <w:numId w:val="8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values.yaml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file and set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parameter to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true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for both Loki-stack and Jaeger as shown in the extract below.</w:t>
      </w:r>
    </w:p>
    <w:p w:rsidR="00786A7C" w:rsidRPr="00786A7C" w:rsidRDefault="00786A7C" w:rsidP="0000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loki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-stack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786A7C" w:rsidRPr="00786A7C" w:rsidRDefault="00786A7C" w:rsidP="0000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true</w:t>
      </w:r>
    </w:p>
    <w:p w:rsidR="00786A7C" w:rsidRPr="00786A7C" w:rsidRDefault="00786A7C" w:rsidP="0000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jaeger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enabled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true</w:t>
      </w:r>
    </w:p>
    <w:p w:rsidR="00786A7C" w:rsidRPr="00786A7C" w:rsidRDefault="00786A7C" w:rsidP="00786A7C">
      <w:pPr>
        <w:numPr>
          <w:ilvl w:val="0"/>
          <w:numId w:val="8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To install the complete deployment with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wso2-observability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release name, issue the following command.</w:t>
      </w:r>
    </w:p>
    <w:p w:rsidR="00786A7C" w:rsidRPr="00786A7C" w:rsidRDefault="00786A7C" w:rsidP="00786A7C">
      <w:p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helm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install wso2-observability . --render-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subchart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-notes</w:t>
      </w:r>
    </w:p>
    <w:p w:rsidR="00786A7C" w:rsidRPr="00786A7C" w:rsidRDefault="00786A7C" w:rsidP="00786A7C">
      <w:pPr>
        <w:numPr>
          <w:ilvl w:val="0"/>
          <w:numId w:val="8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Make changes to the default settings of the chart if required. For information about configurable parameters, see </w:t>
      </w:r>
      <w:hyperlink r:id="rId23" w:anchor="configuration" w:tgtFrame="_blank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Integration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Observability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- Configuration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above step deploys the complete deployment and displays instructions to access the dashboards. This deployment allows you to access Prometheus,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Grafana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, and Jaeger UIs.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lastRenderedPageBreak/>
        <w:t>Setting up the Micro Integrator deployment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integrate with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deployment, you are required to perform the following three main tasks in containers: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Enabling </w:t>
      </w:r>
      <w:proofErr w:type="spellStart"/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 for the Micro Integrator</w:t>
      </w:r>
    </w:p>
    <w:p w:rsidR="00786A7C" w:rsidRPr="00786A7C" w:rsidRDefault="00786A7C" w:rsidP="00786A7C">
      <w:pPr>
        <w:numPr>
          <w:ilvl w:val="0"/>
          <w:numId w:val="9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Enabling the statistics publishing handler</w:t>
      </w:r>
    </w:p>
    <w:p w:rsidR="00786A7C" w:rsidRPr="00786A7C" w:rsidRDefault="00786A7C" w:rsidP="00786A7C">
      <w:p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Add the following lines in the </w:t>
      </w: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&lt;PATH&gt;/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deployment.toml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file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project </w:t>
      </w:r>
      <w:r w:rsidRPr="00786A7C">
        <w:rPr>
          <w:rFonts w:ascii="Helvetica" w:eastAsia="Times New Roman" w:hAnsi="Helvetica" w:cs="Times New Roman"/>
          <w:i/>
          <w:iCs/>
          <w:sz w:val="24"/>
          <w:szCs w:val="24"/>
          <w:lang w:eastAsia="en-IN"/>
        </w:rPr>
        <w:t>before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creating your micro integrator image.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[[</w:t>
      </w:r>
      <w:proofErr w:type="spellStart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synapse_handlers</w:t>
      </w:r>
      <w:proofErr w:type="spellEnd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]]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MetricHandler</w:t>
      </w:r>
      <w:proofErr w:type="spellEnd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class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"org.wso2.micro.integrator.observability.metric.handler.MetricHandler"</w:t>
      </w:r>
    </w:p>
    <w:p w:rsidR="00786A7C" w:rsidRPr="00786A7C" w:rsidRDefault="00786A7C" w:rsidP="00786A7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For more information about the Micro Integrator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development flow, see </w:t>
      </w:r>
      <w:hyperlink r:id="rId24" w:history="1"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MI </w:t>
        </w:r>
        <w:proofErr w:type="spellStart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Kubernetes</w:t>
        </w:r>
        <w:proofErr w:type="spellEnd"/>
        <w:r w:rsidRPr="00786A7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guide</w:t>
        </w:r>
      </w:hyperlink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786A7C" w:rsidRPr="00786A7C" w:rsidRDefault="00786A7C" w:rsidP="00786A7C">
      <w:pPr>
        <w:numPr>
          <w:ilvl w:val="0"/>
          <w:numId w:val="9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Enabling the metrics endpoint</w:t>
      </w:r>
    </w:p>
    <w:p w:rsidR="00786A7C" w:rsidRPr="00786A7C" w:rsidRDefault="00786A7C" w:rsidP="00786A7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Set an environment variable in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resource definition. You can either add that at the time of creating the project using the wizard. Alternatively, you can open the /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integration_cr.yaml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file in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project and add the following under the spec tag.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env</w:t>
      </w:r>
      <w:proofErr w:type="spellEnd"/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-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"JAVA_OPTS"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</w:t>
      </w: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value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"-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DenablePrometheusApi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=true"</w:t>
      </w:r>
    </w:p>
    <w:p w:rsidR="00786A7C" w:rsidRPr="00786A7C" w:rsidRDefault="00786A7C" w:rsidP="00786A7C">
      <w:pPr>
        <w:numPr>
          <w:ilvl w:val="0"/>
          <w:numId w:val="9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Enabling discovery for Prometheus</w:t>
      </w:r>
    </w:p>
    <w:p w:rsidR="00786A7C" w:rsidRPr="00786A7C" w:rsidRDefault="00786A7C" w:rsidP="00786A7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This allows Prometheus to discover Micro Integrator targets through service discovery methods. To achieve this, set the following pod level annotations to the Micro Integrator pod.</w:t>
      </w:r>
    </w:p>
    <w:p w:rsidR="00786A7C" w:rsidRPr="00786A7C" w:rsidRDefault="00786A7C" w:rsidP="00786A7C">
      <w:pPr>
        <w:numPr>
          <w:ilvl w:val="1"/>
          <w:numId w:val="9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prometheus.io.wso2/path: /metric-service/metrics</w:t>
      </w:r>
    </w:p>
    <w:p w:rsidR="00786A7C" w:rsidRPr="00786A7C" w:rsidRDefault="00786A7C" w:rsidP="00786A7C">
      <w:pPr>
        <w:numPr>
          <w:ilvl w:val="1"/>
          <w:numId w:val="9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prometheus.io.wso2/port: "9201"</w:t>
      </w:r>
    </w:p>
    <w:p w:rsidR="00786A7C" w:rsidRPr="00786A7C" w:rsidRDefault="00786A7C" w:rsidP="00786A7C">
      <w:pPr>
        <w:numPr>
          <w:ilvl w:val="1"/>
          <w:numId w:val="9"/>
        </w:numPr>
        <w:spacing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prometheus.io.wso2/scrape: "true"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Configuring the Micro Integrator to publish logs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step is only required if you have log processing capabilities in your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Once the above tasks are completed, the container that is being deployed through the integration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resource emits metric data, and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 can discover and start without further configuration.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Configuring pods to parse logs through Fluent-bit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To do this, set the following pod level annotation to the Micro Integrator pod.</w:t>
      </w:r>
    </w:p>
    <w:p w:rsidR="00786A7C" w:rsidRPr="00786A7C" w:rsidRDefault="00786A7C" w:rsidP="00786A7C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>fluentbit.io/parser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wso2</w:t>
      </w:r>
    </w:p>
    <w:p w:rsidR="00786A7C" w:rsidRPr="00786A7C" w:rsidRDefault="00786A7C" w:rsidP="00786A7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786A7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Configuring the Micro Integrator to publish tracing information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step is only required if you have message tracing capabilities in your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observability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deployment.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configure the Micro Integrator to publish tracing information, add the following lines to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deployment.toml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file in the </w:t>
      </w:r>
      <w:proofErr w:type="spellStart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project </w:t>
      </w:r>
      <w:r w:rsidRPr="00786A7C">
        <w:rPr>
          <w:rFonts w:ascii="Helvetica" w:eastAsia="Times New Roman" w:hAnsi="Helvetica" w:cs="Times New Roman"/>
          <w:i/>
          <w:iCs/>
          <w:sz w:val="24"/>
          <w:szCs w:val="24"/>
          <w:lang w:eastAsia="en-IN"/>
        </w:rPr>
        <w:t>before</w:t>
      </w: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creating your micro integrator container image.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[</w:t>
      </w:r>
      <w:proofErr w:type="gramStart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mediation</w:t>
      </w:r>
      <w:proofErr w:type="gramEnd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]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flow.statistics.capture_all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= </w:t>
      </w:r>
      <w:r w:rsidRPr="00786A7C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stat.tracer.collect_payloads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= </w:t>
      </w:r>
      <w:r w:rsidRPr="00786A7C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stat.tracer.collect_mediation_properties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= </w:t>
      </w:r>
      <w:r w:rsidRPr="00786A7C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</w:pP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[</w:t>
      </w:r>
      <w:proofErr w:type="spellStart"/>
      <w:proofErr w:type="gramStart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opentracing</w:t>
      </w:r>
      <w:proofErr w:type="spellEnd"/>
      <w:proofErr w:type="gramEnd"/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]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enable</w:t>
      </w:r>
      <w:proofErr w:type="gram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= </w:t>
      </w:r>
      <w:r w:rsidRPr="00786A7C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jaeger.sampler.manager_host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"hostname"</w:t>
      </w:r>
    </w:p>
    <w:p w:rsidR="00786A7C" w:rsidRPr="00786A7C" w:rsidRDefault="00786A7C" w:rsidP="00786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jaeger.sender.agent_host</w:t>
      </w:r>
      <w:proofErr w:type="spellEnd"/>
      <w:r w:rsidRPr="00786A7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786A7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"hostname"</w:t>
      </w:r>
    </w:p>
    <w:p w:rsidR="00786A7C" w:rsidRPr="00786A7C" w:rsidRDefault="00786A7C" w:rsidP="00786A7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786A7C" w:rsidRPr="00786A7C" w:rsidRDefault="00786A7C" w:rsidP="00786A7C">
      <w:pPr>
        <w:spacing w:beforeAutospacing="1" w:after="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Enter the host name of your Jaeger service as the value for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manager_host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and </w:t>
      </w:r>
      <w:proofErr w:type="spellStart"/>
      <w:r w:rsidRPr="00786A7C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agent_host</w:t>
      </w:r>
      <w:proofErr w:type="spellEnd"/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 parameters.</w:t>
      </w:r>
    </w:p>
    <w:p w:rsidR="00786A7C" w:rsidRPr="00786A7C" w:rsidRDefault="00786A7C" w:rsidP="00786A7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786A7C">
        <w:rPr>
          <w:rFonts w:ascii="Helvetica" w:eastAsia="Times New Roman" w:hAnsi="Helvetica" w:cs="Times New Roman"/>
          <w:sz w:val="24"/>
          <w:szCs w:val="24"/>
          <w:lang w:eastAsia="en-IN"/>
        </w:rPr>
        <w:t>These settings enable the tracing data instrumentation and publishing to a Jaeger instance.</w:t>
      </w:r>
      <w:bookmarkStart w:id="0" w:name="_GoBack"/>
      <w:bookmarkEnd w:id="0"/>
    </w:p>
    <w:sectPr w:rsidR="00786A7C" w:rsidRPr="0078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F09"/>
    <w:multiLevelType w:val="multilevel"/>
    <w:tmpl w:val="ADF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410C8"/>
    <w:multiLevelType w:val="multilevel"/>
    <w:tmpl w:val="E2F8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A3E0A"/>
    <w:multiLevelType w:val="multilevel"/>
    <w:tmpl w:val="825C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478CC"/>
    <w:multiLevelType w:val="multilevel"/>
    <w:tmpl w:val="152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8B5FD7"/>
    <w:multiLevelType w:val="multilevel"/>
    <w:tmpl w:val="F572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97446"/>
    <w:multiLevelType w:val="multilevel"/>
    <w:tmpl w:val="0788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BF1E27"/>
    <w:multiLevelType w:val="hybridMultilevel"/>
    <w:tmpl w:val="092A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E2713"/>
    <w:multiLevelType w:val="multilevel"/>
    <w:tmpl w:val="5F48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5D6C77"/>
    <w:multiLevelType w:val="multilevel"/>
    <w:tmpl w:val="A7A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9"/>
    <w:rsid w:val="00000825"/>
    <w:rsid w:val="000E3419"/>
    <w:rsid w:val="00111DC4"/>
    <w:rsid w:val="007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8455E-AE9B-496D-8E9D-2EFE7437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6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6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86A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6A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6A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86A7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6A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6A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7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dmonition-title">
    <w:name w:val="admonition-title"/>
    <w:basedOn w:val="Normal"/>
    <w:rsid w:val="0078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6A7C"/>
    <w:rPr>
      <w:b/>
      <w:bCs/>
    </w:rPr>
  </w:style>
  <w:style w:type="character" w:styleId="Emphasis">
    <w:name w:val="Emphasis"/>
    <w:basedOn w:val="DefaultParagraphFont"/>
    <w:uiPriority w:val="20"/>
    <w:qFormat/>
    <w:rsid w:val="00786A7C"/>
    <w:rPr>
      <w:i/>
      <w:iCs/>
    </w:rPr>
  </w:style>
  <w:style w:type="character" w:customStyle="1" w:styleId="hljs-section">
    <w:name w:val="hljs-section"/>
    <w:basedOn w:val="DefaultParagraphFont"/>
    <w:rsid w:val="00786A7C"/>
  </w:style>
  <w:style w:type="character" w:customStyle="1" w:styleId="hljs-attr">
    <w:name w:val="hljs-attr"/>
    <w:basedOn w:val="DefaultParagraphFont"/>
    <w:rsid w:val="00786A7C"/>
  </w:style>
  <w:style w:type="character" w:customStyle="1" w:styleId="hljs-string">
    <w:name w:val="hljs-string"/>
    <w:basedOn w:val="DefaultParagraphFont"/>
    <w:rsid w:val="00786A7C"/>
  </w:style>
  <w:style w:type="character" w:customStyle="1" w:styleId="hljs-literal">
    <w:name w:val="hljs-literal"/>
    <w:basedOn w:val="DefaultParagraphFont"/>
    <w:rsid w:val="0078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7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2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4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7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o2/observability-ei" TargetMode="External"/><Relationship Id="rId13" Type="http://schemas.openxmlformats.org/officeDocument/2006/relationships/hyperlink" Target="https://www.jaegertracing.io/docs/1.22/sampling/" TargetMode="External"/><Relationship Id="rId18" Type="http://schemas.openxmlformats.org/officeDocument/2006/relationships/hyperlink" Target="https://apim.docs.wso2.com/en/4.1.0/assets/img/integrate/monitoring-dashboard/constant-options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wso2/observability-ei" TargetMode="External"/><Relationship Id="rId12" Type="http://schemas.openxmlformats.org/officeDocument/2006/relationships/hyperlink" Target="https://www.jaegertracing.io/docs/1.22/client-libraries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m.docs.wso2.com/en/4.1.0/assets/img/integrate/monitoring-dashboard/variables.png" TargetMode="External"/><Relationship Id="rId20" Type="http://schemas.openxmlformats.org/officeDocument/2006/relationships/hyperlink" Target="https://apim.docs.wso2.com/en/4.1.0/assets/img/integrate/monitoring-dashboard/jaeger-ui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so2/observability-ei" TargetMode="External"/><Relationship Id="rId11" Type="http://schemas.openxmlformats.org/officeDocument/2006/relationships/hyperlink" Target="https://github.com/jaegertracing/helm-charts/tree/master/charts/jaeger-operator" TargetMode="External"/><Relationship Id="rId24" Type="http://schemas.openxmlformats.org/officeDocument/2006/relationships/hyperlink" Target="https://apim.docs.wso2.com/en/4.1.0/install-and-setup/setup/mi-setup/deployment/kubernetes_deployment_patterns/" TargetMode="External"/><Relationship Id="rId5" Type="http://schemas.openxmlformats.org/officeDocument/2006/relationships/hyperlink" Target="https://github.com/wso2/observability-ei" TargetMode="External"/><Relationship Id="rId15" Type="http://schemas.openxmlformats.org/officeDocument/2006/relationships/hyperlink" Target="https://apim.docs.wso2.com/en/4.1.0/observe/micro-integrator/setting-up-cloud-native-observability-on-a-vm" TargetMode="External"/><Relationship Id="rId23" Type="http://schemas.openxmlformats.org/officeDocument/2006/relationships/hyperlink" Target="https://github.com/wso2/observability-ei" TargetMode="External"/><Relationship Id="rId10" Type="http://schemas.openxmlformats.org/officeDocument/2006/relationships/hyperlink" Target="https://github.com/wso2/observability-ei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so2/observability-ei" TargetMode="External"/><Relationship Id="rId14" Type="http://schemas.openxmlformats.org/officeDocument/2006/relationships/hyperlink" Target="https://www.jaegertracing.io/docs/1.22/performance-tuning/" TargetMode="External"/><Relationship Id="rId22" Type="http://schemas.openxmlformats.org/officeDocument/2006/relationships/hyperlink" Target="https://github.com/wso2/observability-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2022-11-25T10:22:00Z</dcterms:created>
  <dcterms:modified xsi:type="dcterms:W3CDTF">2022-11-25T10:28:00Z</dcterms:modified>
</cp:coreProperties>
</file>