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40"/>
          <w:szCs w:val="40"/>
        </w:rPr>
        <w:t xml:space="preserve">System Architecture Document (SAD)</w:t>
      </w:r>
    </w:p>
    <w:p>
      <w:pPr>
        <w:spacing w:after="100"/>
        <w:jc w:val="center"/>
      </w:pPr>
      <w:r>
        <w:rPr>
          <w:rFonts w:ascii="Calibri" w:cs="Calibri" w:eastAsia="Calibri" w:hAnsi="Calibri"/>
          <w:i/>
          <w:iCs/>
          <w:sz w:val="26"/>
          <w:szCs w:val="26"/>
        </w:rPr>
        <w:t xml:space="preserve">FieldOps AI — Context-Aware Technician Dispatch &amp; ETA Prediction Platform</w:t>
      </w:r>
    </w:p>
    <w:p>
      <w:pPr>
        <w:spacing w:after="40"/>
        <w:jc w:val="center"/>
      </w:pPr>
      <w:r>
        <w:rPr>
          <w:rFonts w:ascii="Calibri" w:cs="Calibri" w:eastAsia="Calibri" w:hAnsi="Calibri"/>
          <w:sz w:val="22"/>
          <w:szCs w:val="22"/>
        </w:rPr>
        <w:t xml:space="preserve">Document Version 1.1 (Deployment Strategy Finalized)</w:t>
      </w:r>
    </w:p>
    <w:p>
      <w:pPr>
        <w:spacing w:after="600"/>
        <w:jc w:val="center"/>
      </w:pPr>
      <w:r>
        <w:rPr>
          <w:rFonts w:ascii="Calibri" w:cs="Calibri" w:eastAsia="Calibri" w:hAnsi="Calibri"/>
          <w:sz w:val="22"/>
          <w:szCs w:val="22"/>
        </w:rPr>
        <w:t xml:space="preserve">Prepared for: Semester 5, C28 Project Review</w:t>
      </w:r>
    </w:p>
    <w:p>
      <w:pPr>
        <w:pStyle w:val="Heading1"/>
        <w:spacing w:after="150" w:before="300"/>
      </w:pPr>
      <w:r>
        <w:t xml:space="preserve">1. Introduction</w:t>
      </w:r>
    </w:p>
    <w:p>
      <w:pPr>
        <w:pStyle w:val="Heading2"/>
        <w:spacing w:after="120" w:before="240"/>
      </w:pPr>
      <w:r>
        <w:t xml:space="preserve">1.1 Purpose</w:t>
      </w:r>
    </w:p>
    <w:p>
      <w:pPr>
        <w:spacing w:after="160"/>
      </w:pPr>
      <w:r>
        <w:rPr>
          <w:rFonts w:ascii="Calibri" w:cs="Calibri" w:eastAsia="Calibri" w:hAnsi="Calibri"/>
          <w:sz w:val="22"/>
          <w:szCs w:val="22"/>
        </w:rPr>
        <w:t xml:space="preserve">This System Architecture Document (SAD) defines the technical architecture of FieldOps AI, a context-aware technician dispatch and ETA prediction platform for field-service companies. It describes the system's structural components, their interactions, the data flow across the platform, and the deployment model. This document builds directly on the approved Product Requirements Document (PRD) v1.0 and serves as the technical reference for implementation, evaluation, and viva discussion.</w:t>
      </w:r>
    </w:p>
    <w:p>
      <w:pPr>
        <w:pStyle w:val="Heading2"/>
        <w:spacing w:after="120" w:before="240"/>
      </w:pPr>
      <w:r>
        <w:t xml:space="preserve">1.2 Scope</w:t>
      </w:r>
    </w:p>
    <w:p>
      <w:pPr>
        <w:spacing w:after="160"/>
      </w:pPr>
      <w:r>
        <w:rPr>
          <w:rFonts w:ascii="Calibri" w:cs="Calibri" w:eastAsia="Calibri" w:hAnsi="Calibri"/>
          <w:sz w:val="22"/>
          <w:szCs w:val="22"/>
        </w:rPr>
        <w:t xml:space="preserve">The architecture covers the full pipeline from external data ingestion (historical GPS, weather, traffic, events, road closures) through context-aware ETA prediction and technician recommendation, to dispatcher decision-making, override handling, and an immutable audit trail. It excludes payment processing, multi-organization support, and customer-facing modules, consistent with the frozen project scope.</w:t>
      </w:r>
    </w:p>
    <w:p>
      <w:pPr>
        <w:pStyle w:val="Heading2"/>
        <w:spacing w:after="120" w:before="240"/>
      </w:pPr>
      <w:r>
        <w:t xml:space="preserve">1.3 Architectural Goals</w:t>
      </w:r>
    </w:p>
    <w:p>
      <w:pPr>
        <w:pStyle w:val="ListParagraph"/>
        <w:numPr>
          <w:ilvl w:val="0"/>
          <w:numId w:val="1"/>
        </w:numPr>
        <w:spacing w:after="80"/>
      </w:pPr>
      <w:r>
        <w:rPr>
          <w:rFonts w:ascii="Calibri" w:cs="Calibri" w:eastAsia="Calibri" w:hAnsi="Calibri"/>
          <w:sz w:val="22"/>
          <w:szCs w:val="22"/>
        </w:rPr>
        <w:t xml:space="preserve">Correctness: ETA predictions must reflect real-world non-routine conditions (weather, events, road closures).</w:t>
      </w:r>
    </w:p>
    <w:p>
      <w:pPr>
        <w:pStyle w:val="ListParagraph"/>
        <w:numPr>
          <w:ilvl w:val="0"/>
          <w:numId w:val="1"/>
        </w:numPr>
        <w:spacing w:after="80"/>
      </w:pPr>
      <w:r>
        <w:rPr>
          <w:rFonts w:ascii="Calibri" w:cs="Calibri" w:eastAsia="Calibri" w:hAnsi="Calibri"/>
          <w:sz w:val="22"/>
          <w:szCs w:val="22"/>
        </w:rPr>
        <w:t xml:space="preserve">Auditability: Every assignment decision and change must be traceable, with no deletion of history.</w:t>
      </w:r>
    </w:p>
    <w:p>
      <w:pPr>
        <w:pStyle w:val="ListParagraph"/>
        <w:numPr>
          <w:ilvl w:val="0"/>
          <w:numId w:val="1"/>
        </w:numPr>
        <w:spacing w:after="80"/>
      </w:pPr>
      <w:r>
        <w:rPr>
          <w:rFonts w:ascii="Calibri" w:cs="Calibri" w:eastAsia="Calibri" w:hAnsi="Calibri"/>
          <w:sz w:val="22"/>
          <w:szCs w:val="22"/>
        </w:rPr>
        <w:t xml:space="preserve">Transparency: Every AI recommendation must be explainable to the dispatcher (reason and confidence).</w:t>
      </w:r>
    </w:p>
    <w:p>
      <w:pPr>
        <w:pStyle w:val="ListParagraph"/>
        <w:numPr>
          <w:ilvl w:val="0"/>
          <w:numId w:val="1"/>
        </w:numPr>
        <w:spacing w:after="80"/>
      </w:pPr>
      <w:r>
        <w:rPr>
          <w:rFonts w:ascii="Calibri" w:cs="Calibri" w:eastAsia="Calibri" w:hAnsi="Calibri"/>
          <w:sz w:val="22"/>
          <w:szCs w:val="22"/>
        </w:rPr>
        <w:t xml:space="preserve">Resilience: The system must degrade gracefully when an external data source is unavailable.</w:t>
      </w:r>
    </w:p>
    <w:p>
      <w:pPr>
        <w:pStyle w:val="ListParagraph"/>
        <w:numPr>
          <w:ilvl w:val="0"/>
          <w:numId w:val="1"/>
        </w:numPr>
        <w:spacing w:after="80"/>
      </w:pPr>
      <w:r>
        <w:rPr>
          <w:rFonts w:ascii="Calibri" w:cs="Calibri" w:eastAsia="Calibri" w:hAnsi="Calibri"/>
          <w:sz w:val="22"/>
          <w:szCs w:val="22"/>
        </w:rPr>
        <w:t xml:space="preserve">Simplicity: Given a 15-to-20-day build window, the architecture favors a modular monolith over distributed microservices.</w:t>
      </w:r>
    </w:p>
    <w:p>
      <w:pPr>
        <w:pStyle w:val="Heading1"/>
        <w:spacing w:after="150" w:before="300"/>
      </w:pPr>
      <w:r>
        <w:t xml:space="preserve">2. Architectural Style</w:t>
      </w:r>
    </w:p>
    <w:p>
      <w:pPr>
        <w:pStyle w:val="Heading2"/>
        <w:spacing w:after="120" w:before="240"/>
      </w:pPr>
      <w:r>
        <w:t xml:space="preserve">2.1 Chosen Style: Modular Monolith (Layered Architecture)</w:t>
      </w:r>
    </w:p>
    <w:p>
      <w:pPr>
        <w:spacing w:after="160"/>
      </w:pPr>
      <w:r>
        <w:rPr>
          <w:rFonts w:ascii="Calibri" w:cs="Calibri" w:eastAsia="Calibri" w:hAnsi="Calibri"/>
          <w:sz w:val="22"/>
          <w:szCs w:val="22"/>
        </w:rPr>
        <w:t xml:space="preserve">FieldOps AI is built as a modular monolith: a single deployable backend service internally organized into clearly separated modules (Authentication, Technician, Job, Assignment Engine, ETA Prediction Engine, Audit, Analytics), each with its own responsibility and internal API boundary.</w:t>
      </w:r>
    </w:p>
    <w:p>
      <w:pPr>
        <w:pStyle w:val="Heading3"/>
        <w:spacing w:after="100" w:before="180"/>
      </w:pPr>
      <w:r>
        <w:t xml:space="preserve">2.2 Why Not Microservices</w:t>
      </w:r>
    </w:p>
    <w:p>
      <w:pPr>
        <w:spacing w:after="160"/>
      </w:pPr>
      <w:r>
        <w:rPr>
          <w:rFonts w:ascii="Calibri" w:cs="Calibri" w:eastAsia="Calibri" w:hAnsi="Calibri"/>
          <w:sz w:val="22"/>
          <w:szCs w:val="22"/>
        </w:rPr>
        <w:t xml:space="preserve">Microservices were considered and explicitly rejected for this project. The justification is recorded below because architectural trade-off reasoning is itself part of the deliverable.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1F4E79" w:val="clear"/>
          </w:tcPr>
          <w:p>
            <w:r>
              <w:rPr>
                <w:rFonts w:ascii="Calibri" w:cs="Calibri" w:eastAsia="Calibri" w:hAnsi="Calibri"/>
                <w:b/>
                <w:bCs/>
                <w:color w:val="FFFFFF"/>
                <w:sz w:val="20"/>
                <w:szCs w:val="20"/>
              </w:rPr>
              <w:t xml:space="preserve">Factor</w:t>
            </w:r>
          </w:p>
        </w:tc>
        <w:tc>
          <w:tcPr>
            <w:tcW w:type="dxa" w:w="3200"/>
            <w:shd w:fill="1F4E79" w:val="clear"/>
          </w:tcPr>
          <w:p>
            <w:r>
              <w:rPr>
                <w:rFonts w:ascii="Calibri" w:cs="Calibri" w:eastAsia="Calibri" w:hAnsi="Calibri"/>
                <w:b/>
                <w:bCs/>
                <w:color w:val="FFFFFF"/>
                <w:sz w:val="20"/>
                <w:szCs w:val="20"/>
              </w:rPr>
              <w:t xml:space="preserve">Microservices</w:t>
            </w:r>
          </w:p>
        </w:tc>
        <w:tc>
          <w:tcPr>
            <w:tcW w:type="dxa" w:w="3200"/>
            <w:shd w:fill="1F4E79" w:val="clear"/>
          </w:tcPr>
          <w:p>
            <w:r>
              <w:rPr>
                <w:rFonts w:ascii="Calibri" w:cs="Calibri" w:eastAsia="Calibri" w:hAnsi="Calibri"/>
                <w:b/>
                <w:bCs/>
                <w:color w:val="FFFFFF"/>
                <w:sz w:val="20"/>
                <w:szCs w:val="20"/>
              </w:rPr>
              <w:t xml:space="preserve">Modular Monolith (Chosen)</w:t>
            </w:r>
          </w:p>
        </w:tc>
      </w:tr>
      <w:tr>
        <w:tc>
          <w:tcPr>
            <w:tcW w:type="dxa" w:w="2600"/>
          </w:tcPr>
          <w:p>
            <w:r>
              <w:rPr>
                <w:rFonts w:ascii="Calibri" w:cs="Calibri" w:eastAsia="Calibri" w:hAnsi="Calibri"/>
                <w:b w:val="false"/>
                <w:bCs w:val="false"/>
                <w:color w:val="000000"/>
                <w:sz w:val="20"/>
                <w:szCs w:val="20"/>
              </w:rPr>
              <w:t xml:space="preserve">Development time available</w:t>
            </w:r>
          </w:p>
        </w:tc>
        <w:tc>
          <w:tcPr>
            <w:tcW w:type="dxa" w:w="3200"/>
          </w:tcPr>
          <w:p>
            <w:r>
              <w:rPr>
                <w:rFonts w:ascii="Calibri" w:cs="Calibri" w:eastAsia="Calibri" w:hAnsi="Calibri"/>
                <w:b w:val="false"/>
                <w:bCs w:val="false"/>
                <w:color w:val="000000"/>
                <w:sz w:val="20"/>
                <w:szCs w:val="20"/>
              </w:rPr>
              <w:t xml:space="preserve">Requires service orchestration, inter-service auth, network reliability handling — infeasible in 15-20 days</w:t>
            </w:r>
          </w:p>
        </w:tc>
        <w:tc>
          <w:tcPr>
            <w:tcW w:type="dxa" w:w="3200"/>
          </w:tcPr>
          <w:p>
            <w:r>
              <w:rPr>
                <w:rFonts w:ascii="Calibri" w:cs="Calibri" w:eastAsia="Calibri" w:hAnsi="Calibri"/>
                <w:b w:val="false"/>
                <w:bCs w:val="false"/>
                <w:color w:val="000000"/>
                <w:sz w:val="20"/>
                <w:szCs w:val="20"/>
              </w:rPr>
              <w:t xml:space="preserve">Single codebase, single deploy, fits the timeline</w:t>
            </w:r>
          </w:p>
        </w:tc>
      </w:tr>
      <w:tr>
        <w:tc>
          <w:tcPr>
            <w:tcW w:type="dxa" w:w="2600"/>
          </w:tcPr>
          <w:p>
            <w:r>
              <w:rPr>
                <w:rFonts w:ascii="Calibri" w:cs="Calibri" w:eastAsia="Calibri" w:hAnsi="Calibri"/>
                <w:b w:val="false"/>
                <w:bCs w:val="false"/>
                <w:color w:val="000000"/>
                <w:sz w:val="20"/>
                <w:szCs w:val="20"/>
              </w:rPr>
              <w:t xml:space="preserve">Team size</w:t>
            </w:r>
          </w:p>
        </w:tc>
        <w:tc>
          <w:tcPr>
            <w:tcW w:type="dxa" w:w="3200"/>
          </w:tcPr>
          <w:p>
            <w:r>
              <w:rPr>
                <w:rFonts w:ascii="Calibri" w:cs="Calibri" w:eastAsia="Calibri" w:hAnsi="Calibri"/>
                <w:b w:val="false"/>
                <w:bCs w:val="false"/>
                <w:color w:val="000000"/>
                <w:sz w:val="20"/>
                <w:szCs w:val="20"/>
              </w:rPr>
              <w:t xml:space="preserve">Designed for multiple independent teams</w:t>
            </w:r>
          </w:p>
        </w:tc>
        <w:tc>
          <w:tcPr>
            <w:tcW w:type="dxa" w:w="3200"/>
          </w:tcPr>
          <w:p>
            <w:r>
              <w:rPr>
                <w:rFonts w:ascii="Calibri" w:cs="Calibri" w:eastAsia="Calibri" w:hAnsi="Calibri"/>
                <w:b w:val="false"/>
                <w:bCs w:val="false"/>
                <w:color w:val="000000"/>
                <w:sz w:val="20"/>
                <w:szCs w:val="20"/>
              </w:rPr>
              <w:t xml:space="preserve">Single developer / small team project</w:t>
            </w:r>
          </w:p>
        </w:tc>
      </w:tr>
      <w:tr>
        <w:tc>
          <w:tcPr>
            <w:tcW w:type="dxa" w:w="2600"/>
          </w:tcPr>
          <w:p>
            <w:r>
              <w:rPr>
                <w:rFonts w:ascii="Calibri" w:cs="Calibri" w:eastAsia="Calibri" w:hAnsi="Calibri"/>
                <w:b w:val="false"/>
                <w:bCs w:val="false"/>
                <w:color w:val="000000"/>
                <w:sz w:val="20"/>
                <w:szCs w:val="20"/>
              </w:rPr>
              <w:t xml:space="preserve">Operational complexity</w:t>
            </w:r>
          </w:p>
        </w:tc>
        <w:tc>
          <w:tcPr>
            <w:tcW w:type="dxa" w:w="3200"/>
          </w:tcPr>
          <w:p>
            <w:r>
              <w:rPr>
                <w:rFonts w:ascii="Calibri" w:cs="Calibri" w:eastAsia="Calibri" w:hAnsi="Calibri"/>
                <w:b w:val="false"/>
                <w:bCs w:val="false"/>
                <w:color w:val="000000"/>
                <w:sz w:val="20"/>
                <w:szCs w:val="20"/>
              </w:rPr>
              <w:t xml:space="preserve">Needs service discovery, distributed tracing, multiple databases</w:t>
            </w:r>
          </w:p>
        </w:tc>
        <w:tc>
          <w:tcPr>
            <w:tcW w:type="dxa" w:w="3200"/>
          </w:tcPr>
          <w:p>
            <w:r>
              <w:rPr>
                <w:rFonts w:ascii="Calibri" w:cs="Calibri" w:eastAsia="Calibri" w:hAnsi="Calibri"/>
                <w:b w:val="false"/>
                <w:bCs w:val="false"/>
                <w:color w:val="000000"/>
                <w:sz w:val="20"/>
                <w:szCs w:val="20"/>
              </w:rPr>
              <w:t xml:space="preserve">One managed Postgres instance (Neon), two platform-managed deployments (Vercel, Render)</w:t>
            </w:r>
          </w:p>
        </w:tc>
      </w:tr>
      <w:tr>
        <w:tc>
          <w:tcPr>
            <w:tcW w:type="dxa" w:w="2600"/>
          </w:tcPr>
          <w:p>
            <w:r>
              <w:rPr>
                <w:rFonts w:ascii="Calibri" w:cs="Calibri" w:eastAsia="Calibri" w:hAnsi="Calibri"/>
                <w:b w:val="false"/>
                <w:bCs w:val="false"/>
                <w:color w:val="000000"/>
                <w:sz w:val="20"/>
                <w:szCs w:val="20"/>
              </w:rPr>
              <w:t xml:space="preserve">Data consistency</w:t>
            </w:r>
          </w:p>
        </w:tc>
        <w:tc>
          <w:tcPr>
            <w:tcW w:type="dxa" w:w="3200"/>
          </w:tcPr>
          <w:p>
            <w:r>
              <w:rPr>
                <w:rFonts w:ascii="Calibri" w:cs="Calibri" w:eastAsia="Calibri" w:hAnsi="Calibri"/>
                <w:b w:val="false"/>
                <w:bCs w:val="false"/>
                <w:color w:val="000000"/>
                <w:sz w:val="20"/>
                <w:szCs w:val="20"/>
              </w:rPr>
              <w:t xml:space="preserve">Distributed transactions are hard (eventual consistency)</w:t>
            </w:r>
          </w:p>
        </w:tc>
        <w:tc>
          <w:tcPr>
            <w:tcW w:type="dxa" w:w="3200"/>
          </w:tcPr>
          <w:p>
            <w:r>
              <w:rPr>
                <w:rFonts w:ascii="Calibri" w:cs="Calibri" w:eastAsia="Calibri" w:hAnsi="Calibri"/>
                <w:b w:val="false"/>
                <w:bCs w:val="false"/>
                <w:color w:val="000000"/>
                <w:sz w:val="20"/>
                <w:szCs w:val="20"/>
              </w:rPr>
              <w:t xml:space="preserve">Single database transaction guarantees consistency for audit writes</w:t>
            </w:r>
          </w:p>
        </w:tc>
      </w:tr>
      <w:tr>
        <w:tc>
          <w:tcPr>
            <w:tcW w:type="dxa" w:w="2600"/>
          </w:tcPr>
          <w:p>
            <w:r>
              <w:rPr>
                <w:rFonts w:ascii="Calibri" w:cs="Calibri" w:eastAsia="Calibri" w:hAnsi="Calibri"/>
                <w:b w:val="false"/>
                <w:bCs w:val="false"/>
                <w:color w:val="000000"/>
                <w:sz w:val="20"/>
                <w:szCs w:val="20"/>
              </w:rPr>
              <w:t xml:space="preserve">Future scalability</w:t>
            </w:r>
          </w:p>
        </w:tc>
        <w:tc>
          <w:tcPr>
            <w:tcW w:type="dxa" w:w="3200"/>
          </w:tcPr>
          <w:p>
            <w:r>
              <w:rPr>
                <w:rFonts w:ascii="Calibri" w:cs="Calibri" w:eastAsia="Calibri" w:hAnsi="Calibri"/>
                <w:b w:val="false"/>
                <w:bCs w:val="false"/>
                <w:color w:val="000000"/>
                <w:sz w:val="20"/>
                <w:szCs w:val="20"/>
              </w:rPr>
              <w:t xml:space="preserve">Better for very large scale</w:t>
            </w:r>
          </w:p>
        </w:tc>
        <w:tc>
          <w:tcPr>
            <w:tcW w:type="dxa" w:w="3200"/>
          </w:tcPr>
          <w:p>
            <w:r>
              <w:rPr>
                <w:rFonts w:ascii="Calibri" w:cs="Calibri" w:eastAsia="Calibri" w:hAnsi="Calibri"/>
                <w:b w:val="false"/>
                <w:bCs w:val="false"/>
                <w:color w:val="000000"/>
                <w:sz w:val="20"/>
                <w:szCs w:val="20"/>
              </w:rPr>
              <w:t xml:space="preserve">Modules are cleanly separated, so the codebase can be split into services later if needed</w:t>
            </w:r>
          </w:p>
        </w:tc>
      </w:tr>
    </w:tbl>
    <w:p>
      <w:pPr>
        <w:spacing w:after="160"/>
      </w:pPr>
      <w:r>
        <w:rPr>
          <w:rFonts w:ascii="Calibri" w:cs="Calibri" w:eastAsia="Calibri" w:hAnsi="Calibri"/>
          <w:sz w:val="22"/>
          <w:szCs w:val="22"/>
        </w:rPr>
        <w:t xml:space="preserve"/>
      </w:r>
    </w:p>
    <w:p>
      <w:pPr>
        <w:pStyle w:val="Heading1"/>
        <w:spacing w:after="150" w:before="300"/>
      </w:pPr>
      <w:r>
        <w:t xml:space="preserve">3. High-Level Component Architecture</w:t>
      </w:r>
    </w:p>
    <w:p>
      <w:pPr>
        <w:spacing w:after="160"/>
      </w:pPr>
      <w:r>
        <w:rPr>
          <w:rFonts w:ascii="Calibri" w:cs="Calibri" w:eastAsia="Calibri" w:hAnsi="Calibri"/>
          <w:sz w:val="22"/>
          <w:szCs w:val="22"/>
        </w:rPr>
        <w:t xml:space="preserve">The diagram below shows the major components and the direction of data flow between them.</w:t>
      </w:r>
    </w:p>
    <w:p>
      <w:pP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React Frontend (SPA)                    |</w:t>
      </w:r>
      <w:r>
        <w:rPr>
          <w:rFonts w:ascii="Consolas" w:cs="Consolas" w:eastAsia="Consolas" w:hAnsi="Consolas"/>
          <w:sz w:val="18"/>
          <w:szCs w:val="18"/>
        </w:rPr>
        <w:br/>
        <w:t xml:space="preserve">|   Dispatcher UI | Technician UI | Admin UI (role-based)      |</w:t>
      </w:r>
      <w:r>
        <w:rPr>
          <w:rFonts w:ascii="Consolas" w:cs="Consolas" w:eastAsia="Consolas" w:hAnsi="Consolas"/>
          <w:sz w:val="18"/>
          <w:szCs w:val="18"/>
        </w:rPr>
        <w:br/>
        <w:t xml:space="preserve">+---------------------------+----------------------------------+</w:t>
      </w:r>
      <w:r>
        <w:rPr>
          <w:rFonts w:ascii="Consolas" w:cs="Consolas" w:eastAsia="Consolas" w:hAnsi="Consolas"/>
          <w:sz w:val="18"/>
          <w:szCs w:val="18"/>
        </w:rPr>
        <w:br/>
        <w:t xml:space="preserve">                            | REST (HTTPS, JWT)</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FastAPI Backend                          |</w:t>
      </w:r>
      <w:r>
        <w:rPr>
          <w:rFonts w:ascii="Consolas" w:cs="Consolas" w:eastAsia="Consolas" w:hAnsi="Consolas"/>
          <w:sz w:val="18"/>
          <w:szCs w:val="18"/>
        </w:rPr>
        <w:br/>
        <w:t xml:space="preserve">|  +----------------+  +----------------+  +----------------+  |</w:t>
      </w:r>
      <w:r>
        <w:rPr>
          <w:rFonts w:ascii="Consolas" w:cs="Consolas" w:eastAsia="Consolas" w:hAnsi="Consolas"/>
          <w:sz w:val="18"/>
          <w:szCs w:val="18"/>
        </w:rPr>
        <w:br/>
        <w:t xml:space="preserve">|  | Auth Service    |  | Technician Svc |  | Job Service     |  |</w:t>
      </w:r>
      <w:r>
        <w:rPr>
          <w:rFonts w:ascii="Consolas" w:cs="Consolas" w:eastAsia="Consolas" w:hAnsi="Consolas"/>
          <w:sz w:val="18"/>
          <w:szCs w:val="18"/>
        </w:rPr>
        <w:br/>
        <w:t xml:space="preserve">|  +----------------+  +----------------+  +----------------+  |</w:t>
      </w:r>
      <w:r>
        <w:rPr>
          <w:rFonts w:ascii="Consolas" w:cs="Consolas" w:eastAsia="Consolas" w:hAnsi="Consolas"/>
          <w:sz w:val="18"/>
          <w:szCs w:val="18"/>
        </w:rPr>
        <w:br/>
        <w:t xml:space="preserve">|  +----------------+  +----------------+  +----------------+  |</w:t>
      </w:r>
      <w:r>
        <w:rPr>
          <w:rFonts w:ascii="Consolas" w:cs="Consolas" w:eastAsia="Consolas" w:hAnsi="Consolas"/>
          <w:sz w:val="18"/>
          <w:szCs w:val="18"/>
        </w:rPr>
        <w:br/>
        <w:t xml:space="preserve">|  | Assignment Eng. |  | ETA Prediction |  | Audit Service   |  |</w:t>
      </w:r>
      <w:r>
        <w:rPr>
          <w:rFonts w:ascii="Consolas" w:cs="Consolas" w:eastAsia="Consolas" w:hAnsi="Consolas"/>
          <w:sz w:val="18"/>
          <w:szCs w:val="18"/>
        </w:rPr>
        <w:br/>
        <w:t xml:space="preserve">|  |  (Decision Core)|  | Engine (ML)    |  | (append-only)   |  |</w:t>
      </w:r>
      <w:r>
        <w:rPr>
          <w:rFonts w:ascii="Consolas" w:cs="Consolas" w:eastAsia="Consolas" w:hAnsi="Consolas"/>
          <w:sz w:val="18"/>
          <w:szCs w:val="18"/>
        </w:rPr>
        <w:br/>
        <w:t xml:space="preserve">|  +----------------+  +----------------+  +----------------+  |</w:t>
      </w:r>
      <w:r>
        <w:rPr>
          <w:rFonts w:ascii="Consolas" w:cs="Consolas" w:eastAsia="Consolas" w:hAnsi="Consolas"/>
          <w:sz w:val="18"/>
          <w:szCs w:val="18"/>
        </w:rPr>
        <w:br/>
        <w:t xml:space="preserve">|  +----------------+                                          |</w:t>
      </w:r>
      <w:r>
        <w:rPr>
          <w:rFonts w:ascii="Consolas" w:cs="Consolas" w:eastAsia="Consolas" w:hAnsi="Consolas"/>
          <w:sz w:val="18"/>
          <w:szCs w:val="18"/>
        </w:rPr>
        <w:br/>
        <w:t xml:space="preserve">|  | Analytics Svc   |                                          |</w:t>
      </w:r>
      <w:r>
        <w:rPr>
          <w:rFonts w:ascii="Consolas" w:cs="Consolas" w:eastAsia="Consolas" w:hAnsi="Consolas"/>
          <w:sz w:val="18"/>
          <w:szCs w:val="18"/>
        </w:rPr>
        <w:br/>
        <w:t xml:space="preserve">|  +----------------+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v                             v</w:t>
      </w:r>
      <w:r>
        <w:rPr>
          <w:rFonts w:ascii="Consolas" w:cs="Consolas" w:eastAsia="Consolas" w:hAnsi="Consolas"/>
          <w:sz w:val="18"/>
          <w:szCs w:val="18"/>
        </w:rPr>
        <w:br/>
        <w:t xml:space="preserve">   +----------------------+     +--------------------------+</w:t>
      </w:r>
      <w:r>
        <w:rPr>
          <w:rFonts w:ascii="Consolas" w:cs="Consolas" w:eastAsia="Consolas" w:hAnsi="Consolas"/>
          <w:sz w:val="18"/>
          <w:szCs w:val="18"/>
        </w:rPr>
        <w:br/>
        <w:t xml:space="preserve">   |  PostgreSQL Database   |     |  External Data Sources    |</w:t>
      </w:r>
      <w:r>
        <w:rPr>
          <w:rFonts w:ascii="Consolas" w:cs="Consolas" w:eastAsia="Consolas" w:hAnsi="Consolas"/>
          <w:sz w:val="18"/>
          <w:szCs w:val="18"/>
        </w:rPr>
        <w:br/>
        <w:t xml:space="preserve">   |  (all persistent state)|     |  Weather API, OSM/ORS,     |</w:t>
      </w:r>
      <w:r>
        <w:rPr>
          <w:rFonts w:ascii="Consolas" w:cs="Consolas" w:eastAsia="Consolas" w:hAnsi="Consolas"/>
          <w:sz w:val="18"/>
          <w:szCs w:val="18"/>
        </w:rPr>
        <w:br/>
        <w:t xml:space="preserve">   +----------------------+     |  Historical GPS dataset,   |</w:t>
      </w:r>
      <w:r>
        <w:rPr>
          <w:rFonts w:ascii="Consolas" w:cs="Consolas" w:eastAsia="Consolas" w:hAnsi="Consolas"/>
          <w:sz w:val="18"/>
          <w:szCs w:val="18"/>
        </w:rPr>
        <w:br/>
        <w:t xml:space="preserve">                                  |  Event &amp; road-closure data |</w:t>
      </w:r>
      <w:r>
        <w:rPr>
          <w:rFonts w:ascii="Consolas" w:cs="Consolas" w:eastAsia="Consolas" w:hAnsi="Consolas"/>
          <w:sz w:val="18"/>
          <w:szCs w:val="18"/>
        </w:rPr>
        <w:br/>
        <w:t xml:space="preserve">                                  +--------------------------+</w:t>
      </w:r>
    </w:p>
    <w:p>
      <w:pPr>
        <w:pStyle w:val="Heading2"/>
        <w:spacing w:after="120" w:before="240"/>
      </w:pPr>
      <w:r>
        <w:t xml:space="preserve">3.1 Frontend Architecture</w:t>
      </w:r>
    </w:p>
    <w:p>
      <w:pPr>
        <w:pStyle w:val="ListParagraph"/>
        <w:numPr>
          <w:ilvl w:val="0"/>
          <w:numId w:val="1"/>
        </w:numPr>
        <w:spacing w:after="80"/>
      </w:pPr>
      <w:r>
        <w:rPr>
          <w:rFonts w:ascii="Calibri" w:cs="Calibri" w:eastAsia="Calibri" w:hAnsi="Calibri"/>
          <w:sz w:val="22"/>
          <w:szCs w:val="22"/>
        </w:rPr>
        <w:t xml:space="preserve">Built with React + TypeScript + Vite, styled with Tailwind CSS.</w:t>
      </w:r>
    </w:p>
    <w:p>
      <w:pPr>
        <w:pStyle w:val="ListParagraph"/>
        <w:numPr>
          <w:ilvl w:val="0"/>
          <w:numId w:val="1"/>
        </w:numPr>
        <w:spacing w:after="80"/>
      </w:pPr>
      <w:r>
        <w:rPr>
          <w:rFonts w:ascii="Calibri" w:cs="Calibri" w:eastAsia="Calibri" w:hAnsi="Calibri"/>
          <w:sz w:val="22"/>
          <w:szCs w:val="22"/>
        </w:rPr>
        <w:t xml:space="preserve">Role-based routing: Dispatcher, Technician, and Admin each see a distinct set of routes and components after login.</w:t>
      </w:r>
    </w:p>
    <w:p>
      <w:pPr>
        <w:pStyle w:val="ListParagraph"/>
        <w:numPr>
          <w:ilvl w:val="0"/>
          <w:numId w:val="1"/>
        </w:numPr>
        <w:spacing w:after="80"/>
      </w:pPr>
      <w:r>
        <w:rPr>
          <w:rFonts w:ascii="Calibri" w:cs="Calibri" w:eastAsia="Calibri" w:hAnsi="Calibri"/>
          <w:sz w:val="22"/>
          <w:szCs w:val="22"/>
        </w:rPr>
        <w:t xml:space="preserve">React Query manages server-state (jobs, technicians, ETA data) with caching and automatic refetch, avoiding manual state synchronization bugs.</w:t>
      </w:r>
    </w:p>
    <w:p>
      <w:pPr>
        <w:pStyle w:val="ListParagraph"/>
        <w:numPr>
          <w:ilvl w:val="0"/>
          <w:numId w:val="1"/>
        </w:numPr>
        <w:spacing w:after="80"/>
      </w:pPr>
      <w:r>
        <w:rPr>
          <w:rFonts w:ascii="Calibri" w:cs="Calibri" w:eastAsia="Calibri" w:hAnsi="Calibri"/>
          <w:sz w:val="22"/>
          <w:szCs w:val="22"/>
        </w:rPr>
        <w:t xml:space="preserve">Leaflet + OpenStreetMap tiles render the live map (technician locations, road closures, routes).</w:t>
      </w:r>
    </w:p>
    <w:p>
      <w:pPr>
        <w:pStyle w:val="ListParagraph"/>
        <w:numPr>
          <w:ilvl w:val="0"/>
          <w:numId w:val="1"/>
        </w:numPr>
        <w:spacing w:after="80"/>
      </w:pPr>
      <w:r>
        <w:rPr>
          <w:rFonts w:ascii="Calibri" w:cs="Calibri" w:eastAsia="Calibri" w:hAnsi="Calibri"/>
          <w:sz w:val="22"/>
          <w:szCs w:val="22"/>
        </w:rPr>
        <w:t xml:space="preserve">No business logic resides in the frontend — it only renders state returned by the backend and submits user actions (assign, override) through the API.</w:t>
      </w:r>
    </w:p>
    <w:p>
      <w:pPr>
        <w:pStyle w:val="Heading2"/>
        <w:spacing w:after="120" w:before="240"/>
      </w:pPr>
      <w:r>
        <w:t xml:space="preserve">3.2 Backend Architecture</w:t>
      </w:r>
    </w:p>
    <w:p>
      <w:pPr>
        <w:pStyle w:val="ListParagraph"/>
        <w:numPr>
          <w:ilvl w:val="0"/>
          <w:numId w:val="1"/>
        </w:numPr>
        <w:spacing w:after="80"/>
      </w:pPr>
      <w:r>
        <w:rPr>
          <w:rFonts w:ascii="Calibri" w:cs="Calibri" w:eastAsia="Calibri" w:hAnsi="Calibri"/>
          <w:sz w:val="22"/>
          <w:szCs w:val="22"/>
        </w:rPr>
        <w:t xml:space="preserve">FastAPI application organized by domain module (auth, technicians, jobs, assignment, eta, audit, analytics), each with its own router, schema (Pydantic), and service layer.</w:t>
      </w:r>
    </w:p>
    <w:p>
      <w:pPr>
        <w:pStyle w:val="ListParagraph"/>
        <w:numPr>
          <w:ilvl w:val="0"/>
          <w:numId w:val="1"/>
        </w:numPr>
        <w:spacing w:after="80"/>
      </w:pPr>
      <w:r>
        <w:rPr>
          <w:rFonts w:ascii="Calibri" w:cs="Calibri" w:eastAsia="Calibri" w:hAnsi="Calibri"/>
          <w:sz w:val="22"/>
          <w:szCs w:val="22"/>
        </w:rPr>
        <w:t xml:space="preserve">SQLAlchemy ORM maps domain models to PostgreSQL tables.</w:t>
      </w:r>
    </w:p>
    <w:p>
      <w:pPr>
        <w:pStyle w:val="ListParagraph"/>
        <w:numPr>
          <w:ilvl w:val="0"/>
          <w:numId w:val="1"/>
        </w:numPr>
        <w:spacing w:after="80"/>
      </w:pPr>
      <w:r>
        <w:rPr>
          <w:rFonts w:ascii="Calibri" w:cs="Calibri" w:eastAsia="Calibri" w:hAnsi="Calibri"/>
          <w:sz w:val="22"/>
          <w:szCs w:val="22"/>
        </w:rPr>
        <w:t xml:space="preserve">A dependency-injected database session is used per request, ensuring each request's writes are atomic.</w:t>
      </w:r>
    </w:p>
    <w:p>
      <w:pPr>
        <w:pStyle w:val="ListParagraph"/>
        <w:numPr>
          <w:ilvl w:val="0"/>
          <w:numId w:val="1"/>
        </w:numPr>
        <w:spacing w:after="80"/>
      </w:pPr>
      <w:r>
        <w:rPr>
          <w:rFonts w:ascii="Calibri" w:cs="Calibri" w:eastAsia="Calibri" w:hAnsi="Calibri"/>
          <w:sz w:val="22"/>
          <w:szCs w:val="22"/>
        </w:rPr>
        <w:t xml:space="preserve">JWT-based authentication middleware validates every protected request and attaches the authenticated user's role for authorization checks.</w:t>
      </w:r>
    </w:p>
    <w:p>
      <w:pPr>
        <w:pStyle w:val="Heading2"/>
        <w:spacing w:after="120" w:before="240"/>
      </w:pPr>
      <w:r>
        <w:t xml:space="preserve">3.3 Service Layer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F4E79" w:val="clear"/>
          </w:tcPr>
          <w:p>
            <w:r>
              <w:rPr>
                <w:rFonts w:ascii="Calibri" w:cs="Calibri" w:eastAsia="Calibri" w:hAnsi="Calibri"/>
                <w:b/>
                <w:bCs/>
                <w:color w:val="FFFFFF"/>
                <w:sz w:val="20"/>
                <w:szCs w:val="20"/>
              </w:rPr>
              <w:t xml:space="preserve">Service</w:t>
            </w:r>
          </w:p>
        </w:tc>
        <w:tc>
          <w:tcPr>
            <w:tcW w:type="dxa" w:w="5800"/>
            <w:shd w:fill="1F4E79" w:val="clear"/>
          </w:tcPr>
          <w:p>
            <w:r>
              <w:rPr>
                <w:rFonts w:ascii="Calibri" w:cs="Calibri" w:eastAsia="Calibri" w:hAnsi="Calibri"/>
                <w:b/>
                <w:bCs/>
                <w:color w:val="FFFFFF"/>
                <w:sz w:val="20"/>
                <w:szCs w:val="20"/>
              </w:rPr>
              <w:t xml:space="preserve">Responsibility</w:t>
            </w:r>
          </w:p>
        </w:tc>
      </w:tr>
      <w:tr>
        <w:tc>
          <w:tcPr>
            <w:tcW w:type="dxa" w:w="3200"/>
          </w:tcPr>
          <w:p>
            <w:r>
              <w:rPr>
                <w:rFonts w:ascii="Calibri" w:cs="Calibri" w:eastAsia="Calibri" w:hAnsi="Calibri"/>
                <w:b w:val="false"/>
                <w:bCs w:val="false"/>
                <w:color w:val="000000"/>
                <w:sz w:val="20"/>
                <w:szCs w:val="20"/>
              </w:rPr>
              <w:t xml:space="preserve">Auth Service</w:t>
            </w:r>
          </w:p>
        </w:tc>
        <w:tc>
          <w:tcPr>
            <w:tcW w:type="dxa" w:w="5800"/>
          </w:tcPr>
          <w:p>
            <w:r>
              <w:rPr>
                <w:rFonts w:ascii="Calibri" w:cs="Calibri" w:eastAsia="Calibri" w:hAnsi="Calibri"/>
                <w:b w:val="false"/>
                <w:bCs w:val="false"/>
                <w:color w:val="000000"/>
                <w:sz w:val="20"/>
                <w:szCs w:val="20"/>
              </w:rPr>
              <w:t xml:space="preserve">Login, token issuance, session validation</w:t>
            </w:r>
          </w:p>
        </w:tc>
      </w:tr>
      <w:tr>
        <w:tc>
          <w:tcPr>
            <w:tcW w:type="dxa" w:w="3200"/>
          </w:tcPr>
          <w:p>
            <w:r>
              <w:rPr>
                <w:rFonts w:ascii="Calibri" w:cs="Calibri" w:eastAsia="Calibri" w:hAnsi="Calibri"/>
                <w:b w:val="false"/>
                <w:bCs w:val="false"/>
                <w:color w:val="000000"/>
                <w:sz w:val="20"/>
                <w:szCs w:val="20"/>
              </w:rPr>
              <w:t xml:space="preserve">Technician Service</w:t>
            </w:r>
          </w:p>
        </w:tc>
        <w:tc>
          <w:tcPr>
            <w:tcW w:type="dxa" w:w="5800"/>
          </w:tcPr>
          <w:p>
            <w:r>
              <w:rPr>
                <w:rFonts w:ascii="Calibri" w:cs="Calibri" w:eastAsia="Calibri" w:hAnsi="Calibri"/>
                <w:b w:val="false"/>
                <w:bCs w:val="false"/>
                <w:color w:val="000000"/>
                <w:sz w:val="20"/>
                <w:szCs w:val="20"/>
              </w:rPr>
              <w:t xml:space="preserve">CRUD for technician profiles, skills, availability, current status</w:t>
            </w:r>
          </w:p>
        </w:tc>
      </w:tr>
      <w:tr>
        <w:tc>
          <w:tcPr>
            <w:tcW w:type="dxa" w:w="3200"/>
          </w:tcPr>
          <w:p>
            <w:r>
              <w:rPr>
                <w:rFonts w:ascii="Calibri" w:cs="Calibri" w:eastAsia="Calibri" w:hAnsi="Calibri"/>
                <w:b w:val="false"/>
                <w:bCs w:val="false"/>
                <w:color w:val="000000"/>
                <w:sz w:val="20"/>
                <w:szCs w:val="20"/>
              </w:rPr>
              <w:t xml:space="preserve">Job Service</w:t>
            </w:r>
          </w:p>
        </w:tc>
        <w:tc>
          <w:tcPr>
            <w:tcW w:type="dxa" w:w="5800"/>
          </w:tcPr>
          <w:p>
            <w:r>
              <w:rPr>
                <w:rFonts w:ascii="Calibri" w:cs="Calibri" w:eastAsia="Calibri" w:hAnsi="Calibri"/>
                <w:b w:val="false"/>
                <w:bCs w:val="false"/>
                <w:color w:val="000000"/>
                <w:sz w:val="20"/>
                <w:szCs w:val="20"/>
              </w:rPr>
              <w:t xml:space="preserve">Create/track service requests, manage job lifecycle state machine</w:t>
            </w:r>
          </w:p>
        </w:tc>
      </w:tr>
      <w:tr>
        <w:tc>
          <w:tcPr>
            <w:tcW w:type="dxa" w:w="3200"/>
          </w:tcPr>
          <w:p>
            <w:r>
              <w:rPr>
                <w:rFonts w:ascii="Calibri" w:cs="Calibri" w:eastAsia="Calibri" w:hAnsi="Calibri"/>
                <w:b w:val="false"/>
                <w:bCs w:val="false"/>
                <w:color w:val="000000"/>
                <w:sz w:val="20"/>
                <w:szCs w:val="20"/>
              </w:rPr>
              <w:t xml:space="preserve">Assignment Engine (Decision Core)</w:t>
            </w:r>
          </w:p>
        </w:tc>
        <w:tc>
          <w:tcPr>
            <w:tcW w:type="dxa" w:w="5800"/>
          </w:tcPr>
          <w:p>
            <w:r>
              <w:rPr>
                <w:rFonts w:ascii="Calibri" w:cs="Calibri" w:eastAsia="Calibri" w:hAnsi="Calibri"/>
                <w:b w:val="false"/>
                <w:bCs w:val="false"/>
                <w:color w:val="000000"/>
                <w:sz w:val="20"/>
                <w:szCs w:val="20"/>
              </w:rPr>
              <w:t xml:space="preserve">Combines ETA output with skill match and availability to produce a ranked technician recommendation</w:t>
            </w:r>
          </w:p>
        </w:tc>
      </w:tr>
      <w:tr>
        <w:tc>
          <w:tcPr>
            <w:tcW w:type="dxa" w:w="3200"/>
          </w:tcPr>
          <w:p>
            <w:r>
              <w:rPr>
                <w:rFonts w:ascii="Calibri" w:cs="Calibri" w:eastAsia="Calibri" w:hAnsi="Calibri"/>
                <w:b w:val="false"/>
                <w:bCs w:val="false"/>
                <w:color w:val="000000"/>
                <w:sz w:val="20"/>
                <w:szCs w:val="20"/>
              </w:rPr>
              <w:t xml:space="preserve">ETA Prediction Engine</w:t>
            </w:r>
          </w:p>
        </w:tc>
        <w:tc>
          <w:tcPr>
            <w:tcW w:type="dxa" w:w="5800"/>
          </w:tcPr>
          <w:p>
            <w:r>
              <w:rPr>
                <w:rFonts w:ascii="Calibri" w:cs="Calibri" w:eastAsia="Calibri" w:hAnsi="Calibri"/>
                <w:b w:val="false"/>
                <w:bCs w:val="false"/>
                <w:color w:val="000000"/>
                <w:sz w:val="20"/>
                <w:szCs w:val="20"/>
              </w:rPr>
              <w:t xml:space="preserve">Runs the baseline formula and the trained context-aware model; returns predicted ETA, confidence, and delay reason</w:t>
            </w:r>
          </w:p>
        </w:tc>
      </w:tr>
      <w:tr>
        <w:tc>
          <w:tcPr>
            <w:tcW w:type="dxa" w:w="3200"/>
          </w:tcPr>
          <w:p>
            <w:r>
              <w:rPr>
                <w:rFonts w:ascii="Calibri" w:cs="Calibri" w:eastAsia="Calibri" w:hAnsi="Calibri"/>
                <w:b w:val="false"/>
                <w:bCs w:val="false"/>
                <w:color w:val="000000"/>
                <w:sz w:val="20"/>
                <w:szCs w:val="20"/>
              </w:rPr>
              <w:t xml:space="preserve">Audit Service</w:t>
            </w:r>
          </w:p>
        </w:tc>
        <w:tc>
          <w:tcPr>
            <w:tcW w:type="dxa" w:w="5800"/>
          </w:tcPr>
          <w:p>
            <w:r>
              <w:rPr>
                <w:rFonts w:ascii="Calibri" w:cs="Calibri" w:eastAsia="Calibri" w:hAnsi="Calibri"/>
                <w:b w:val="false"/>
                <w:bCs w:val="false"/>
                <w:color w:val="000000"/>
                <w:sz w:val="20"/>
                <w:szCs w:val="20"/>
              </w:rPr>
              <w:t xml:space="preserve">Writes every assignment, reassignment, and override event as an immutable record</w:t>
            </w:r>
          </w:p>
        </w:tc>
      </w:tr>
      <w:tr>
        <w:tc>
          <w:tcPr>
            <w:tcW w:type="dxa" w:w="3200"/>
          </w:tcPr>
          <w:p>
            <w:r>
              <w:rPr>
                <w:rFonts w:ascii="Calibri" w:cs="Calibri" w:eastAsia="Calibri" w:hAnsi="Calibri"/>
                <w:b w:val="false"/>
                <w:bCs w:val="false"/>
                <w:color w:val="000000"/>
                <w:sz w:val="20"/>
                <w:szCs w:val="20"/>
              </w:rPr>
              <w:t xml:space="preserve">Analytics Service</w:t>
            </w:r>
          </w:p>
        </w:tc>
        <w:tc>
          <w:tcPr>
            <w:tcW w:type="dxa" w:w="5800"/>
          </w:tcPr>
          <w:p>
            <w:r>
              <w:rPr>
                <w:rFonts w:ascii="Calibri" w:cs="Calibri" w:eastAsia="Calibri" w:hAnsi="Calibri"/>
                <w:b w:val="false"/>
                <w:bCs w:val="false"/>
                <w:color w:val="000000"/>
                <w:sz w:val="20"/>
                <w:szCs w:val="20"/>
              </w:rPr>
              <w:t xml:space="preserve">Aggregates baseline-vs-model ETA error, delay causes, assignment statistics for the performance dashboard</w:t>
            </w:r>
          </w:p>
        </w:tc>
      </w:tr>
    </w:tbl>
    <w:p>
      <w:pPr>
        <w:spacing w:after="160"/>
      </w:pPr>
      <w:r>
        <w:rPr>
          <w:rFonts w:ascii="Calibri" w:cs="Calibri" w:eastAsia="Calibri" w:hAnsi="Calibri"/>
          <w:sz w:val="22"/>
          <w:szCs w:val="22"/>
        </w:rPr>
        <w:t xml:space="preserve"/>
      </w:r>
    </w:p>
    <w:p>
      <w:pPr>
        <w:pStyle w:val="Heading2"/>
        <w:spacing w:after="120" w:before="240"/>
      </w:pPr>
      <w:r>
        <w:t xml:space="preserve">3.4 Decision Engine — Internal Flow</w:t>
      </w:r>
    </w:p>
    <w:p>
      <w:pPr>
        <w:spacing w:after="160"/>
      </w:pPr>
      <w:r>
        <w:rPr>
          <w:rFonts w:ascii="Calibri" w:cs="Calibri" w:eastAsia="Calibri" w:hAnsi="Calibri"/>
          <w:sz w:val="22"/>
          <w:szCs w:val="22"/>
        </w:rPr>
        <w:t xml:space="preserve">The Assignment Engine (Decision Core) is the heart of the system. It does not call external APIs directly; it orchestrates calls to the ETA Prediction Engine and applies business rules on top.</w:t>
      </w:r>
    </w:p>
    <w:p>
      <w:pPr>
        <w:shd w:fill="F2F2F2" w:val="clear"/>
        <w:spacing w:after="200" w:before="100"/>
      </w:pPr>
      <w:r>
        <w:rPr>
          <w:rFonts w:ascii="Consolas" w:cs="Consolas" w:eastAsia="Consolas" w:hAnsi="Consolas"/>
          <w:sz w:val="18"/>
          <w:szCs w:val="18"/>
        </w:rPr>
        <w:t xml:space="preserve">Job request received</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Filter technicians by required skill + availability</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For each eligible technician:</w:t>
      </w:r>
      <w:r>
        <w:rPr>
          <w:rFonts w:ascii="Consolas" w:cs="Consolas" w:eastAsia="Consolas" w:hAnsi="Consolas"/>
          <w:sz w:val="18"/>
          <w:szCs w:val="18"/>
        </w:rPr>
        <w:br/>
        <w:t xml:space="preserve">      call ETA Prediction Engine (baseline + context-aware)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Rank technicians by: predicted ETA, confidence, skill match</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Return: recommended technician, alternatives, reason, confidence</w:t>
      </w:r>
    </w:p>
    <w:p>
      <w:pPr>
        <w:pStyle w:val="Heading2"/>
        <w:spacing w:after="120" w:before="240"/>
      </w:pPr>
      <w:r>
        <w:t xml:space="preserve">3.5 External API Integration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00"/>
      </w:tblGrid>
      <w:tr>
        <w:tc>
          <w:tcPr>
            <w:tcW w:type="dxa" w:w="3000"/>
            <w:shd w:fill="1F4E79" w:val="clear"/>
          </w:tcPr>
          <w:p>
            <w:r>
              <w:rPr>
                <w:rFonts w:ascii="Calibri" w:cs="Calibri" w:eastAsia="Calibri" w:hAnsi="Calibri"/>
                <w:b/>
                <w:bCs/>
                <w:color w:val="FFFFFF"/>
                <w:sz w:val="20"/>
                <w:szCs w:val="20"/>
              </w:rPr>
              <w:t xml:space="preserve">External Source</w:t>
            </w:r>
          </w:p>
        </w:tc>
        <w:tc>
          <w:tcPr>
            <w:tcW w:type="dxa" w:w="2800"/>
            <w:shd w:fill="1F4E79" w:val="clear"/>
          </w:tcPr>
          <w:p>
            <w:r>
              <w:rPr>
                <w:rFonts w:ascii="Calibri" w:cs="Calibri" w:eastAsia="Calibri" w:hAnsi="Calibri"/>
                <w:b/>
                <w:bCs/>
                <w:color w:val="FFFFFF"/>
                <w:sz w:val="20"/>
                <w:szCs w:val="20"/>
              </w:rPr>
              <w:t xml:space="preserve">Used By</w:t>
            </w:r>
          </w:p>
        </w:tc>
        <w:tc>
          <w:tcPr>
            <w:tcW w:type="dxa" w:w="3200"/>
            <w:shd w:fill="1F4E79" w:val="clear"/>
          </w:tcPr>
          <w:p>
            <w:r>
              <w:rPr>
                <w:rFonts w:ascii="Calibri" w:cs="Calibri" w:eastAsia="Calibri" w:hAnsi="Calibri"/>
                <w:b/>
                <w:bCs/>
                <w:color w:val="FFFFFF"/>
                <w:sz w:val="20"/>
                <w:szCs w:val="20"/>
              </w:rPr>
              <w:t xml:space="preserve">Failure Handling</w:t>
            </w:r>
          </w:p>
        </w:tc>
      </w:tr>
      <w:tr>
        <w:tc>
          <w:tcPr>
            <w:tcW w:type="dxa" w:w="3000"/>
          </w:tcPr>
          <w:p>
            <w:r>
              <w:rPr>
                <w:rFonts w:ascii="Calibri" w:cs="Calibri" w:eastAsia="Calibri" w:hAnsi="Calibri"/>
                <w:b w:val="false"/>
                <w:bCs w:val="false"/>
                <w:color w:val="000000"/>
                <w:sz w:val="20"/>
                <w:szCs w:val="20"/>
              </w:rPr>
              <w:t xml:space="preserve">Open-Meteo Weather API</w:t>
            </w:r>
          </w:p>
        </w:tc>
        <w:tc>
          <w:tcPr>
            <w:tcW w:type="dxa" w:w="2800"/>
          </w:tcPr>
          <w:p>
            <w:r>
              <w:rPr>
                <w:rFonts w:ascii="Calibri" w:cs="Calibri" w:eastAsia="Calibri" w:hAnsi="Calibri"/>
                <w:b w:val="false"/>
                <w:bCs w:val="false"/>
                <w:color w:val="000000"/>
                <w:sz w:val="20"/>
                <w:szCs w:val="20"/>
              </w:rPr>
              <w:t xml:space="preserve">ETA Prediction Engine</w:t>
            </w:r>
          </w:p>
        </w:tc>
        <w:tc>
          <w:tcPr>
            <w:tcW w:type="dxa" w:w="3200"/>
          </w:tcPr>
          <w:p>
            <w:r>
              <w:rPr>
                <w:rFonts w:ascii="Calibri" w:cs="Calibri" w:eastAsia="Calibri" w:hAnsi="Calibri"/>
                <w:b w:val="false"/>
                <w:bCs w:val="false"/>
                <w:color w:val="000000"/>
                <w:sz w:val="20"/>
                <w:szCs w:val="20"/>
              </w:rPr>
              <w:t xml:space="preserve">On timeout/error, fall back to baseline model and flag prediction as low-confidence</w:t>
            </w:r>
          </w:p>
        </w:tc>
      </w:tr>
      <w:tr>
        <w:tc>
          <w:tcPr>
            <w:tcW w:type="dxa" w:w="3000"/>
          </w:tcPr>
          <w:p>
            <w:r>
              <w:rPr>
                <w:rFonts w:ascii="Calibri" w:cs="Calibri" w:eastAsia="Calibri" w:hAnsi="Calibri"/>
                <w:b w:val="false"/>
                <w:bCs w:val="false"/>
                <w:color w:val="000000"/>
                <w:sz w:val="20"/>
                <w:szCs w:val="20"/>
              </w:rPr>
              <w:t xml:space="preserve">OpenStreetMap + OpenRouteService (routing)</w:t>
            </w:r>
          </w:p>
        </w:tc>
        <w:tc>
          <w:tcPr>
            <w:tcW w:type="dxa" w:w="2800"/>
          </w:tcPr>
          <w:p>
            <w:r>
              <w:rPr>
                <w:rFonts w:ascii="Calibri" w:cs="Calibri" w:eastAsia="Calibri" w:hAnsi="Calibri"/>
                <w:b w:val="false"/>
                <w:bCs w:val="false"/>
                <w:color w:val="000000"/>
                <w:sz w:val="20"/>
                <w:szCs w:val="20"/>
              </w:rPr>
              <w:t xml:space="preserve">ETA Prediction Engine, Frontend map</w:t>
            </w:r>
          </w:p>
        </w:tc>
        <w:tc>
          <w:tcPr>
            <w:tcW w:type="dxa" w:w="3200"/>
          </w:tcPr>
          <w:p>
            <w:r>
              <w:rPr>
                <w:rFonts w:ascii="Calibri" w:cs="Calibri" w:eastAsia="Calibri" w:hAnsi="Calibri"/>
                <w:b w:val="false"/>
                <w:bCs w:val="false"/>
                <w:color w:val="000000"/>
                <w:sz w:val="20"/>
                <w:szCs w:val="20"/>
              </w:rPr>
              <w:t xml:space="preserve">On ORS rate limit or failure, fall back to Haversine straight-line distance</w:t>
            </w:r>
          </w:p>
        </w:tc>
      </w:tr>
      <w:tr>
        <w:tc>
          <w:tcPr>
            <w:tcW w:type="dxa" w:w="3000"/>
          </w:tcPr>
          <w:p>
            <w:r>
              <w:rPr>
                <w:rFonts w:ascii="Calibri" w:cs="Calibri" w:eastAsia="Calibri" w:hAnsi="Calibri"/>
                <w:b w:val="false"/>
                <w:bCs w:val="false"/>
                <w:color w:val="000000"/>
                <w:sz w:val="20"/>
                <w:szCs w:val="20"/>
              </w:rPr>
              <w:t xml:space="preserve">Historical GPS dataset (offline CSV, pre-loaded)</w:t>
            </w:r>
          </w:p>
        </w:tc>
        <w:tc>
          <w:tcPr>
            <w:tcW w:type="dxa" w:w="2800"/>
          </w:tcPr>
          <w:p>
            <w:r>
              <w:rPr>
                <w:rFonts w:ascii="Calibri" w:cs="Calibri" w:eastAsia="Calibri" w:hAnsi="Calibri"/>
                <w:b w:val="false"/>
                <w:bCs w:val="false"/>
                <w:color w:val="000000"/>
                <w:sz w:val="20"/>
                <w:szCs w:val="20"/>
              </w:rPr>
              <w:t xml:space="preserve">ML training pipeline, feature engineering</w:t>
            </w:r>
          </w:p>
        </w:tc>
        <w:tc>
          <w:tcPr>
            <w:tcW w:type="dxa" w:w="3200"/>
          </w:tcPr>
          <w:p>
            <w:r>
              <w:rPr>
                <w:rFonts w:ascii="Calibri" w:cs="Calibri" w:eastAsia="Calibri" w:hAnsi="Calibri"/>
                <w:b w:val="false"/>
                <w:bCs w:val="false"/>
                <w:color w:val="000000"/>
                <w:sz w:val="20"/>
                <w:szCs w:val="20"/>
              </w:rPr>
              <w:t xml:space="preserve">Static; no runtime failure mode, refresh is a scheduled offline job</w:t>
            </w:r>
          </w:p>
        </w:tc>
      </w:tr>
      <w:tr>
        <w:tc>
          <w:tcPr>
            <w:tcW w:type="dxa" w:w="3000"/>
          </w:tcPr>
          <w:p>
            <w:r>
              <w:rPr>
                <w:rFonts w:ascii="Calibri" w:cs="Calibri" w:eastAsia="Calibri" w:hAnsi="Calibri"/>
                <w:b w:val="false"/>
                <w:bCs w:val="false"/>
                <w:color w:val="000000"/>
                <w:sz w:val="20"/>
                <w:szCs w:val="20"/>
              </w:rPr>
              <w:t xml:space="preserve">Event / road-closure dataset</w:t>
            </w:r>
          </w:p>
        </w:tc>
        <w:tc>
          <w:tcPr>
            <w:tcW w:type="dxa" w:w="2800"/>
          </w:tcPr>
          <w:p>
            <w:r>
              <w:rPr>
                <w:rFonts w:ascii="Calibri" w:cs="Calibri" w:eastAsia="Calibri" w:hAnsi="Calibri"/>
                <w:b w:val="false"/>
                <w:bCs w:val="false"/>
                <w:color w:val="000000"/>
                <w:sz w:val="20"/>
                <w:szCs w:val="20"/>
              </w:rPr>
              <w:t xml:space="preserve">ETA Prediction Engine</w:t>
            </w:r>
          </w:p>
        </w:tc>
        <w:tc>
          <w:tcPr>
            <w:tcW w:type="dxa" w:w="3200"/>
          </w:tcPr>
          <w:p>
            <w:r>
              <w:rPr>
                <w:rFonts w:ascii="Calibri" w:cs="Calibri" w:eastAsia="Calibri" w:hAnsi="Calibri"/>
                <w:b w:val="false"/>
                <w:bCs w:val="false"/>
                <w:color w:val="000000"/>
                <w:sz w:val="20"/>
                <w:szCs w:val="20"/>
              </w:rPr>
              <w:t xml:space="preserve">If unavailable, treat as 'no known event/closure' and flag confidence as medium instead of high</w:t>
            </w:r>
          </w:p>
        </w:tc>
      </w:tr>
    </w:tbl>
    <w:p>
      <w:pPr>
        <w:spacing w:after="160"/>
      </w:pPr>
      <w:r>
        <w:rPr>
          <w:rFonts w:ascii="Calibri" w:cs="Calibri" w:eastAsia="Calibri" w:hAnsi="Calibri"/>
          <w:sz w:val="22"/>
          <w:szCs w:val="22"/>
        </w:rPr>
        <w:t xml:space="preserve"/>
      </w:r>
    </w:p>
    <w:p>
      <w:pPr>
        <w:pStyle w:val="Heading1"/>
        <w:spacing w:after="150" w:before="300"/>
      </w:pPr>
      <w:r>
        <w:t xml:space="preserve">4. Data Flow Diagram</w:t>
      </w:r>
    </w:p>
    <w:p>
      <w:pPr>
        <w:spacing w:after="160"/>
      </w:pPr>
      <w:r>
        <w:rPr>
          <w:rFonts w:ascii="Calibri" w:cs="Calibri" w:eastAsia="Calibri" w:hAnsi="Calibri"/>
          <w:sz w:val="22"/>
          <w:szCs w:val="22"/>
        </w:rPr>
        <w:t xml:space="preserve">This diagram traces a single job from creation to completion, showing which component touches the data at each stage.</w:t>
      </w:r>
    </w:p>
    <w:p>
      <w:pPr>
        <w:shd w:fill="F2F2F2" w:val="clear"/>
        <w:spacing w:after="200" w:before="100"/>
      </w:pPr>
      <w:r>
        <w:rPr>
          <w:rFonts w:ascii="Consolas" w:cs="Consolas" w:eastAsia="Consolas" w:hAnsi="Consolas"/>
          <w:sz w:val="18"/>
          <w:szCs w:val="18"/>
        </w:rPr>
        <w:t xml:space="preserve">[Dispatcher] --creates--&gt; [Job Service] --stores--&gt; [PostgreSQL: jobs]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[Assignment Engine] --requests ETA--&gt; [ETA Prediction Engine]</w:t>
      </w:r>
      <w:r>
        <w:rPr>
          <w:rFonts w:ascii="Consolas" w:cs="Consolas" w:eastAsia="Consolas" w:hAnsi="Consolas"/>
          <w:sz w:val="18"/>
          <w:szCs w:val="18"/>
        </w:rPr>
        <w:br/>
        <w:t xml:space="preserve">                                  |                                  |</w:t>
      </w:r>
      <w:r>
        <w:rPr>
          <w:rFonts w:ascii="Consolas" w:cs="Consolas" w:eastAsia="Consolas" w:hAnsi="Consolas"/>
          <w:sz w:val="18"/>
          <w:szCs w:val="18"/>
        </w:rPr>
        <w:br/>
        <w:t xml:space="preserve">                                  |                    fetches &lt;-----+----&gt; Weather API</w:t>
      </w:r>
      <w:r>
        <w:rPr>
          <w:rFonts w:ascii="Consolas" w:cs="Consolas" w:eastAsia="Consolas" w:hAnsi="Consolas"/>
          <w:sz w:val="18"/>
          <w:szCs w:val="18"/>
        </w:rPr>
        <w:br/>
        <w:t xml:space="preserve">                                  |                    fetches &lt;----------&gt; Routing (ORS/OSM)</w:t>
      </w:r>
      <w:r>
        <w:rPr>
          <w:rFonts w:ascii="Consolas" w:cs="Consolas" w:eastAsia="Consolas" w:hAnsi="Consolas"/>
          <w:sz w:val="18"/>
          <w:szCs w:val="18"/>
        </w:rPr>
        <w:br/>
        <w:t xml:space="preserve">                                  |                    fetches &lt;----------&gt; Event/Closure data</w:t>
      </w:r>
      <w:r>
        <w:rPr>
          <w:rFonts w:ascii="Consolas" w:cs="Consolas" w:eastAsia="Consolas" w:hAnsi="Consolas"/>
          <w:sz w:val="18"/>
          <w:szCs w:val="18"/>
        </w:rPr>
        <w:br/>
        <w:t xml:space="preserve">                                  |                    reads   &lt;----------&gt; Historical GPS (trained model)</w:t>
      </w:r>
      <w:r>
        <w:rPr>
          <w:rFonts w:ascii="Consolas" w:cs="Consolas" w:eastAsia="Consolas" w:hAnsi="Consolas"/>
          <w:sz w:val="18"/>
          <w:szCs w:val="18"/>
        </w:rPr>
        <w:br/>
        <w:t xml:space="preserve">                                  v</w:t>
      </w:r>
      <w:r>
        <w:rPr>
          <w:rFonts w:ascii="Consolas" w:cs="Consolas" w:eastAsia="Consolas" w:hAnsi="Consolas"/>
          <w:sz w:val="18"/>
          <w:szCs w:val="18"/>
        </w:rPr>
        <w:br/>
        <w:t xml:space="preserve">                     [Recommendation: technician, ETA, confidence, reason]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[Dispatcher] --accepts or overrides--&gt;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[Audit Service] --writes (append-only)--&gt; [PostgreSQL: plan_history]</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[Technician App] --status updates--&gt; [Job Service] --&gt; [PostgreSQL: jobs]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[Analytics Service] --aggregates--&gt; [Performance Dashboard]</w:t>
      </w:r>
    </w:p>
    <w:p>
      <w:pPr>
        <w:pStyle w:val="Heading1"/>
        <w:spacing w:after="150" w:before="300"/>
      </w:pPr>
      <w:r>
        <w:t xml:space="preserve">5. Sequence Diagram — Dispatcher Override Scenario</w:t>
      </w:r>
    </w:p>
    <w:p>
      <w:pPr>
        <w:spacing w:after="160"/>
      </w:pPr>
      <w:r>
        <w:rPr>
          <w:rFonts w:ascii="Calibri" w:cs="Calibri" w:eastAsia="Calibri" w:hAnsi="Calibri"/>
          <w:sz w:val="22"/>
          <w:szCs w:val="22"/>
        </w:rPr>
        <w:t xml:space="preserve">This sequence illustrates the mandatory override-with-reason requirement end to end.</w:t>
      </w:r>
    </w:p>
    <w:p>
      <w:pPr>
        <w:shd w:fill="F2F2F2" w:val="clear"/>
        <w:spacing w:after="200" w:before="100"/>
      </w:pPr>
      <w:r>
        <w:rPr>
          <w:rFonts w:ascii="Consolas" w:cs="Consolas" w:eastAsia="Consolas" w:hAnsi="Consolas"/>
          <w:sz w:val="18"/>
          <w:szCs w:val="18"/>
        </w:rPr>
        <w:t xml:space="preserve">Dispatcher        Frontend         Assignment Engine     Audit Service     Database</w:t>
      </w:r>
      <w:r>
        <w:rPr>
          <w:rFonts w:ascii="Consolas" w:cs="Consolas" w:eastAsia="Consolas" w:hAnsi="Consolas"/>
          <w:sz w:val="18"/>
          <w:szCs w:val="18"/>
        </w:rPr>
        <w:br/>
        <w:t xml:space="preserve">    |                 |                     |                  |               |</w:t>
      </w:r>
      <w:r>
        <w:rPr>
          <w:rFonts w:ascii="Consolas" w:cs="Consolas" w:eastAsia="Consolas" w:hAnsi="Consolas"/>
          <w:sz w:val="18"/>
          <w:szCs w:val="18"/>
        </w:rPr>
        <w:br/>
        <w:t xml:space="preserve">    |--select job----&gt;|                     |                  |               |</w:t>
      </w:r>
      <w:r>
        <w:rPr>
          <w:rFonts w:ascii="Consolas" w:cs="Consolas" w:eastAsia="Consolas" w:hAnsi="Consolas"/>
          <w:sz w:val="18"/>
          <w:szCs w:val="18"/>
        </w:rPr>
        <w:br/>
        <w:t xml:space="preserve">    |                 |--GET /eta----------&gt;|                  |               |</w:t>
      </w:r>
      <w:r>
        <w:rPr>
          <w:rFonts w:ascii="Consolas" w:cs="Consolas" w:eastAsia="Consolas" w:hAnsi="Consolas"/>
          <w:sz w:val="18"/>
          <w:szCs w:val="18"/>
        </w:rPr>
        <w:br/>
        <w:t xml:space="preserve">    |                 |&lt;--recommended tech--|                  |               |</w:t>
      </w:r>
      <w:r>
        <w:rPr>
          <w:rFonts w:ascii="Consolas" w:cs="Consolas" w:eastAsia="Consolas" w:hAnsi="Consolas"/>
          <w:sz w:val="18"/>
          <w:szCs w:val="18"/>
        </w:rPr>
        <w:br/>
        <w:t xml:space="preserve">    |&lt;--shows rec-----|                     |                  |               |</w:t>
      </w:r>
      <w:r>
        <w:rPr>
          <w:rFonts w:ascii="Consolas" w:cs="Consolas" w:eastAsia="Consolas" w:hAnsi="Consolas"/>
          <w:sz w:val="18"/>
          <w:szCs w:val="18"/>
        </w:rPr>
        <w:br/>
        <w:t xml:space="preserve">    |--override------&gt;|                     |                  |               |</w:t>
      </w:r>
      <w:r>
        <w:rPr>
          <w:rFonts w:ascii="Consolas" w:cs="Consolas" w:eastAsia="Consolas" w:hAnsi="Consolas"/>
          <w:sz w:val="18"/>
          <w:szCs w:val="18"/>
        </w:rPr>
        <w:br/>
        <w:t xml:space="preserve">    |  (with reason)  |--POST /override----&gt;|                  |               |</w:t>
      </w:r>
      <w:r>
        <w:rPr>
          <w:rFonts w:ascii="Consolas" w:cs="Consolas" w:eastAsia="Consolas" w:hAnsi="Consolas"/>
          <w:sz w:val="18"/>
          <w:szCs w:val="18"/>
        </w:rPr>
        <w:br/>
        <w:t xml:space="preserve">    |                 |                     |--validate reason&gt;|               |</w:t>
      </w:r>
      <w:r>
        <w:rPr>
          <w:rFonts w:ascii="Consolas" w:cs="Consolas" w:eastAsia="Consolas" w:hAnsi="Consolas"/>
          <w:sz w:val="18"/>
          <w:szCs w:val="18"/>
        </w:rPr>
        <w:br/>
        <w:t xml:space="preserve">    |                 |                     |                  |--INSERT------&gt;|</w:t>
      </w:r>
      <w:r>
        <w:rPr>
          <w:rFonts w:ascii="Consolas" w:cs="Consolas" w:eastAsia="Consolas" w:hAnsi="Consolas"/>
          <w:sz w:val="18"/>
          <w:szCs w:val="18"/>
        </w:rPr>
        <w:br/>
        <w:t xml:space="preserve">    |                 |                     |                  |  plan_history |</w:t>
      </w:r>
      <w:r>
        <w:rPr>
          <w:rFonts w:ascii="Consolas" w:cs="Consolas" w:eastAsia="Consolas" w:hAnsi="Consolas"/>
          <w:sz w:val="18"/>
          <w:szCs w:val="18"/>
        </w:rPr>
        <w:br/>
        <w:t xml:space="preserve">    |                 |&lt;--200 OK, updated---|                  |               |</w:t>
      </w:r>
      <w:r>
        <w:rPr>
          <w:rFonts w:ascii="Consolas" w:cs="Consolas" w:eastAsia="Consolas" w:hAnsi="Consolas"/>
          <w:sz w:val="18"/>
          <w:szCs w:val="18"/>
        </w:rPr>
        <w:br/>
        <w:t xml:space="preserve">    |&lt;--confirmation--|     assignment      |                  |               |</w:t>
      </w:r>
    </w:p>
    <w:p>
      <w:pPr>
        <w:spacing w:after="160"/>
      </w:pPr>
      <w:r>
        <w:rPr>
          <w:rFonts w:ascii="Calibri" w:cs="Calibri" w:eastAsia="Calibri" w:hAnsi="Calibri"/>
          <w:sz w:val="22"/>
          <w:szCs w:val="22"/>
        </w:rPr>
        <w:t xml:space="preserve">The reason field is validated as mandatory at both the frontend form level and the backend API level (defense in depth). The audit write is the last step in the transaction — if it fails, the override itself is rolled back, guaranteeing the audit trail can never be out of sync with the actual assignment state.</w:t>
      </w:r>
    </w:p>
    <w:p>
      <w:pPr>
        <w:pStyle w:val="Heading1"/>
        <w:spacing w:after="150" w:before="300"/>
      </w:pPr>
      <w:r>
        <w:t xml:space="preserve">6. Deployment Architecture</w:t>
      </w:r>
    </w:p>
    <w:p>
      <w:pPr>
        <w:spacing w:after="160"/>
      </w:pPr>
      <w:r>
        <w:rPr>
          <w:rFonts w:ascii="Calibri" w:cs="Calibri" w:eastAsia="Calibri" w:hAnsi="Calibri"/>
          <w:sz w:val="22"/>
          <w:szCs w:val="22"/>
        </w:rPr>
        <w:t xml:space="preserve">FieldOps AI uses a direct platform-based deployment strategy rather than a containerized (Docker) approach. This is a deliberate, documented architectural decision: given the 15-to-20-day build window and single-developer team, direct platform deployment (Vercel, Render, Neon) removes container-orchestration overhead while still producing a live, publicly reachable, professionally hosted application.</w:t>
      </w:r>
    </w:p>
    <w:p>
      <w:pPr>
        <w:shd w:fill="F2F2F2" w:val="clear"/>
        <w:spacing w:after="200" w:before="100"/>
      </w:pPr>
      <w:r>
        <w:rPr>
          <w:rFonts w:ascii="Consolas" w:cs="Consolas" w:eastAsia="Consolas" w:hAnsi="Consolas"/>
          <w:sz w:val="18"/>
          <w:szCs w:val="18"/>
        </w:rPr>
        <w:t xml:space="preserve">+----------------+        +--------------------+        +------------------+</w:t>
      </w:r>
      <w:r>
        <w:rPr>
          <w:rFonts w:ascii="Consolas" w:cs="Consolas" w:eastAsia="Consolas" w:hAnsi="Consolas"/>
          <w:sz w:val="18"/>
          <w:szCs w:val="18"/>
        </w:rPr>
        <w:br/>
        <w:t xml:space="preserve">|  Vercel          |        |  Render              |        |  Neon PostgreSQL   |</w:t>
      </w:r>
      <w:r>
        <w:rPr>
          <w:rFonts w:ascii="Consolas" w:cs="Consolas" w:eastAsia="Consolas" w:hAnsi="Consolas"/>
          <w:sz w:val="18"/>
          <w:szCs w:val="18"/>
        </w:rPr>
        <w:br/>
        <w:t xml:space="preserve">|  (Frontend)       |-------&gt;|  (FastAPI Backend)    |-------&gt;|  (Managed,        |</w:t>
      </w:r>
      <w:r>
        <w:rPr>
          <w:rFonts w:ascii="Consolas" w:cs="Consolas" w:eastAsia="Consolas" w:hAnsi="Consolas"/>
          <w:sz w:val="18"/>
          <w:szCs w:val="18"/>
        </w:rPr>
        <w:br/>
        <w:t xml:space="preserve">|  React build,     |  REST  |  Uvicorn, auto-build  |  SQL   |   serverless)     |</w:t>
      </w:r>
      <w:r>
        <w:rPr>
          <w:rFonts w:ascii="Consolas" w:cs="Consolas" w:eastAsia="Consolas" w:hAnsi="Consolas"/>
          <w:sz w:val="18"/>
          <w:szCs w:val="18"/>
        </w:rPr>
        <w:br/>
        <w:t xml:space="preserve">|  auto-deploy on   |  HTTPS |  from requirements.txt|        |                  |</w:t>
      </w:r>
      <w:r>
        <w:rPr>
          <w:rFonts w:ascii="Consolas" w:cs="Consolas" w:eastAsia="Consolas" w:hAnsi="Consolas"/>
          <w:sz w:val="18"/>
          <w:szCs w:val="18"/>
        </w:rPr>
        <w:br/>
        <w:t xml:space="preserve">|  git push          |        |  on git push          |        |                  |</w:t>
      </w:r>
      <w:r>
        <w:rPr>
          <w:rFonts w:ascii="Consolas" w:cs="Consolas" w:eastAsia="Consolas" w:hAnsi="Consolas"/>
          <w:sz w:val="18"/>
          <w:szCs w:val="18"/>
        </w:rPr>
        <w:br/>
        <w:t xml:space="preserve">+----------------+        +--------------------+        +------------------+</w:t>
      </w:r>
      <w:r>
        <w:rPr>
          <w:rFonts w:ascii="Consolas" w:cs="Consolas" w:eastAsia="Consolas" w:hAnsi="Consolas"/>
          <w:sz w:val="18"/>
          <w:szCs w:val="18"/>
        </w:rPr>
        <w:br/>
        <w:t xml:space="preserve">         ^</w:t>
      </w:r>
      <w:r>
        <w:rPr>
          <w:rFonts w:ascii="Consolas" w:cs="Consolas" w:eastAsia="Consolas" w:hAnsi="Consolas"/>
          <w:sz w:val="18"/>
          <w:szCs w:val="18"/>
        </w:rPr>
        <w:br/>
        <w:t xml:space="preserve">         | single public URL shared with users</w:t>
      </w:r>
      <w:r>
        <w:rPr>
          <w:rFonts w:ascii="Consolas" w:cs="Consolas" w:eastAsia="Consolas" w:hAnsi="Consolas"/>
          <w:sz w:val="18"/>
          <w:szCs w:val="18"/>
        </w:rPr>
        <w:br/>
        <w:t xml:space="preserve">         |  e.g. fieldops-ai.vercel.app</w:t>
      </w:r>
      <w:r>
        <w:rPr>
          <w:rFonts w:ascii="Consolas" w:cs="Consolas" w:eastAsia="Consolas" w:hAnsi="Consolas"/>
          <w:sz w:val="18"/>
          <w:szCs w:val="18"/>
        </w:rPr>
        <w:br/>
        <w:t xml:space="preserve">   End users (Dispatcher / Technician / Admin / evaluator)</w:t>
      </w:r>
    </w:p>
    <w:p>
      <w:pPr>
        <w:pStyle w:val="Heading2"/>
        <w:spacing w:after="120" w:before="240"/>
      </w:pPr>
      <w:r>
        <w:t xml:space="preserve">6.1 Deployment Notes</w:t>
      </w:r>
    </w:p>
    <w:p>
      <w:pPr>
        <w:pStyle w:val="ListParagraph"/>
        <w:numPr>
          <w:ilvl w:val="0"/>
          <w:numId w:val="1"/>
        </w:numPr>
        <w:spacing w:after="80"/>
      </w:pPr>
      <w:r>
        <w:rPr>
          <w:rFonts w:ascii="Calibri" w:cs="Calibri" w:eastAsia="Calibri" w:hAnsi="Calibri"/>
          <w:sz w:val="22"/>
          <w:szCs w:val="22"/>
        </w:rPr>
        <w:t xml:space="preserve">Only one URL (the Vercel frontend link) is shared with end users; the frontend calls the Render backend internally, which is invisible to the user — the experience is a single seamless application.</w:t>
      </w:r>
    </w:p>
    <w:p>
      <w:pPr>
        <w:pStyle w:val="ListParagraph"/>
        <w:numPr>
          <w:ilvl w:val="0"/>
          <w:numId w:val="1"/>
        </w:numPr>
        <w:spacing w:after="80"/>
      </w:pPr>
      <w:r>
        <w:rPr>
          <w:rFonts w:ascii="Calibri" w:cs="Calibri" w:eastAsia="Calibri" w:hAnsi="Calibri"/>
          <w:sz w:val="22"/>
          <w:szCs w:val="22"/>
        </w:rPr>
        <w:t xml:space="preserve">Both Vercel and Render auto-deploy from GitHub on every push, so no manual build/upload step is needed after the initial connection.</w:t>
      </w:r>
    </w:p>
    <w:p>
      <w:pPr>
        <w:pStyle w:val="ListParagraph"/>
        <w:numPr>
          <w:ilvl w:val="0"/>
          <w:numId w:val="1"/>
        </w:numPr>
        <w:spacing w:after="80"/>
      </w:pPr>
      <w:r>
        <w:rPr>
          <w:rFonts w:ascii="Calibri" w:cs="Calibri" w:eastAsia="Calibri" w:hAnsi="Calibri"/>
          <w:sz w:val="22"/>
          <w:szCs w:val="22"/>
        </w:rPr>
        <w:t xml:space="preserve">Environment variables (API keys, database URL, JWT secret) are configured in the Vercel/Render dashboards, never hardcoded in source.</w:t>
      </w:r>
    </w:p>
    <w:p>
      <w:pPr>
        <w:pStyle w:val="ListParagraph"/>
        <w:numPr>
          <w:ilvl w:val="0"/>
          <w:numId w:val="1"/>
        </w:numPr>
        <w:spacing w:after="80"/>
      </w:pPr>
      <w:r>
        <w:rPr>
          <w:rFonts w:ascii="Calibri" w:cs="Calibri" w:eastAsia="Calibri" w:hAnsi="Calibri"/>
          <w:sz w:val="22"/>
          <w:szCs w:val="22"/>
        </w:rPr>
        <w:t xml:space="preserve">The ML model is trained offline; the serialized model file (.joblib) is committed to the backend repository and loaded at Render startup — retraining is a manual/scheduled job, not part of the live request path.</w:t>
      </w:r>
    </w:p>
    <w:p>
      <w:pPr>
        <w:pStyle w:val="ListParagraph"/>
        <w:numPr>
          <w:ilvl w:val="0"/>
          <w:numId w:val="1"/>
        </w:numPr>
        <w:spacing w:after="80"/>
      </w:pPr>
      <w:r>
        <w:rPr>
          <w:rFonts w:ascii="Calibri" w:cs="Calibri" w:eastAsia="Calibri" w:hAnsi="Calibri"/>
          <w:sz w:val="22"/>
          <w:szCs w:val="22"/>
        </w:rPr>
        <w:t xml:space="preserve">Neon PostgreSQL persists all state, including plan_history, independently of backend restarts or redeploys.</w:t>
      </w:r>
    </w:p>
    <w:p>
      <w:pPr>
        <w:pStyle w:val="ListParagraph"/>
        <w:numPr>
          <w:ilvl w:val="0"/>
          <w:numId w:val="1"/>
        </w:numPr>
        <w:spacing w:after="80"/>
      </w:pPr>
      <w:r>
        <w:rPr>
          <w:rFonts w:ascii="Calibri" w:cs="Calibri" w:eastAsia="Calibri" w:hAnsi="Calibri"/>
          <w:sz w:val="22"/>
          <w:szCs w:val="22"/>
        </w:rPr>
        <w:t xml:space="preserve">Accepted limitation: the Render free tier may cold-start (30-50 second delay) after a period of inactivity. This is documented here as a known, accepted trade-off of free-tier hosting, not a defect.</w:t>
      </w:r>
    </w:p>
    <w:p>
      <w:pPr>
        <w:pStyle w:val="Heading1"/>
        <w:spacing w:after="150" w:before="300"/>
      </w:pPr>
      <w:r>
        <w:t xml:space="preserve">7. Non-Functional Architecture Considerations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79" w:val="clear"/>
          </w:tcPr>
          <w:p>
            <w:r>
              <w:rPr>
                <w:rFonts w:ascii="Calibri" w:cs="Calibri" w:eastAsia="Calibri" w:hAnsi="Calibri"/>
                <w:b/>
                <w:bCs/>
                <w:color w:val="FFFFFF"/>
                <w:sz w:val="20"/>
                <w:szCs w:val="20"/>
              </w:rPr>
              <w:t xml:space="preserve">Concern</w:t>
            </w:r>
          </w:p>
        </w:tc>
        <w:tc>
          <w:tcPr>
            <w:tcW w:type="dxa" w:w="6400"/>
            <w:shd w:fill="1F4E79" w:val="clear"/>
          </w:tcPr>
          <w:p>
            <w:r>
              <w:rPr>
                <w:rFonts w:ascii="Calibri" w:cs="Calibri" w:eastAsia="Calibri" w:hAnsi="Calibri"/>
                <w:b/>
                <w:bCs/>
                <w:color w:val="FFFFFF"/>
                <w:sz w:val="20"/>
                <w:szCs w:val="20"/>
              </w:rPr>
              <w:t xml:space="preserve">Architectural Response</w:t>
            </w:r>
          </w:p>
        </w:tc>
      </w:tr>
      <w:tr>
        <w:tc>
          <w:tcPr>
            <w:tcW w:type="dxa" w:w="2600"/>
          </w:tcPr>
          <w:p>
            <w:r>
              <w:rPr>
                <w:rFonts w:ascii="Calibri" w:cs="Calibri" w:eastAsia="Calibri" w:hAnsi="Calibri"/>
                <w:b w:val="false"/>
                <w:bCs w:val="false"/>
                <w:color w:val="000000"/>
                <w:sz w:val="20"/>
                <w:szCs w:val="20"/>
              </w:rPr>
              <w:t xml:space="preserve">Performance</w:t>
            </w:r>
          </w:p>
        </w:tc>
        <w:tc>
          <w:tcPr>
            <w:tcW w:type="dxa" w:w="6400"/>
          </w:tcPr>
          <w:p>
            <w:r>
              <w:rPr>
                <w:rFonts w:ascii="Calibri" w:cs="Calibri" w:eastAsia="Calibri" w:hAnsi="Calibri"/>
                <w:b w:val="false"/>
                <w:bCs w:val="false"/>
                <w:color w:val="000000"/>
                <w:sz w:val="20"/>
                <w:szCs w:val="20"/>
              </w:rPr>
              <w:t xml:space="preserve">Dashboard queries target under 2 seconds; ETA prediction uses a pre-trained model (inference only at request time, no retraining)</w:t>
            </w:r>
          </w:p>
        </w:tc>
      </w:tr>
      <w:tr>
        <w:tc>
          <w:tcPr>
            <w:tcW w:type="dxa" w:w="2600"/>
          </w:tcPr>
          <w:p>
            <w:r>
              <w:rPr>
                <w:rFonts w:ascii="Calibri" w:cs="Calibri" w:eastAsia="Calibri" w:hAnsi="Calibri"/>
                <w:b w:val="false"/>
                <w:bCs w:val="false"/>
                <w:color w:val="000000"/>
                <w:sz w:val="20"/>
                <w:szCs w:val="20"/>
              </w:rPr>
              <w:t xml:space="preserve">Reliability</w:t>
            </w:r>
          </w:p>
        </w:tc>
        <w:tc>
          <w:tcPr>
            <w:tcW w:type="dxa" w:w="6400"/>
          </w:tcPr>
          <w:p>
            <w:r>
              <w:rPr>
                <w:rFonts w:ascii="Calibri" w:cs="Calibri" w:eastAsia="Calibri" w:hAnsi="Calibri"/>
                <w:b w:val="false"/>
                <w:bCs w:val="false"/>
                <w:color w:val="000000"/>
                <w:sz w:val="20"/>
                <w:szCs w:val="20"/>
              </w:rPr>
              <w:t xml:space="preserve">plan_history table is INSERT-only at the application layer; no UPDATE/DELETE endpoints exist for it</w:t>
            </w:r>
          </w:p>
        </w:tc>
      </w:tr>
      <w:tr>
        <w:tc>
          <w:tcPr>
            <w:tcW w:type="dxa" w:w="2600"/>
          </w:tcPr>
          <w:p>
            <w:r>
              <w:rPr>
                <w:rFonts w:ascii="Calibri" w:cs="Calibri" w:eastAsia="Calibri" w:hAnsi="Calibri"/>
                <w:b w:val="false"/>
                <w:bCs w:val="false"/>
                <w:color w:val="000000"/>
                <w:sz w:val="20"/>
                <w:szCs w:val="20"/>
              </w:rPr>
              <w:t xml:space="preserve">Security</w:t>
            </w:r>
          </w:p>
        </w:tc>
        <w:tc>
          <w:tcPr>
            <w:tcW w:type="dxa" w:w="6400"/>
          </w:tcPr>
          <w:p>
            <w:r>
              <w:rPr>
                <w:rFonts w:ascii="Calibri" w:cs="Calibri" w:eastAsia="Calibri" w:hAnsi="Calibri"/>
                <w:b w:val="false"/>
                <w:bCs w:val="false"/>
                <w:color w:val="000000"/>
                <w:sz w:val="20"/>
                <w:szCs w:val="20"/>
              </w:rPr>
              <w:t xml:space="preserve">JWT authentication on all protected routes; role checks enforced server-side, not just hidden in the UI</w:t>
            </w:r>
          </w:p>
        </w:tc>
      </w:tr>
      <w:tr>
        <w:tc>
          <w:tcPr>
            <w:tcW w:type="dxa" w:w="2600"/>
          </w:tcPr>
          <w:p>
            <w:r>
              <w:rPr>
                <w:rFonts w:ascii="Calibri" w:cs="Calibri" w:eastAsia="Calibri" w:hAnsi="Calibri"/>
                <w:b w:val="false"/>
                <w:bCs w:val="false"/>
                <w:color w:val="000000"/>
                <w:sz w:val="20"/>
                <w:szCs w:val="20"/>
              </w:rPr>
              <w:t xml:space="preserve">Scalability</w:t>
            </w:r>
          </w:p>
        </w:tc>
        <w:tc>
          <w:tcPr>
            <w:tcW w:type="dxa" w:w="6400"/>
          </w:tcPr>
          <w:p>
            <w:r>
              <w:rPr>
                <w:rFonts w:ascii="Calibri" w:cs="Calibri" w:eastAsia="Calibri" w:hAnsi="Calibri"/>
                <w:b w:val="false"/>
                <w:bCs w:val="false"/>
                <w:color w:val="000000"/>
                <w:sz w:val="20"/>
                <w:szCs w:val="20"/>
              </w:rPr>
              <w:t xml:space="preserve">Modular service boundaries mean any module (e.g., ETA Prediction Engine) can be extracted into its own service later without rewriting the rest</w:t>
            </w:r>
          </w:p>
        </w:tc>
      </w:tr>
      <w:tr>
        <w:tc>
          <w:tcPr>
            <w:tcW w:type="dxa" w:w="2600"/>
          </w:tcPr>
          <w:p>
            <w:r>
              <w:rPr>
                <w:rFonts w:ascii="Calibri" w:cs="Calibri" w:eastAsia="Calibri" w:hAnsi="Calibri"/>
                <w:b w:val="false"/>
                <w:bCs w:val="false"/>
                <w:color w:val="000000"/>
                <w:sz w:val="20"/>
                <w:szCs w:val="20"/>
              </w:rPr>
              <w:t xml:space="preserve">Maintainability</w:t>
            </w:r>
          </w:p>
        </w:tc>
        <w:tc>
          <w:tcPr>
            <w:tcW w:type="dxa" w:w="6400"/>
          </w:tcPr>
          <w:p>
            <w:r>
              <w:rPr>
                <w:rFonts w:ascii="Calibri" w:cs="Calibri" w:eastAsia="Calibri" w:hAnsi="Calibri"/>
                <w:b w:val="false"/>
                <w:bCs w:val="false"/>
                <w:color w:val="000000"/>
                <w:sz w:val="20"/>
                <w:szCs w:val="20"/>
              </w:rPr>
              <w:t xml:space="preserve">Consistent folder structure (api / models / services / ml / core) keeps each concern isolated and independently testable</w:t>
            </w:r>
          </w:p>
        </w:tc>
      </w:tr>
    </w:tbl>
    <w:p>
      <w:pPr>
        <w:spacing w:after="160"/>
      </w:pPr>
      <w:r>
        <w:rPr>
          <w:rFonts w:ascii="Calibri" w:cs="Calibri" w:eastAsia="Calibri" w:hAnsi="Calibri"/>
          <w:sz w:val="22"/>
          <w:szCs w:val="22"/>
        </w:rPr>
        <w:t xml:space="preserve"/>
      </w:r>
    </w:p>
    <w:p>
      <w:pPr>
        <w:pStyle w:val="Heading1"/>
        <w:spacing w:after="150" w:before="300"/>
      </w:pPr>
      <w:r>
        <w:t xml:space="preserve">8. Summary</w:t>
      </w:r>
    </w:p>
    <w:p>
      <w:pPr>
        <w:spacing w:after="160"/>
      </w:pPr>
      <w:r>
        <w:rPr>
          <w:rFonts w:ascii="Calibri" w:cs="Calibri" w:eastAsia="Calibri" w:hAnsi="Calibri"/>
          <w:sz w:val="22"/>
          <w:szCs w:val="22"/>
        </w:rPr>
        <w:t xml:space="preserve">This architecture uses a modular monolith with clearly separated internal services, a single PostgreSQL database as the source of truth, and explicit failure-handling paths for every external dependency. The Assignment Engine and ETA Prediction Engine form the decision-intelligence core described in the PRD, while the Audit Service guarantees the auditable history of plan changes required by the problem statement. This document is the reference architecture that the Database Design Document (DDD), API Design, and UI/UX Specification are built against.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2026-08-06T09:51:10.478Z</dcterms:created>
  <dcterms:modified xsi:type="dcterms:W3CDTF">2026-08-06T09:51:10.478Z</dcterms:modified>
</cp:coreProperties>
</file>

<file path=docProps/custom.xml><?xml version="1.0" encoding="utf-8"?>
<Properties xmlns="http://schemas.openxmlformats.org/officeDocument/2006/custom-properties" xmlns:vt="http://schemas.openxmlformats.org/officeDocument/2006/docPropsVTypes"/>
</file>