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40"/>
          <w:szCs w:val="40"/>
        </w:rPr>
        <w:t xml:space="preserve">Software Requirements Specification (SRS)</w:t>
      </w:r>
    </w:p>
    <w:p>
      <w:pPr>
        <w:spacing w:after="100"/>
        <w:jc w:val="center"/>
      </w:pPr>
      <w:r>
        <w:rPr>
          <w:rFonts w:ascii="Calibri" w:cs="Calibri" w:eastAsia="Calibri" w:hAnsi="Calibri"/>
          <w:i/>
          <w:iCs/>
          <w:sz w:val="26"/>
          <w:szCs w:val="26"/>
        </w:rPr>
        <w:t xml:space="preserve">FieldOps AI — Context-Aware Technician Dispatch &amp; ETA Prediction Platform</w:t>
      </w:r>
    </w:p>
    <w:p>
      <w:pPr>
        <w:spacing w:after="40"/>
        <w:jc w:val="center"/>
      </w:pPr>
      <w:r>
        <w:rPr>
          <w:rFonts w:ascii="Calibri" w:cs="Calibri" w:eastAsia="Calibri" w:hAnsi="Calibri"/>
          <w:sz w:val="22"/>
          <w:szCs w:val="22"/>
        </w:rPr>
        <w:t xml:space="preserve">IEEE 830-Style Format | Document Version 1.0</w:t>
      </w:r>
    </w:p>
    <w:p>
      <w:pPr>
        <w:spacing w:after="600"/>
        <w:jc w:val="center"/>
      </w:pPr>
      <w:r>
        <w:rPr>
          <w:rFonts w:ascii="Calibri" w:cs="Calibri" w:eastAsia="Calibri" w:hAnsi="Calibri"/>
          <w:sz w:val="22"/>
          <w:szCs w:val="22"/>
        </w:rPr>
        <w:t xml:space="preserve">Prepared for: Semester 5, C28 Project, Review 1</w:t>
      </w:r>
    </w:p>
    <w:p>
      <w:pPr>
        <w:pStyle w:val="Heading1"/>
        <w:spacing w:after="150" w:before="300"/>
      </w:pPr>
      <w:r>
        <w:t xml:space="preserve">1. Introduction</w:t>
      </w:r>
    </w:p>
    <w:p>
      <w:pPr>
        <w:pStyle w:val="Heading2"/>
        <w:spacing w:after="120" w:before="240"/>
      </w:pPr>
      <w:r>
        <w:t xml:space="preserve">1.1 Purpose</w:t>
      </w:r>
    </w:p>
    <w:p>
      <w:pPr>
        <w:spacing w:after="160"/>
      </w:pPr>
      <w:r>
        <w:rPr>
          <w:rFonts w:ascii="Calibri" w:cs="Calibri" w:eastAsia="Calibri" w:hAnsi="Calibri"/>
          <w:sz w:val="22"/>
          <w:szCs w:val="22"/>
        </w:rPr>
        <w:t xml:space="preserve">This Software Requirements Specification (SRS) describes the functional and non-functional requirements of FieldOps AI, a context-aware technician dispatch and ETA prediction platform. It is written for the project evaluators, the development team, and future maintainers, and follows the general structure of the IEEE 830 SRS standard, adapted for an academic project of 15-to-20-day scope.</w:t>
      </w:r>
    </w:p>
    <w:p>
      <w:pPr>
        <w:pStyle w:val="Heading2"/>
        <w:spacing w:after="120" w:before="240"/>
      </w:pPr>
      <w:r>
        <w:t xml:space="preserve">1.2 Document Conventions</w:t>
      </w:r>
    </w:p>
    <w:p>
      <w:pPr>
        <w:spacing w:after="160"/>
      </w:pPr>
      <w:r>
        <w:rPr>
          <w:rFonts w:ascii="Calibri" w:cs="Calibri" w:eastAsia="Calibri" w:hAnsi="Calibri"/>
          <w:sz w:val="22"/>
          <w:szCs w:val="22"/>
        </w:rPr>
        <w:t xml:space="preserve">Requirements are labeled with unique identifiers: FR-xx for functional requirements and NFR-xx for non-functional requirements, to allow traceability from requirement to implementation to test case.</w:t>
      </w:r>
    </w:p>
    <w:p>
      <w:pPr>
        <w:pStyle w:val="Heading2"/>
        <w:spacing w:after="120" w:before="240"/>
      </w:pPr>
      <w:r>
        <w:t xml:space="preserve">1.3 Intended Audience</w:t>
      </w:r>
    </w:p>
    <w:p>
      <w:pPr>
        <w:pStyle w:val="ListParagraph"/>
        <w:numPr>
          <w:ilvl w:val="0"/>
          <w:numId w:val="1"/>
        </w:numPr>
        <w:spacing w:after="80"/>
      </w:pPr>
      <w:r>
        <w:rPr>
          <w:rFonts w:ascii="Calibri" w:cs="Calibri" w:eastAsia="Calibri" w:hAnsi="Calibri"/>
          <w:sz w:val="22"/>
          <w:szCs w:val="22"/>
        </w:rPr>
        <w:t xml:space="preserve">Project evaluators (faculty reviewers) assessing scope, correctness, and completeness.</w:t>
      </w:r>
    </w:p>
    <w:p>
      <w:pPr>
        <w:pStyle w:val="ListParagraph"/>
        <w:numPr>
          <w:ilvl w:val="0"/>
          <w:numId w:val="1"/>
        </w:numPr>
        <w:spacing w:after="80"/>
      </w:pPr>
      <w:r>
        <w:rPr>
          <w:rFonts w:ascii="Calibri" w:cs="Calibri" w:eastAsia="Calibri" w:hAnsi="Calibri"/>
          <w:sz w:val="22"/>
          <w:szCs w:val="22"/>
        </w:rPr>
        <w:t xml:space="preserve">The development team (self), as the authoritative reference during implementation.</w:t>
      </w:r>
    </w:p>
    <w:p>
      <w:pPr>
        <w:pStyle w:val="ListParagraph"/>
        <w:numPr>
          <w:ilvl w:val="0"/>
          <w:numId w:val="1"/>
        </w:numPr>
        <w:spacing w:after="80"/>
      </w:pPr>
      <w:r>
        <w:rPr>
          <w:rFonts w:ascii="Calibri" w:cs="Calibri" w:eastAsia="Calibri" w:hAnsi="Calibri"/>
          <w:sz w:val="22"/>
          <w:szCs w:val="22"/>
        </w:rPr>
        <w:t xml:space="preserve">Any future contributor extending the system beyond the academic scope.</w:t>
      </w:r>
    </w:p>
    <w:p>
      <w:pPr>
        <w:pStyle w:val="Heading2"/>
        <w:spacing w:after="120" w:before="240"/>
      </w:pPr>
      <w:r>
        <w:t xml:space="preserve">1.4 Project Scope</w:t>
      </w:r>
    </w:p>
    <w:p>
      <w:pPr>
        <w:spacing w:after="160"/>
      </w:pPr>
      <w:r>
        <w:rPr>
          <w:rFonts w:ascii="Calibri" w:cs="Calibri" w:eastAsia="Calibri" w:hAnsi="Calibri"/>
          <w:sz w:val="22"/>
          <w:szCs w:val="22"/>
        </w:rPr>
        <w:t xml:space="preserve">FieldOps AI addresses a documented operational gap in field-service dispatch: travel-time assumptions based on distance alone fail during weather events, public events, and road restrictions. The system ingests historical GPS, open traffic, weather, event, and road-closure data to produce a context-aware ETA, recommends the best-fit technician by skill and predicted ETA, allows dispatcher override with a mandatory reason, and preserves a complete, immutable audit history of every plan change.</w:t>
      </w:r>
    </w:p>
    <w:p>
      <w:pPr>
        <w:pStyle w:val="Heading2"/>
        <w:spacing w:after="120" w:before="240"/>
      </w:pPr>
      <w:r>
        <w:t xml:space="preserve">1.5 References</w:t>
      </w:r>
    </w:p>
    <w:p>
      <w:pPr>
        <w:pStyle w:val="ListParagraph"/>
        <w:numPr>
          <w:ilvl w:val="0"/>
          <w:numId w:val="1"/>
        </w:numPr>
        <w:spacing w:after="80"/>
      </w:pPr>
      <w:r>
        <w:rPr>
          <w:rFonts w:ascii="Calibri" w:cs="Calibri" w:eastAsia="Calibri" w:hAnsi="Calibri"/>
          <w:sz w:val="22"/>
          <w:szCs w:val="22"/>
        </w:rPr>
        <w:t xml:space="preserve">Product Requirements Document (PRD) v1.0 — FieldOps AI</w:t>
      </w:r>
    </w:p>
    <w:p>
      <w:pPr>
        <w:pStyle w:val="ListParagraph"/>
        <w:numPr>
          <w:ilvl w:val="0"/>
          <w:numId w:val="1"/>
        </w:numPr>
        <w:spacing w:after="80"/>
      </w:pPr>
      <w:r>
        <w:rPr>
          <w:rFonts w:ascii="Calibri" w:cs="Calibri" w:eastAsia="Calibri" w:hAnsi="Calibri"/>
          <w:sz w:val="22"/>
          <w:szCs w:val="22"/>
        </w:rPr>
        <w:t xml:space="preserve">System Architecture Document (SAD) v1.0 — FieldOps AI</w:t>
      </w:r>
    </w:p>
    <w:p>
      <w:pPr>
        <w:pStyle w:val="ListParagraph"/>
        <w:numPr>
          <w:ilvl w:val="0"/>
          <w:numId w:val="1"/>
        </w:numPr>
        <w:spacing w:after="80"/>
      </w:pPr>
      <w:r>
        <w:rPr>
          <w:rFonts w:ascii="Calibri" w:cs="Calibri" w:eastAsia="Calibri" w:hAnsi="Calibri"/>
          <w:sz w:val="22"/>
          <w:szCs w:val="22"/>
        </w:rPr>
        <w:t xml:space="preserve">College project brief: 'From Operational Pain to Working Product — Field-Service Company Assigning Technicians Skills'</w:t>
      </w:r>
    </w:p>
    <w:p>
      <w:pPr>
        <w:pStyle w:val="Heading1"/>
        <w:spacing w:after="150" w:before="300"/>
      </w:pPr>
      <w:r>
        <w:t xml:space="preserve">2. Overall Description</w:t>
      </w:r>
    </w:p>
    <w:p>
      <w:pPr>
        <w:pStyle w:val="Heading2"/>
        <w:spacing w:after="120" w:before="240"/>
      </w:pPr>
      <w:r>
        <w:t xml:space="preserve">2.1 Product Perspective</w:t>
      </w:r>
    </w:p>
    <w:p>
      <w:pPr>
        <w:spacing w:after="160"/>
      </w:pPr>
      <w:r>
        <w:rPr>
          <w:rFonts w:ascii="Calibri" w:cs="Calibri" w:eastAsia="Calibri" w:hAnsi="Calibri"/>
          <w:sz w:val="22"/>
          <w:szCs w:val="22"/>
        </w:rPr>
        <w:t xml:space="preserve">FieldOps AI is a new, standalone web application. It is not an extension of an existing system. It is composed of a React frontend, a FastAPI backend organized into domain services, a PostgreSQL database, and a locally trained machine learning model for ETA prediction, integrated with external weather and routing data sources.</w:t>
      </w:r>
    </w:p>
    <w:p>
      <w:pPr>
        <w:pStyle w:val="Heading2"/>
        <w:spacing w:after="120" w:before="240"/>
      </w:pPr>
      <w:r>
        <w:t xml:space="preserve">2.2 Product Functions (Summary)</w:t>
      </w:r>
    </w:p>
    <w:p>
      <w:pPr>
        <w:pStyle w:val="ListParagraph"/>
        <w:numPr>
          <w:ilvl w:val="0"/>
          <w:numId w:val="1"/>
        </w:numPr>
        <w:spacing w:after="80"/>
      </w:pPr>
      <w:r>
        <w:rPr>
          <w:rFonts w:ascii="Calibri" w:cs="Calibri" w:eastAsia="Calibri" w:hAnsi="Calibri"/>
          <w:sz w:val="22"/>
          <w:szCs w:val="22"/>
        </w:rPr>
        <w:t xml:space="preserve">Authenticate users and enforce role-based access (Dispatcher, Technician, Admin).</w:t>
      </w:r>
    </w:p>
    <w:p>
      <w:pPr>
        <w:pStyle w:val="ListParagraph"/>
        <w:numPr>
          <w:ilvl w:val="0"/>
          <w:numId w:val="1"/>
        </w:numPr>
        <w:spacing w:after="80"/>
      </w:pPr>
      <w:r>
        <w:rPr>
          <w:rFonts w:ascii="Calibri" w:cs="Calibri" w:eastAsia="Calibri" w:hAnsi="Calibri"/>
          <w:sz w:val="22"/>
          <w:szCs w:val="22"/>
        </w:rPr>
        <w:t xml:space="preserve">Manage technician profiles, skills, and availability.</w:t>
      </w:r>
    </w:p>
    <w:p>
      <w:pPr>
        <w:pStyle w:val="ListParagraph"/>
        <w:numPr>
          <w:ilvl w:val="0"/>
          <w:numId w:val="1"/>
        </w:numPr>
        <w:spacing w:after="80"/>
      </w:pPr>
      <w:r>
        <w:rPr>
          <w:rFonts w:ascii="Calibri" w:cs="Calibri" w:eastAsia="Calibri" w:hAnsi="Calibri"/>
          <w:sz w:val="22"/>
          <w:szCs w:val="22"/>
        </w:rPr>
        <w:t xml:space="preserve">Create and track service jobs through their lifecycle.</w:t>
      </w:r>
    </w:p>
    <w:p>
      <w:pPr>
        <w:pStyle w:val="ListParagraph"/>
        <w:numPr>
          <w:ilvl w:val="0"/>
          <w:numId w:val="1"/>
        </w:numPr>
        <w:spacing w:after="80"/>
      </w:pPr>
      <w:r>
        <w:rPr>
          <w:rFonts w:ascii="Calibri" w:cs="Calibri" w:eastAsia="Calibri" w:hAnsi="Calibri"/>
          <w:sz w:val="22"/>
          <w:szCs w:val="22"/>
        </w:rPr>
        <w:t xml:space="preserve">Predict travel time using a context-aware model that accounts for weather, events, and road closures.</w:t>
      </w:r>
    </w:p>
    <w:p>
      <w:pPr>
        <w:pStyle w:val="ListParagraph"/>
        <w:numPr>
          <w:ilvl w:val="0"/>
          <w:numId w:val="1"/>
        </w:numPr>
        <w:spacing w:after="80"/>
      </w:pPr>
      <w:r>
        <w:rPr>
          <w:rFonts w:ascii="Calibri" w:cs="Calibri" w:eastAsia="Calibri" w:hAnsi="Calibri"/>
          <w:sz w:val="22"/>
          <w:szCs w:val="22"/>
        </w:rPr>
        <w:t xml:space="preserve">Recommend the best-fit technician using skill match, availability, and predicted ETA.</w:t>
      </w:r>
    </w:p>
    <w:p>
      <w:pPr>
        <w:pStyle w:val="ListParagraph"/>
        <w:numPr>
          <w:ilvl w:val="0"/>
          <w:numId w:val="1"/>
        </w:numPr>
        <w:spacing w:after="80"/>
      </w:pPr>
      <w:r>
        <w:rPr>
          <w:rFonts w:ascii="Calibri" w:cs="Calibri" w:eastAsia="Calibri" w:hAnsi="Calibri"/>
          <w:sz w:val="22"/>
          <w:szCs w:val="22"/>
        </w:rPr>
        <w:t xml:space="preserve">Allow the dispatcher to accept or override the recommendation, with a mandatory reason for override.</w:t>
      </w:r>
    </w:p>
    <w:p>
      <w:pPr>
        <w:pStyle w:val="ListParagraph"/>
        <w:numPr>
          <w:ilvl w:val="0"/>
          <w:numId w:val="1"/>
        </w:numPr>
        <w:spacing w:after="80"/>
      </w:pPr>
      <w:r>
        <w:rPr>
          <w:rFonts w:ascii="Calibri" w:cs="Calibri" w:eastAsia="Calibri" w:hAnsi="Calibri"/>
          <w:sz w:val="22"/>
          <w:szCs w:val="22"/>
        </w:rPr>
        <w:t xml:space="preserve">Preserve an immutable audit history of every assignment, reassignment, and override.</w:t>
      </w:r>
    </w:p>
    <w:p>
      <w:pPr>
        <w:pStyle w:val="ListParagraph"/>
        <w:numPr>
          <w:ilvl w:val="0"/>
          <w:numId w:val="1"/>
        </w:numPr>
        <w:spacing w:after="80"/>
      </w:pPr>
      <w:r>
        <w:rPr>
          <w:rFonts w:ascii="Calibri" w:cs="Calibri" w:eastAsia="Calibri" w:hAnsi="Calibri"/>
          <w:sz w:val="22"/>
          <w:szCs w:val="22"/>
        </w:rPr>
        <w:t xml:space="preserve">Compare the context-aware model against a simple distance-based baseline and report ETA error.</w:t>
      </w:r>
    </w:p>
    <w:p>
      <w:pPr>
        <w:pStyle w:val="Heading2"/>
        <w:spacing w:after="120" w:before="240"/>
      </w:pPr>
      <w: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W w:type="dxa" w:w="2200"/>
            <w:shd w:fill="1F4E79" w:val="clear"/>
          </w:tcPr>
          <w:p>
            <w:r>
              <w:rPr>
                <w:rFonts w:ascii="Calibri" w:cs="Calibri" w:eastAsia="Calibri" w:hAnsi="Calibri"/>
                <w:b/>
                <w:bCs/>
                <w:color w:val="FFFFFF"/>
                <w:sz w:val="20"/>
                <w:szCs w:val="20"/>
              </w:rPr>
              <w:t xml:space="preserve">Role</w:t>
            </w:r>
          </w:p>
        </w:tc>
        <w:tc>
          <w:tcPr>
            <w:tcW w:type="dxa" w:w="2800"/>
            <w:shd w:fill="1F4E79" w:val="clear"/>
          </w:tcPr>
          <w:p>
            <w:r>
              <w:rPr>
                <w:rFonts w:ascii="Calibri" w:cs="Calibri" w:eastAsia="Calibri" w:hAnsi="Calibri"/>
                <w:b/>
                <w:bCs/>
                <w:color w:val="FFFFFF"/>
                <w:sz w:val="20"/>
                <w:szCs w:val="20"/>
              </w:rPr>
              <w:t xml:space="preserve">Technical Level</w:t>
            </w:r>
          </w:p>
        </w:tc>
        <w:tc>
          <w:tcPr>
            <w:tcW w:type="dxa" w:w="4000"/>
            <w:shd w:fill="1F4E79" w:val="clear"/>
          </w:tcPr>
          <w:p>
            <w:r>
              <w:rPr>
                <w:rFonts w:ascii="Calibri" w:cs="Calibri" w:eastAsia="Calibri" w:hAnsi="Calibri"/>
                <w:b/>
                <w:bCs/>
                <w:color w:val="FFFFFF"/>
                <w:sz w:val="20"/>
                <w:szCs w:val="20"/>
              </w:rPr>
              <w:t xml:space="preserve">Primary Use</w:t>
            </w:r>
          </w:p>
        </w:tc>
      </w:tr>
      <w:tr>
        <w:tc>
          <w:tcPr>
            <w:tcW w:type="dxa" w:w="2200"/>
          </w:tcPr>
          <w:p>
            <w:r>
              <w:rPr>
                <w:rFonts w:ascii="Calibri" w:cs="Calibri" w:eastAsia="Calibri" w:hAnsi="Calibri"/>
                <w:b w:val="false"/>
                <w:bCs w:val="false"/>
                <w:color w:val="000000"/>
                <w:sz w:val="20"/>
                <w:szCs w:val="20"/>
              </w:rPr>
              <w:t xml:space="preserve">Dispatcher</w:t>
            </w:r>
          </w:p>
        </w:tc>
        <w:tc>
          <w:tcPr>
            <w:tcW w:type="dxa" w:w="2800"/>
          </w:tcPr>
          <w:p>
            <w:r>
              <w:rPr>
                <w:rFonts w:ascii="Calibri" w:cs="Calibri" w:eastAsia="Calibri" w:hAnsi="Calibri"/>
                <w:b w:val="false"/>
                <w:bCs w:val="false"/>
                <w:color w:val="000000"/>
                <w:sz w:val="20"/>
                <w:szCs w:val="20"/>
              </w:rPr>
              <w:t xml:space="preserve">Non-technical, daily active user</w:t>
            </w:r>
          </w:p>
        </w:tc>
        <w:tc>
          <w:tcPr>
            <w:tcW w:type="dxa" w:w="4000"/>
          </w:tcPr>
          <w:p>
            <w:r>
              <w:rPr>
                <w:rFonts w:ascii="Calibri" w:cs="Calibri" w:eastAsia="Calibri" w:hAnsi="Calibri"/>
                <w:b w:val="false"/>
                <w:bCs w:val="false"/>
                <w:color w:val="000000"/>
                <w:sz w:val="20"/>
                <w:szCs w:val="20"/>
              </w:rPr>
              <w:t xml:space="preserve">Assigns technicians, reviews AI recommendations, overrides when necessary</w:t>
            </w:r>
          </w:p>
        </w:tc>
      </w:tr>
      <w:tr>
        <w:tc>
          <w:tcPr>
            <w:tcW w:type="dxa" w:w="2200"/>
          </w:tcPr>
          <w:p>
            <w:r>
              <w:rPr>
                <w:rFonts w:ascii="Calibri" w:cs="Calibri" w:eastAsia="Calibri" w:hAnsi="Calibri"/>
                <w:b w:val="false"/>
                <w:bCs w:val="false"/>
                <w:color w:val="000000"/>
                <w:sz w:val="20"/>
                <w:szCs w:val="20"/>
              </w:rPr>
              <w:t xml:space="preserve">Technician</w:t>
            </w:r>
          </w:p>
        </w:tc>
        <w:tc>
          <w:tcPr>
            <w:tcW w:type="dxa" w:w="2800"/>
          </w:tcPr>
          <w:p>
            <w:r>
              <w:rPr>
                <w:rFonts w:ascii="Calibri" w:cs="Calibri" w:eastAsia="Calibri" w:hAnsi="Calibri"/>
                <w:b w:val="false"/>
                <w:bCs w:val="false"/>
                <w:color w:val="000000"/>
                <w:sz w:val="20"/>
                <w:szCs w:val="20"/>
              </w:rPr>
              <w:t xml:space="preserve">Non-technical, mobile-first user</w:t>
            </w:r>
          </w:p>
        </w:tc>
        <w:tc>
          <w:tcPr>
            <w:tcW w:type="dxa" w:w="4000"/>
          </w:tcPr>
          <w:p>
            <w:r>
              <w:rPr>
                <w:rFonts w:ascii="Calibri" w:cs="Calibri" w:eastAsia="Calibri" w:hAnsi="Calibri"/>
                <w:b w:val="false"/>
                <w:bCs w:val="false"/>
                <w:color w:val="000000"/>
                <w:sz w:val="20"/>
                <w:szCs w:val="20"/>
              </w:rPr>
              <w:t xml:space="preserve">Views assigned jobs, updates job status while in the field</w:t>
            </w:r>
          </w:p>
        </w:tc>
      </w:tr>
      <w:tr>
        <w:tc>
          <w:tcPr>
            <w:tcW w:type="dxa" w:w="2200"/>
          </w:tcPr>
          <w:p>
            <w:r>
              <w:rPr>
                <w:rFonts w:ascii="Calibri" w:cs="Calibri" w:eastAsia="Calibri" w:hAnsi="Calibri"/>
                <w:b w:val="false"/>
                <w:bCs w:val="false"/>
                <w:color w:val="000000"/>
                <w:sz w:val="20"/>
                <w:szCs w:val="20"/>
              </w:rPr>
              <w:t xml:space="preserve">Admin</w:t>
            </w:r>
          </w:p>
        </w:tc>
        <w:tc>
          <w:tcPr>
            <w:tcW w:type="dxa" w:w="2800"/>
          </w:tcPr>
          <w:p>
            <w:r>
              <w:rPr>
                <w:rFonts w:ascii="Calibri" w:cs="Calibri" w:eastAsia="Calibri" w:hAnsi="Calibri"/>
                <w:b w:val="false"/>
                <w:bCs w:val="false"/>
                <w:color w:val="000000"/>
                <w:sz w:val="20"/>
                <w:szCs w:val="20"/>
              </w:rPr>
              <w:t xml:space="preserve">Semi-technical</w:t>
            </w:r>
          </w:p>
        </w:tc>
        <w:tc>
          <w:tcPr>
            <w:tcW w:type="dxa" w:w="4000"/>
          </w:tcPr>
          <w:p>
            <w:r>
              <w:rPr>
                <w:rFonts w:ascii="Calibri" w:cs="Calibri" w:eastAsia="Calibri" w:hAnsi="Calibri"/>
                <w:b w:val="false"/>
                <w:bCs w:val="false"/>
                <w:color w:val="000000"/>
                <w:sz w:val="20"/>
                <w:szCs w:val="20"/>
              </w:rPr>
              <w:t xml:space="preserve">Maintains technician records, skills, and demo/reference data</w:t>
            </w:r>
          </w:p>
        </w:tc>
      </w:tr>
    </w:tbl>
    <w:p>
      <w:pPr>
        <w:spacing w:after="160"/>
      </w:pPr>
      <w:r>
        <w:rPr>
          <w:rFonts w:ascii="Calibri" w:cs="Calibri" w:eastAsia="Calibri" w:hAnsi="Calibri"/>
          <w:sz w:val="22"/>
          <w:szCs w:val="22"/>
        </w:rPr>
        <w:t xml:space="preserve"/>
      </w:r>
    </w:p>
    <w:p>
      <w:pPr>
        <w:pStyle w:val="Heading2"/>
        <w:spacing w:after="120" w:before="240"/>
      </w:pPr>
      <w:r>
        <w:t xml:space="preserve">2.4 Operating Environment</w:t>
      </w:r>
    </w:p>
    <w:p>
      <w:pPr>
        <w:pStyle w:val="ListParagraph"/>
        <w:numPr>
          <w:ilvl w:val="0"/>
          <w:numId w:val="1"/>
        </w:numPr>
        <w:spacing w:after="80"/>
      </w:pPr>
      <w:r>
        <w:rPr>
          <w:rFonts w:ascii="Calibri" w:cs="Calibri" w:eastAsia="Calibri" w:hAnsi="Calibri"/>
          <w:sz w:val="22"/>
          <w:szCs w:val="22"/>
        </w:rPr>
        <w:t xml:space="preserve">Frontend: any modern browser (Chrome, Edge, Firefox), responsive down to tablet width.</w:t>
      </w:r>
    </w:p>
    <w:p>
      <w:pPr>
        <w:pStyle w:val="ListParagraph"/>
        <w:numPr>
          <w:ilvl w:val="0"/>
          <w:numId w:val="1"/>
        </w:numPr>
        <w:spacing w:after="80"/>
      </w:pPr>
      <w:r>
        <w:rPr>
          <w:rFonts w:ascii="Calibri" w:cs="Calibri" w:eastAsia="Calibri" w:hAnsi="Calibri"/>
          <w:sz w:val="22"/>
          <w:szCs w:val="22"/>
        </w:rPr>
        <w:t xml:space="preserve">Backend: Python 3.11+, FastAPI, deployed on Render.</w:t>
      </w:r>
    </w:p>
    <w:p>
      <w:pPr>
        <w:pStyle w:val="ListParagraph"/>
        <w:numPr>
          <w:ilvl w:val="0"/>
          <w:numId w:val="1"/>
        </w:numPr>
        <w:spacing w:after="80"/>
      </w:pPr>
      <w:r>
        <w:rPr>
          <w:rFonts w:ascii="Calibri" w:cs="Calibri" w:eastAsia="Calibri" w:hAnsi="Calibri"/>
          <w:sz w:val="22"/>
          <w:szCs w:val="22"/>
        </w:rPr>
        <w:t xml:space="preserve">Database: PostgreSQL 15, hosted on Neon.</w:t>
      </w:r>
    </w:p>
    <w:p>
      <w:pPr>
        <w:pStyle w:val="ListParagraph"/>
        <w:numPr>
          <w:ilvl w:val="0"/>
          <w:numId w:val="1"/>
        </w:numPr>
        <w:spacing w:after="80"/>
      </w:pPr>
      <w:r>
        <w:rPr>
          <w:rFonts w:ascii="Calibri" w:cs="Calibri" w:eastAsia="Calibri" w:hAnsi="Calibri"/>
          <w:sz w:val="22"/>
          <w:szCs w:val="22"/>
        </w:rPr>
        <w:t xml:space="preserve">Frontend hosting: Vercel.</w:t>
      </w:r>
    </w:p>
    <w:p>
      <w:pPr>
        <w:pStyle w:val="Heading2"/>
        <w:spacing w:after="120" w:before="240"/>
      </w:pPr>
      <w:r>
        <w:t xml:space="preserve">2.5 Design and Implementation Constraints</w:t>
      </w:r>
    </w:p>
    <w:p>
      <w:pPr>
        <w:pStyle w:val="ListParagraph"/>
        <w:numPr>
          <w:ilvl w:val="0"/>
          <w:numId w:val="1"/>
        </w:numPr>
        <w:spacing w:after="80"/>
      </w:pPr>
      <w:r>
        <w:rPr>
          <w:rFonts w:ascii="Calibri" w:cs="Calibri" w:eastAsia="Calibri" w:hAnsi="Calibri"/>
          <w:sz w:val="22"/>
          <w:szCs w:val="22"/>
        </w:rPr>
        <w:t xml:space="preserve">Development window is 15-to-20 days; architecture must favor a modular monolith over microservices (see SAD, Section 2).</w:t>
      </w:r>
    </w:p>
    <w:p>
      <w:pPr>
        <w:pStyle w:val="ListParagraph"/>
        <w:numPr>
          <w:ilvl w:val="0"/>
          <w:numId w:val="1"/>
        </w:numPr>
        <w:spacing w:after="80"/>
      </w:pPr>
      <w:r>
        <w:rPr>
          <w:rFonts w:ascii="Calibri" w:cs="Calibri" w:eastAsia="Calibri" w:hAnsi="Calibri"/>
          <w:sz w:val="22"/>
          <w:szCs w:val="22"/>
        </w:rPr>
        <w:t xml:space="preserve">External APIs used must have a free tier (Open-Meteo, OpenStreetMap/OpenRouteService).</w:t>
      </w:r>
    </w:p>
    <w:p>
      <w:pPr>
        <w:pStyle w:val="ListParagraph"/>
        <w:numPr>
          <w:ilvl w:val="0"/>
          <w:numId w:val="1"/>
        </w:numPr>
        <w:spacing w:after="80"/>
      </w:pPr>
      <w:r>
        <w:rPr>
          <w:rFonts w:ascii="Calibri" w:cs="Calibri" w:eastAsia="Calibri" w:hAnsi="Calibri"/>
          <w:sz w:val="22"/>
          <w:szCs w:val="22"/>
        </w:rPr>
        <w:t xml:space="preserve">Event and road-closure data may be simulated where live feeds are unavailable, provided this is explicitly documented as a limitation.</w:t>
      </w:r>
    </w:p>
    <w:p>
      <w:pPr>
        <w:pStyle w:val="ListParagraph"/>
        <w:numPr>
          <w:ilvl w:val="0"/>
          <w:numId w:val="1"/>
        </w:numPr>
        <w:spacing w:after="80"/>
      </w:pPr>
      <w:r>
        <w:rPr>
          <w:rFonts w:ascii="Calibri" w:cs="Calibri" w:eastAsia="Calibri" w:hAnsi="Calibri"/>
          <w:sz w:val="22"/>
          <w:szCs w:val="22"/>
        </w:rPr>
        <w:t xml:space="preserve">The audit history table must be append-only; no requirement or design may introduce update/delete operations on it.</w:t>
      </w:r>
    </w:p>
    <w:p>
      <w:pPr>
        <w:pStyle w:val="Heading2"/>
        <w:spacing w:after="120" w:before="240"/>
      </w:pPr>
      <w:r>
        <w:t xml:space="preserve">2.6 Assumptions and Dependencies</w:t>
      </w:r>
    </w:p>
    <w:p>
      <w:pPr>
        <w:pStyle w:val="ListParagraph"/>
        <w:numPr>
          <w:ilvl w:val="0"/>
          <w:numId w:val="1"/>
        </w:numPr>
        <w:spacing w:after="80"/>
      </w:pPr>
      <w:r>
        <w:rPr>
          <w:rFonts w:ascii="Calibri" w:cs="Calibri" w:eastAsia="Calibri" w:hAnsi="Calibri"/>
          <w:sz w:val="22"/>
          <w:szCs w:val="22"/>
        </w:rPr>
        <w:t xml:space="preserve">Historical GPS trip data is available as a downloadable, licensed-for-reuse dataset (e.g., NYC TLC or a Kaggle equivalent).</w:t>
      </w:r>
    </w:p>
    <w:p>
      <w:pPr>
        <w:pStyle w:val="ListParagraph"/>
        <w:numPr>
          <w:ilvl w:val="0"/>
          <w:numId w:val="1"/>
        </w:numPr>
        <w:spacing w:after="80"/>
      </w:pPr>
      <w:r>
        <w:rPr>
          <w:rFonts w:ascii="Calibri" w:cs="Calibri" w:eastAsia="Calibri" w:hAnsi="Calibri"/>
          <w:sz w:val="22"/>
          <w:szCs w:val="22"/>
        </w:rPr>
        <w:t xml:space="preserve">The Open-Meteo and OpenRouteService free tiers remain available and within rate limits for the project's data volume.</w:t>
      </w:r>
    </w:p>
    <w:p>
      <w:pPr>
        <w:pStyle w:val="ListParagraph"/>
        <w:numPr>
          <w:ilvl w:val="0"/>
          <w:numId w:val="1"/>
        </w:numPr>
        <w:spacing w:after="80"/>
      </w:pPr>
      <w:r>
        <w:rPr>
          <w:rFonts w:ascii="Calibri" w:cs="Calibri" w:eastAsia="Calibri" w:hAnsi="Calibri"/>
          <w:sz w:val="22"/>
          <w:szCs w:val="22"/>
        </w:rPr>
        <w:t xml:space="preserve">Stakeholder validation can be conducted with a small sample (2-3 participants: classmates, faculty, or family acting as a dispatcher), which is sufficient for an academic-scope usability check.</w:t>
      </w:r>
    </w:p>
    <w:p>
      <w:pPr>
        <w:pStyle w:val="Heading1"/>
        <w:spacing w:after="150" w:before="300"/>
      </w:pPr>
      <w:r>
        <w:t xml:space="preserve">3.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200"/>
      </w:tblGrid>
      <w:tr>
        <w:tc>
          <w:tcPr>
            <w:tcW w:type="dxa" w:w="1000"/>
            <w:shd w:fill="1F4E79" w:val="clear"/>
          </w:tcPr>
          <w:p>
            <w:r>
              <w:rPr>
                <w:rFonts w:ascii="Calibri" w:cs="Calibri" w:eastAsia="Calibri" w:hAnsi="Calibri"/>
                <w:b/>
                <w:bCs/>
                <w:color w:val="FFFFFF"/>
                <w:sz w:val="20"/>
                <w:szCs w:val="20"/>
              </w:rPr>
              <w:t xml:space="preserve">ID</w:t>
            </w:r>
          </w:p>
        </w:tc>
        <w:tc>
          <w:tcPr>
            <w:tcW w:type="dxa" w:w="6800"/>
            <w:shd w:fill="1F4E79" w:val="clear"/>
          </w:tcPr>
          <w:p>
            <w:r>
              <w:rPr>
                <w:rFonts w:ascii="Calibri" w:cs="Calibri" w:eastAsia="Calibri" w:hAnsi="Calibri"/>
                <w:b/>
                <w:bCs/>
                <w:color w:val="FFFFFF"/>
                <w:sz w:val="20"/>
                <w:szCs w:val="20"/>
              </w:rPr>
              <w:t xml:space="preserve">Requirement</w:t>
            </w:r>
          </w:p>
        </w:tc>
        <w:tc>
          <w:tcPr>
            <w:tcW w:type="dxa" w:w="1200"/>
            <w:shd w:fill="1F4E79" w:val="clear"/>
          </w:tcPr>
          <w:p>
            <w:r>
              <w:rPr>
                <w:rFonts w:ascii="Calibri" w:cs="Calibri" w:eastAsia="Calibri" w:hAnsi="Calibri"/>
                <w:b/>
                <w:bCs/>
                <w:color w:val="FFFFFF"/>
                <w:sz w:val="20"/>
                <w:szCs w:val="20"/>
              </w:rPr>
              <w:t xml:space="preserve">Priority</w:t>
            </w:r>
          </w:p>
        </w:tc>
      </w:tr>
      <w:tr>
        <w:tc>
          <w:tcPr>
            <w:tcW w:type="dxa" w:w="1000"/>
          </w:tcPr>
          <w:p>
            <w:r>
              <w:rPr>
                <w:rFonts w:ascii="Calibri" w:cs="Calibri" w:eastAsia="Calibri" w:hAnsi="Calibri"/>
                <w:b w:val="false"/>
                <w:bCs w:val="false"/>
                <w:color w:val="000000"/>
                <w:sz w:val="20"/>
                <w:szCs w:val="20"/>
              </w:rPr>
              <w:t xml:space="preserve">FR-01</w:t>
            </w:r>
          </w:p>
        </w:tc>
        <w:tc>
          <w:tcPr>
            <w:tcW w:type="dxa" w:w="6800"/>
          </w:tcPr>
          <w:p>
            <w:r>
              <w:rPr>
                <w:rFonts w:ascii="Calibri" w:cs="Calibri" w:eastAsia="Calibri" w:hAnsi="Calibri"/>
                <w:b w:val="false"/>
                <w:bCs w:val="false"/>
                <w:color w:val="000000"/>
                <w:sz w:val="20"/>
                <w:szCs w:val="20"/>
              </w:rPr>
              <w:t xml:space="preserve">The system shall allow a user to log in with a username/email and password and receive a JWT session token.</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FR-02</w:t>
            </w:r>
          </w:p>
        </w:tc>
        <w:tc>
          <w:tcPr>
            <w:tcW w:type="dxa" w:w="6800"/>
          </w:tcPr>
          <w:p>
            <w:r>
              <w:rPr>
                <w:rFonts w:ascii="Calibri" w:cs="Calibri" w:eastAsia="Calibri" w:hAnsi="Calibri"/>
                <w:b w:val="false"/>
                <w:bCs w:val="false"/>
                <w:color w:val="000000"/>
                <w:sz w:val="20"/>
                <w:szCs w:val="20"/>
              </w:rPr>
              <w:t xml:space="preserve">The system shall restrict access to routes and actions based on the authenticated user's role (Dispatcher, Technician, Admin).</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FR-03</w:t>
            </w:r>
          </w:p>
        </w:tc>
        <w:tc>
          <w:tcPr>
            <w:tcW w:type="dxa" w:w="6800"/>
          </w:tcPr>
          <w:p>
            <w:r>
              <w:rPr>
                <w:rFonts w:ascii="Calibri" w:cs="Calibri" w:eastAsia="Calibri" w:hAnsi="Calibri"/>
                <w:b w:val="false"/>
                <w:bCs w:val="false"/>
                <w:color w:val="000000"/>
                <w:sz w:val="20"/>
                <w:szCs w:val="20"/>
              </w:rPr>
              <w:t xml:space="preserve">The Admin shall be able to create, edit, and deactivate technician records, including name, skills, and availability.</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FR-04</w:t>
            </w:r>
          </w:p>
        </w:tc>
        <w:tc>
          <w:tcPr>
            <w:tcW w:type="dxa" w:w="6800"/>
          </w:tcPr>
          <w:p>
            <w:r>
              <w:rPr>
                <w:rFonts w:ascii="Calibri" w:cs="Calibri" w:eastAsia="Calibri" w:hAnsi="Calibri"/>
                <w:b w:val="false"/>
                <w:bCs w:val="false"/>
                <w:color w:val="000000"/>
                <w:sz w:val="20"/>
                <w:szCs w:val="20"/>
              </w:rPr>
              <w:t xml:space="preserve">The Dispatcher shall be able to create a new service job with a required skill, customer location, and priority.</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FR-05</w:t>
            </w:r>
          </w:p>
        </w:tc>
        <w:tc>
          <w:tcPr>
            <w:tcW w:type="dxa" w:w="6800"/>
          </w:tcPr>
          <w:p>
            <w:r>
              <w:rPr>
                <w:rFonts w:ascii="Calibri" w:cs="Calibri" w:eastAsia="Calibri" w:hAnsi="Calibri"/>
                <w:b w:val="false"/>
                <w:bCs w:val="false"/>
                <w:color w:val="000000"/>
                <w:sz w:val="20"/>
                <w:szCs w:val="20"/>
              </w:rPr>
              <w:t xml:space="preserve">The system shall compute a baseline ETA using straight-line distance (Haversine) and an average speed assumption.</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FR-06</w:t>
            </w:r>
          </w:p>
        </w:tc>
        <w:tc>
          <w:tcPr>
            <w:tcW w:type="dxa" w:w="6800"/>
          </w:tcPr>
          <w:p>
            <w:r>
              <w:rPr>
                <w:rFonts w:ascii="Calibri" w:cs="Calibri" w:eastAsia="Calibri" w:hAnsi="Calibri"/>
                <w:b w:val="false"/>
                <w:bCs w:val="false"/>
                <w:color w:val="000000"/>
                <w:sz w:val="20"/>
                <w:szCs w:val="20"/>
              </w:rPr>
              <w:t xml:space="preserve">The system shall compute a context-aware ETA using a trained model that incorporates weather, event, and road-closure features in addition to distance and historical traffic patterns.</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FR-07</w:t>
            </w:r>
          </w:p>
        </w:tc>
        <w:tc>
          <w:tcPr>
            <w:tcW w:type="dxa" w:w="6800"/>
          </w:tcPr>
          <w:p>
            <w:r>
              <w:rPr>
                <w:rFonts w:ascii="Calibri" w:cs="Calibri" w:eastAsia="Calibri" w:hAnsi="Calibri"/>
                <w:b w:val="false"/>
                <w:bCs w:val="false"/>
                <w:color w:val="000000"/>
                <w:sz w:val="20"/>
                <w:szCs w:val="20"/>
              </w:rPr>
              <w:t xml:space="preserve">The system shall return, with every ETA prediction, a confidence level (high / medium / low) and a human-readable delay reason.</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FR-08</w:t>
            </w:r>
          </w:p>
        </w:tc>
        <w:tc>
          <w:tcPr>
            <w:tcW w:type="dxa" w:w="6800"/>
          </w:tcPr>
          <w:p>
            <w:r>
              <w:rPr>
                <w:rFonts w:ascii="Calibri" w:cs="Calibri" w:eastAsia="Calibri" w:hAnsi="Calibri"/>
                <w:b w:val="false"/>
                <w:bCs w:val="false"/>
                <w:color w:val="000000"/>
                <w:sz w:val="20"/>
                <w:szCs w:val="20"/>
              </w:rPr>
              <w:t xml:space="preserve">The system shall recommend the best-fit technician for a job by combining required skill, technician availability, and predicted ETA.</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FR-09</w:t>
            </w:r>
          </w:p>
        </w:tc>
        <w:tc>
          <w:tcPr>
            <w:tcW w:type="dxa" w:w="6800"/>
          </w:tcPr>
          <w:p>
            <w:r>
              <w:rPr>
                <w:rFonts w:ascii="Calibri" w:cs="Calibri" w:eastAsia="Calibri" w:hAnsi="Calibri"/>
                <w:b w:val="false"/>
                <w:bCs w:val="false"/>
                <w:color w:val="000000"/>
                <w:sz w:val="20"/>
                <w:szCs w:val="20"/>
              </w:rPr>
              <w:t xml:space="preserve">The Dispatcher shall be able to accept the recommended technician with a single action.</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FR-10</w:t>
            </w:r>
          </w:p>
        </w:tc>
        <w:tc>
          <w:tcPr>
            <w:tcW w:type="dxa" w:w="6800"/>
          </w:tcPr>
          <w:p>
            <w:r>
              <w:rPr>
                <w:rFonts w:ascii="Calibri" w:cs="Calibri" w:eastAsia="Calibri" w:hAnsi="Calibri"/>
                <w:b w:val="false"/>
                <w:bCs w:val="false"/>
                <w:color w:val="000000"/>
                <w:sz w:val="20"/>
                <w:szCs w:val="20"/>
              </w:rPr>
              <w:t xml:space="preserve">The Dispatcher shall be able to override the recommendation and manually select a different technician.</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FR-11</w:t>
            </w:r>
          </w:p>
        </w:tc>
        <w:tc>
          <w:tcPr>
            <w:tcW w:type="dxa" w:w="6800"/>
          </w:tcPr>
          <w:p>
            <w:r>
              <w:rPr>
                <w:rFonts w:ascii="Calibri" w:cs="Calibri" w:eastAsia="Calibri" w:hAnsi="Calibri"/>
                <w:b w:val="false"/>
                <w:bCs w:val="false"/>
                <w:color w:val="000000"/>
                <w:sz w:val="20"/>
                <w:szCs w:val="20"/>
              </w:rPr>
              <w:t xml:space="preserve">The system shall require a non-empty reason whenever a Dispatcher overrides a recommendation, and shall reject the override request if the reason is missing.</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FR-12</w:t>
            </w:r>
          </w:p>
        </w:tc>
        <w:tc>
          <w:tcPr>
            <w:tcW w:type="dxa" w:w="6800"/>
          </w:tcPr>
          <w:p>
            <w:r>
              <w:rPr>
                <w:rFonts w:ascii="Calibri" w:cs="Calibri" w:eastAsia="Calibri" w:hAnsi="Calibri"/>
                <w:b w:val="false"/>
                <w:bCs w:val="false"/>
                <w:color w:val="000000"/>
                <w:sz w:val="20"/>
                <w:szCs w:val="20"/>
              </w:rPr>
              <w:t xml:space="preserve">The system shall record every assignment, reassignment, and override as a new row in an append-only audit table, capturing timestamp, actor, previous value, new value, and reason.</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FR-13</w:t>
            </w:r>
          </w:p>
        </w:tc>
        <w:tc>
          <w:tcPr>
            <w:tcW w:type="dxa" w:w="6800"/>
          </w:tcPr>
          <w:p>
            <w:r>
              <w:rPr>
                <w:rFonts w:ascii="Calibri" w:cs="Calibri" w:eastAsia="Calibri" w:hAnsi="Calibri"/>
                <w:b w:val="false"/>
                <w:bCs w:val="false"/>
                <w:color w:val="000000"/>
                <w:sz w:val="20"/>
                <w:szCs w:val="20"/>
              </w:rPr>
              <w:t xml:space="preserve">The system shall never expose an update or delete operation for audit records, through the API or the UI.</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FR-14</w:t>
            </w:r>
          </w:p>
        </w:tc>
        <w:tc>
          <w:tcPr>
            <w:tcW w:type="dxa" w:w="6800"/>
          </w:tcPr>
          <w:p>
            <w:r>
              <w:rPr>
                <w:rFonts w:ascii="Calibri" w:cs="Calibri" w:eastAsia="Calibri" w:hAnsi="Calibri"/>
                <w:b w:val="false"/>
                <w:bCs w:val="false"/>
                <w:color w:val="000000"/>
                <w:sz w:val="20"/>
                <w:szCs w:val="20"/>
              </w:rPr>
              <w:t xml:space="preserve">The Dispatcher shall be able to view the full audit history for a given job.</w:t>
            </w:r>
          </w:p>
        </w:tc>
        <w:tc>
          <w:tcPr>
            <w:tcW w:type="dxa" w:w="1200"/>
          </w:tcPr>
          <w:p>
            <w:r>
              <w:rPr>
                <w:rFonts w:ascii="Calibri" w:cs="Calibri" w:eastAsia="Calibri" w:hAnsi="Calibri"/>
                <w:b w:val="false"/>
                <w:bCs w:val="false"/>
                <w:color w:val="000000"/>
                <w:sz w:val="20"/>
                <w:szCs w:val="20"/>
              </w:rPr>
              <w:t xml:space="preserve">Medium</w:t>
            </w:r>
          </w:p>
        </w:tc>
      </w:tr>
      <w:tr>
        <w:tc>
          <w:tcPr>
            <w:tcW w:type="dxa" w:w="1000"/>
          </w:tcPr>
          <w:p>
            <w:r>
              <w:rPr>
                <w:rFonts w:ascii="Calibri" w:cs="Calibri" w:eastAsia="Calibri" w:hAnsi="Calibri"/>
                <w:b w:val="false"/>
                <w:bCs w:val="false"/>
                <w:color w:val="000000"/>
                <w:sz w:val="20"/>
                <w:szCs w:val="20"/>
              </w:rPr>
              <w:t xml:space="preserve">FR-15</w:t>
            </w:r>
          </w:p>
        </w:tc>
        <w:tc>
          <w:tcPr>
            <w:tcW w:type="dxa" w:w="6800"/>
          </w:tcPr>
          <w:p>
            <w:r>
              <w:rPr>
                <w:rFonts w:ascii="Calibri" w:cs="Calibri" w:eastAsia="Calibri" w:hAnsi="Calibri"/>
                <w:b w:val="false"/>
                <w:bCs w:val="false"/>
                <w:color w:val="000000"/>
                <w:sz w:val="20"/>
                <w:szCs w:val="20"/>
              </w:rPr>
              <w:t xml:space="preserve">The Technician shall be able to view their assigned jobs for the current day.</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FR-16</w:t>
            </w:r>
          </w:p>
        </w:tc>
        <w:tc>
          <w:tcPr>
            <w:tcW w:type="dxa" w:w="6800"/>
          </w:tcPr>
          <w:p>
            <w:r>
              <w:rPr>
                <w:rFonts w:ascii="Calibri" w:cs="Calibri" w:eastAsia="Calibri" w:hAnsi="Calibri"/>
                <w:b w:val="false"/>
                <w:bCs w:val="false"/>
                <w:color w:val="000000"/>
                <w:sz w:val="20"/>
                <w:szCs w:val="20"/>
              </w:rPr>
              <w:t xml:space="preserve">The Technician shall be able to update a job's status through a defined sequence (Assigned, Travelling, Reached, Working, Completed).</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FR-17</w:t>
            </w:r>
          </w:p>
        </w:tc>
        <w:tc>
          <w:tcPr>
            <w:tcW w:type="dxa" w:w="6800"/>
          </w:tcPr>
          <w:p>
            <w:r>
              <w:rPr>
                <w:rFonts w:ascii="Calibri" w:cs="Calibri" w:eastAsia="Calibri" w:hAnsi="Calibri"/>
                <w:b w:val="false"/>
                <w:bCs w:val="false"/>
                <w:color w:val="000000"/>
                <w:sz w:val="20"/>
                <w:szCs w:val="20"/>
              </w:rPr>
              <w:t xml:space="preserve">The system shall compute and display the ETA error (Mean Absolute Error) of the baseline model versus the context-aware model, specifically for non-routine-condition trips.</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FR-18</w:t>
            </w:r>
          </w:p>
        </w:tc>
        <w:tc>
          <w:tcPr>
            <w:tcW w:type="dxa" w:w="6800"/>
          </w:tcPr>
          <w:p>
            <w:r>
              <w:rPr>
                <w:rFonts w:ascii="Calibri" w:cs="Calibri" w:eastAsia="Calibri" w:hAnsi="Calibri"/>
                <w:b w:val="false"/>
                <w:bCs w:val="false"/>
                <w:color w:val="000000"/>
                <w:sz w:val="20"/>
                <w:szCs w:val="20"/>
              </w:rPr>
              <w:t xml:space="preserve">The system shall fall back to the baseline ETA and flag the prediction as low-confidence if the weather or routing API is unavailable.</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FR-19</w:t>
            </w:r>
          </w:p>
        </w:tc>
        <w:tc>
          <w:tcPr>
            <w:tcW w:type="dxa" w:w="6800"/>
          </w:tcPr>
          <w:p>
            <w:r>
              <w:rPr>
                <w:rFonts w:ascii="Calibri" w:cs="Calibri" w:eastAsia="Calibri" w:hAnsi="Calibri"/>
                <w:b w:val="false"/>
                <w:bCs w:val="false"/>
                <w:color w:val="000000"/>
                <w:sz w:val="20"/>
                <w:szCs w:val="20"/>
              </w:rPr>
              <w:t xml:space="preserve">The system shall flag a job's ETA as high-uncertainty if a required route segment is fully closed and no alternate route data exists.</w:t>
            </w:r>
          </w:p>
        </w:tc>
        <w:tc>
          <w:tcPr>
            <w:tcW w:type="dxa" w:w="1200"/>
          </w:tcPr>
          <w:p>
            <w:r>
              <w:rPr>
                <w:rFonts w:ascii="Calibri" w:cs="Calibri" w:eastAsia="Calibri" w:hAnsi="Calibri"/>
                <w:b w:val="false"/>
                <w:bCs w:val="false"/>
                <w:color w:val="000000"/>
                <w:sz w:val="20"/>
                <w:szCs w:val="20"/>
              </w:rPr>
              <w:t xml:space="preserve">High</w:t>
            </w:r>
          </w:p>
        </w:tc>
      </w:tr>
      <w:tr>
        <w:tc>
          <w:tcPr>
            <w:tcW w:type="dxa" w:w="1000"/>
          </w:tcPr>
          <w:p>
            <w:r>
              <w:rPr>
                <w:rFonts w:ascii="Calibri" w:cs="Calibri" w:eastAsia="Calibri" w:hAnsi="Calibri"/>
                <w:b w:val="false"/>
                <w:bCs w:val="false"/>
                <w:color w:val="000000"/>
                <w:sz w:val="20"/>
                <w:szCs w:val="20"/>
              </w:rPr>
              <w:t xml:space="preserve">FR-20</w:t>
            </w:r>
          </w:p>
        </w:tc>
        <w:tc>
          <w:tcPr>
            <w:tcW w:type="dxa" w:w="6800"/>
          </w:tcPr>
          <w:p>
            <w:r>
              <w:rPr>
                <w:rFonts w:ascii="Calibri" w:cs="Calibri" w:eastAsia="Calibri" w:hAnsi="Calibri"/>
                <w:b w:val="false"/>
                <w:bCs w:val="false"/>
                <w:color w:val="000000"/>
                <w:sz w:val="20"/>
                <w:szCs w:val="20"/>
              </w:rPr>
              <w:t xml:space="preserve">The system shall use a nearest-neighbor historical estimate and flag low-confidence when GPS/historical data is missing for a given route.</w:t>
            </w:r>
          </w:p>
        </w:tc>
        <w:tc>
          <w:tcPr>
            <w:tcW w:type="dxa" w:w="1200"/>
          </w:tcPr>
          <w:p>
            <w:r>
              <w:rPr>
                <w:rFonts w:ascii="Calibri" w:cs="Calibri" w:eastAsia="Calibri" w:hAnsi="Calibri"/>
                <w:b w:val="false"/>
                <w:bCs w:val="false"/>
                <w:color w:val="000000"/>
                <w:sz w:val="20"/>
                <w:szCs w:val="20"/>
              </w:rPr>
              <w:t xml:space="preserve">Medium</w:t>
            </w:r>
          </w:p>
        </w:tc>
      </w:tr>
    </w:tbl>
    <w:p>
      <w:pPr>
        <w:spacing w:after="160"/>
      </w:pPr>
      <w:r>
        <w:rPr>
          <w:rFonts w:ascii="Calibri" w:cs="Calibri" w:eastAsia="Calibri" w:hAnsi="Calibri"/>
          <w:sz w:val="22"/>
          <w:szCs w:val="22"/>
        </w:rPr>
        <w:t xml:space="preserve"/>
      </w:r>
    </w:p>
    <w:p>
      <w:pPr>
        <w:pStyle w:val="Heading1"/>
        <w:spacing w:after="150" w:before="300"/>
      </w:pPr>
      <w:r>
        <w:t xml:space="preserve">4.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00"/>
      </w:tblGrid>
      <w:tr>
        <w:tc>
          <w:tcPr>
            <w:tcW w:type="dxa" w:w="1000"/>
            <w:shd w:fill="1F4E79" w:val="clear"/>
          </w:tcPr>
          <w:p>
            <w:r>
              <w:rPr>
                <w:rFonts w:ascii="Calibri" w:cs="Calibri" w:eastAsia="Calibri" w:hAnsi="Calibri"/>
                <w:b/>
                <w:bCs/>
                <w:color w:val="FFFFFF"/>
                <w:sz w:val="20"/>
                <w:szCs w:val="20"/>
              </w:rPr>
              <w:t xml:space="preserve">ID</w:t>
            </w:r>
          </w:p>
        </w:tc>
        <w:tc>
          <w:tcPr>
            <w:tcW w:type="dxa" w:w="1800"/>
            <w:shd w:fill="1F4E79" w:val="clear"/>
          </w:tcPr>
          <w:p>
            <w:r>
              <w:rPr>
                <w:rFonts w:ascii="Calibri" w:cs="Calibri" w:eastAsia="Calibri" w:hAnsi="Calibri"/>
                <w:b/>
                <w:bCs/>
                <w:color w:val="FFFFFF"/>
                <w:sz w:val="20"/>
                <w:szCs w:val="20"/>
              </w:rPr>
              <w:t xml:space="preserve">Category</w:t>
            </w:r>
          </w:p>
        </w:tc>
        <w:tc>
          <w:tcPr>
            <w:tcW w:type="dxa" w:w="6200"/>
            <w:shd w:fill="1F4E79" w:val="clear"/>
          </w:tcPr>
          <w:p>
            <w:r>
              <w:rPr>
                <w:rFonts w:ascii="Calibri" w:cs="Calibri" w:eastAsia="Calibri" w:hAnsi="Calibri"/>
                <w:b/>
                <w:bCs/>
                <w:color w:val="FFFFFF"/>
                <w:sz w:val="20"/>
                <w:szCs w:val="20"/>
              </w:rPr>
              <w:t xml:space="preserve">Requirement</w:t>
            </w:r>
          </w:p>
        </w:tc>
      </w:tr>
      <w:tr>
        <w:tc>
          <w:tcPr>
            <w:tcW w:type="dxa" w:w="1000"/>
          </w:tcPr>
          <w:p>
            <w:r>
              <w:rPr>
                <w:rFonts w:ascii="Calibri" w:cs="Calibri" w:eastAsia="Calibri" w:hAnsi="Calibri"/>
                <w:b w:val="false"/>
                <w:bCs w:val="false"/>
                <w:color w:val="000000"/>
                <w:sz w:val="20"/>
                <w:szCs w:val="20"/>
              </w:rPr>
              <w:t xml:space="preserve">NFR-01</w:t>
            </w:r>
          </w:p>
        </w:tc>
        <w:tc>
          <w:tcPr>
            <w:tcW w:type="dxa" w:w="1800"/>
          </w:tcPr>
          <w:p>
            <w:r>
              <w:rPr>
                <w:rFonts w:ascii="Calibri" w:cs="Calibri" w:eastAsia="Calibri" w:hAnsi="Calibri"/>
                <w:b w:val="false"/>
                <w:bCs w:val="false"/>
                <w:color w:val="000000"/>
                <w:sz w:val="20"/>
                <w:szCs w:val="20"/>
              </w:rPr>
              <w:t xml:space="preserve">Performance</w:t>
            </w:r>
          </w:p>
        </w:tc>
        <w:tc>
          <w:tcPr>
            <w:tcW w:type="dxa" w:w="6200"/>
          </w:tcPr>
          <w:p>
            <w:r>
              <w:rPr>
                <w:rFonts w:ascii="Calibri" w:cs="Calibri" w:eastAsia="Calibri" w:hAnsi="Calibri"/>
                <w:b w:val="false"/>
                <w:bCs w:val="false"/>
                <w:color w:val="000000"/>
                <w:sz w:val="20"/>
                <w:szCs w:val="20"/>
              </w:rPr>
              <w:t xml:space="preserve">Dashboard pages shall load and display data within 2 seconds under normal network conditions.</w:t>
            </w:r>
          </w:p>
        </w:tc>
      </w:tr>
      <w:tr>
        <w:tc>
          <w:tcPr>
            <w:tcW w:type="dxa" w:w="1000"/>
          </w:tcPr>
          <w:p>
            <w:r>
              <w:rPr>
                <w:rFonts w:ascii="Calibri" w:cs="Calibri" w:eastAsia="Calibri" w:hAnsi="Calibri"/>
                <w:b w:val="false"/>
                <w:bCs w:val="false"/>
                <w:color w:val="000000"/>
                <w:sz w:val="20"/>
                <w:szCs w:val="20"/>
              </w:rPr>
              <w:t xml:space="preserve">NFR-02</w:t>
            </w:r>
          </w:p>
        </w:tc>
        <w:tc>
          <w:tcPr>
            <w:tcW w:type="dxa" w:w="1800"/>
          </w:tcPr>
          <w:p>
            <w:r>
              <w:rPr>
                <w:rFonts w:ascii="Calibri" w:cs="Calibri" w:eastAsia="Calibri" w:hAnsi="Calibri"/>
                <w:b w:val="false"/>
                <w:bCs w:val="false"/>
                <w:color w:val="000000"/>
                <w:sz w:val="20"/>
                <w:szCs w:val="20"/>
              </w:rPr>
              <w:t xml:space="preserve">Reliability</w:t>
            </w:r>
          </w:p>
        </w:tc>
        <w:tc>
          <w:tcPr>
            <w:tcW w:type="dxa" w:w="6200"/>
          </w:tcPr>
          <w:p>
            <w:r>
              <w:rPr>
                <w:rFonts w:ascii="Calibri" w:cs="Calibri" w:eastAsia="Calibri" w:hAnsi="Calibri"/>
                <w:b w:val="false"/>
                <w:bCs w:val="false"/>
                <w:color w:val="000000"/>
                <w:sz w:val="20"/>
                <w:szCs w:val="20"/>
              </w:rPr>
              <w:t xml:space="preserve">The audit history shall never lose a record; the audit write and the assignment write shall occur within a single database transaction.</w:t>
            </w:r>
          </w:p>
        </w:tc>
      </w:tr>
      <w:tr>
        <w:tc>
          <w:tcPr>
            <w:tcW w:type="dxa" w:w="1000"/>
          </w:tcPr>
          <w:p>
            <w:r>
              <w:rPr>
                <w:rFonts w:ascii="Calibri" w:cs="Calibri" w:eastAsia="Calibri" w:hAnsi="Calibri"/>
                <w:b w:val="false"/>
                <w:bCs w:val="false"/>
                <w:color w:val="000000"/>
                <w:sz w:val="20"/>
                <w:szCs w:val="20"/>
              </w:rPr>
              <w:t xml:space="preserve">NFR-03</w:t>
            </w:r>
          </w:p>
        </w:tc>
        <w:tc>
          <w:tcPr>
            <w:tcW w:type="dxa" w:w="1800"/>
          </w:tcPr>
          <w:p>
            <w:r>
              <w:rPr>
                <w:rFonts w:ascii="Calibri" w:cs="Calibri" w:eastAsia="Calibri" w:hAnsi="Calibri"/>
                <w:b w:val="false"/>
                <w:bCs w:val="false"/>
                <w:color w:val="000000"/>
                <w:sz w:val="20"/>
                <w:szCs w:val="20"/>
              </w:rPr>
              <w:t xml:space="preserve">Security</w:t>
            </w:r>
          </w:p>
        </w:tc>
        <w:tc>
          <w:tcPr>
            <w:tcW w:type="dxa" w:w="6200"/>
          </w:tcPr>
          <w:p>
            <w:r>
              <w:rPr>
                <w:rFonts w:ascii="Calibri" w:cs="Calibri" w:eastAsia="Calibri" w:hAnsi="Calibri"/>
                <w:b w:val="false"/>
                <w:bCs w:val="false"/>
                <w:color w:val="000000"/>
                <w:sz w:val="20"/>
                <w:szCs w:val="20"/>
              </w:rPr>
              <w:t xml:space="preserve">All protected API endpoints shall require a valid JWT; role checks shall be enforced server-side, not only in the UI.</w:t>
            </w:r>
          </w:p>
        </w:tc>
      </w:tr>
      <w:tr>
        <w:tc>
          <w:tcPr>
            <w:tcW w:type="dxa" w:w="1000"/>
          </w:tcPr>
          <w:p>
            <w:r>
              <w:rPr>
                <w:rFonts w:ascii="Calibri" w:cs="Calibri" w:eastAsia="Calibri" w:hAnsi="Calibri"/>
                <w:b w:val="false"/>
                <w:bCs w:val="false"/>
                <w:color w:val="000000"/>
                <w:sz w:val="20"/>
                <w:szCs w:val="20"/>
              </w:rPr>
              <w:t xml:space="preserve">NFR-04</w:t>
            </w:r>
          </w:p>
        </w:tc>
        <w:tc>
          <w:tcPr>
            <w:tcW w:type="dxa" w:w="1800"/>
          </w:tcPr>
          <w:p>
            <w:r>
              <w:rPr>
                <w:rFonts w:ascii="Calibri" w:cs="Calibri" w:eastAsia="Calibri" w:hAnsi="Calibri"/>
                <w:b w:val="false"/>
                <w:bCs w:val="false"/>
                <w:color w:val="000000"/>
                <w:sz w:val="20"/>
                <w:szCs w:val="20"/>
              </w:rPr>
              <w:t xml:space="preserve">Usability</w:t>
            </w:r>
          </w:p>
        </w:tc>
        <w:tc>
          <w:tcPr>
            <w:tcW w:type="dxa" w:w="6200"/>
          </w:tcPr>
          <w:p>
            <w:r>
              <w:rPr>
                <w:rFonts w:ascii="Calibri" w:cs="Calibri" w:eastAsia="Calibri" w:hAnsi="Calibri"/>
                <w:b w:val="false"/>
                <w:bCs w:val="false"/>
                <w:color w:val="000000"/>
                <w:sz w:val="20"/>
                <w:szCs w:val="20"/>
              </w:rPr>
              <w:t xml:space="preserve">The dispatcher dashboard shall be usable by a non-technical operator after a walkthrough of no more than 5 minutes.</w:t>
            </w:r>
          </w:p>
        </w:tc>
      </w:tr>
      <w:tr>
        <w:tc>
          <w:tcPr>
            <w:tcW w:type="dxa" w:w="1000"/>
          </w:tcPr>
          <w:p>
            <w:r>
              <w:rPr>
                <w:rFonts w:ascii="Calibri" w:cs="Calibri" w:eastAsia="Calibri" w:hAnsi="Calibri"/>
                <w:b w:val="false"/>
                <w:bCs w:val="false"/>
                <w:color w:val="000000"/>
                <w:sz w:val="20"/>
                <w:szCs w:val="20"/>
              </w:rPr>
              <w:t xml:space="preserve">NFR-05</w:t>
            </w:r>
          </w:p>
        </w:tc>
        <w:tc>
          <w:tcPr>
            <w:tcW w:type="dxa" w:w="1800"/>
          </w:tcPr>
          <w:p>
            <w:r>
              <w:rPr>
                <w:rFonts w:ascii="Calibri" w:cs="Calibri" w:eastAsia="Calibri" w:hAnsi="Calibri"/>
                <w:b w:val="false"/>
                <w:bCs w:val="false"/>
                <w:color w:val="000000"/>
                <w:sz w:val="20"/>
                <w:szCs w:val="20"/>
              </w:rPr>
              <w:t xml:space="preserve">Availability</w:t>
            </w:r>
          </w:p>
        </w:tc>
        <w:tc>
          <w:tcPr>
            <w:tcW w:type="dxa" w:w="6200"/>
          </w:tcPr>
          <w:p>
            <w:r>
              <w:rPr>
                <w:rFonts w:ascii="Calibri" w:cs="Calibri" w:eastAsia="Calibri" w:hAnsi="Calibri"/>
                <w:b w:val="false"/>
                <w:bCs w:val="false"/>
                <w:color w:val="000000"/>
                <w:sz w:val="20"/>
                <w:szCs w:val="20"/>
              </w:rPr>
              <w:t xml:space="preserve">Given free-tier hosting, a cold-start delay of up to 50 seconds on first request is acceptable and shall be documented, not treated as a defect.</w:t>
            </w:r>
          </w:p>
        </w:tc>
      </w:tr>
      <w:tr>
        <w:tc>
          <w:tcPr>
            <w:tcW w:type="dxa" w:w="1000"/>
          </w:tcPr>
          <w:p>
            <w:r>
              <w:rPr>
                <w:rFonts w:ascii="Calibri" w:cs="Calibri" w:eastAsia="Calibri" w:hAnsi="Calibri"/>
                <w:b w:val="false"/>
                <w:bCs w:val="false"/>
                <w:color w:val="000000"/>
                <w:sz w:val="20"/>
                <w:szCs w:val="20"/>
              </w:rPr>
              <w:t xml:space="preserve">NFR-06</w:t>
            </w:r>
          </w:p>
        </w:tc>
        <w:tc>
          <w:tcPr>
            <w:tcW w:type="dxa" w:w="1800"/>
          </w:tcPr>
          <w:p>
            <w:r>
              <w:rPr>
                <w:rFonts w:ascii="Calibri" w:cs="Calibri" w:eastAsia="Calibri" w:hAnsi="Calibri"/>
                <w:b w:val="false"/>
                <w:bCs w:val="false"/>
                <w:color w:val="000000"/>
                <w:sz w:val="20"/>
                <w:szCs w:val="20"/>
              </w:rPr>
              <w:t xml:space="preserve">Maintainability</w:t>
            </w:r>
          </w:p>
        </w:tc>
        <w:tc>
          <w:tcPr>
            <w:tcW w:type="dxa" w:w="6200"/>
          </w:tcPr>
          <w:p>
            <w:r>
              <w:rPr>
                <w:rFonts w:ascii="Calibri" w:cs="Calibri" w:eastAsia="Calibri" w:hAnsi="Calibri"/>
                <w:b w:val="false"/>
                <w:bCs w:val="false"/>
                <w:color w:val="000000"/>
                <w:sz w:val="20"/>
                <w:szCs w:val="20"/>
              </w:rPr>
              <w:t xml:space="preserve">Backend code shall be organized by domain module (auth, technicians, jobs, assignment, eta, audit) so a single module can be modified without touching unrelated code.</w:t>
            </w:r>
          </w:p>
        </w:tc>
      </w:tr>
      <w:tr>
        <w:tc>
          <w:tcPr>
            <w:tcW w:type="dxa" w:w="1000"/>
          </w:tcPr>
          <w:p>
            <w:r>
              <w:rPr>
                <w:rFonts w:ascii="Calibri" w:cs="Calibri" w:eastAsia="Calibri" w:hAnsi="Calibri"/>
                <w:b w:val="false"/>
                <w:bCs w:val="false"/>
                <w:color w:val="000000"/>
                <w:sz w:val="20"/>
                <w:szCs w:val="20"/>
              </w:rPr>
              <w:t xml:space="preserve">NFR-07</w:t>
            </w:r>
          </w:p>
        </w:tc>
        <w:tc>
          <w:tcPr>
            <w:tcW w:type="dxa" w:w="1800"/>
          </w:tcPr>
          <w:p>
            <w:r>
              <w:rPr>
                <w:rFonts w:ascii="Calibri" w:cs="Calibri" w:eastAsia="Calibri" w:hAnsi="Calibri"/>
                <w:b w:val="false"/>
                <w:bCs w:val="false"/>
                <w:color w:val="000000"/>
                <w:sz w:val="20"/>
                <w:szCs w:val="20"/>
              </w:rPr>
              <w:t xml:space="preserve">Portability</w:t>
            </w:r>
          </w:p>
        </w:tc>
        <w:tc>
          <w:tcPr>
            <w:tcW w:type="dxa" w:w="6200"/>
          </w:tcPr>
          <w:p>
            <w:r>
              <w:rPr>
                <w:rFonts w:ascii="Calibri" w:cs="Calibri" w:eastAsia="Calibri" w:hAnsi="Calibri"/>
                <w:b w:val="false"/>
                <w:bCs w:val="false"/>
                <w:color w:val="000000"/>
                <w:sz w:val="20"/>
                <w:szCs w:val="20"/>
              </w:rPr>
              <w:t xml:space="preserve">The frontend shall be responsive down to tablet width (768px) to support field and office use.</w:t>
            </w:r>
          </w:p>
        </w:tc>
      </w:tr>
      <w:tr>
        <w:tc>
          <w:tcPr>
            <w:tcW w:type="dxa" w:w="1000"/>
          </w:tcPr>
          <w:p>
            <w:r>
              <w:rPr>
                <w:rFonts w:ascii="Calibri" w:cs="Calibri" w:eastAsia="Calibri" w:hAnsi="Calibri"/>
                <w:b w:val="false"/>
                <w:bCs w:val="false"/>
                <w:color w:val="000000"/>
                <w:sz w:val="20"/>
                <w:szCs w:val="20"/>
              </w:rPr>
              <w:t xml:space="preserve">NFR-08</w:t>
            </w:r>
          </w:p>
        </w:tc>
        <w:tc>
          <w:tcPr>
            <w:tcW w:type="dxa" w:w="1800"/>
          </w:tcPr>
          <w:p>
            <w:r>
              <w:rPr>
                <w:rFonts w:ascii="Calibri" w:cs="Calibri" w:eastAsia="Calibri" w:hAnsi="Calibri"/>
                <w:b w:val="false"/>
                <w:bCs w:val="false"/>
                <w:color w:val="000000"/>
                <w:sz w:val="20"/>
                <w:szCs w:val="20"/>
              </w:rPr>
              <w:t xml:space="preserve">Auditability</w:t>
            </w:r>
          </w:p>
        </w:tc>
        <w:tc>
          <w:tcPr>
            <w:tcW w:type="dxa" w:w="6200"/>
          </w:tcPr>
          <w:p>
            <w:r>
              <w:rPr>
                <w:rFonts w:ascii="Calibri" w:cs="Calibri" w:eastAsia="Calibri" w:hAnsi="Calibri"/>
                <w:b w:val="false"/>
                <w:bCs w:val="false"/>
                <w:color w:val="000000"/>
                <w:sz w:val="20"/>
                <w:szCs w:val="20"/>
              </w:rPr>
              <w:t xml:space="preserve">Every state-changing action on a job or assignment shall be traceable to a specific actor and timestamp.</w:t>
            </w:r>
          </w:p>
        </w:tc>
      </w:tr>
    </w:tbl>
    <w:p>
      <w:pPr>
        <w:spacing w:after="160"/>
      </w:pPr>
      <w:r>
        <w:rPr>
          <w:rFonts w:ascii="Calibri" w:cs="Calibri" w:eastAsia="Calibri" w:hAnsi="Calibri"/>
          <w:sz w:val="22"/>
          <w:szCs w:val="22"/>
        </w:rPr>
        <w:t xml:space="preserve"/>
      </w:r>
    </w:p>
    <w:p>
      <w:pPr>
        <w:pStyle w:val="Heading1"/>
        <w:spacing w:after="150" w:before="300"/>
      </w:pPr>
      <w:r>
        <w:t xml:space="preserve">5. External Interface Requirements</w:t>
      </w:r>
    </w:p>
    <w:p>
      <w:pPr>
        <w:pStyle w:val="Heading2"/>
        <w:spacing w:after="120" w:before="240"/>
      </w:pPr>
      <w:r>
        <w:t xml:space="preserve">5.1 External APIs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shd w:fill="1F4E79" w:val="clear"/>
          </w:tcPr>
          <w:p>
            <w:r>
              <w:rPr>
                <w:rFonts w:ascii="Calibri" w:cs="Calibri" w:eastAsia="Calibri" w:hAnsi="Calibri"/>
                <w:b/>
                <w:bCs/>
                <w:color w:val="FFFFFF"/>
                <w:sz w:val="20"/>
                <w:szCs w:val="20"/>
              </w:rPr>
              <w:t xml:space="preserve">Interface</w:t>
            </w:r>
          </w:p>
        </w:tc>
        <w:tc>
          <w:tcPr>
            <w:tcW w:type="dxa" w:w="3600"/>
            <w:shd w:fill="1F4E79" w:val="clear"/>
          </w:tcPr>
          <w:p>
            <w:r>
              <w:rPr>
                <w:rFonts w:ascii="Calibri" w:cs="Calibri" w:eastAsia="Calibri" w:hAnsi="Calibri"/>
                <w:b/>
                <w:bCs/>
                <w:color w:val="FFFFFF"/>
                <w:sz w:val="20"/>
                <w:szCs w:val="20"/>
              </w:rPr>
              <w:t xml:space="preserve">Purpose</w:t>
            </w:r>
          </w:p>
        </w:tc>
        <w:tc>
          <w:tcPr>
            <w:tcW w:type="dxa" w:w="2800"/>
            <w:shd w:fill="1F4E79" w:val="clear"/>
          </w:tcPr>
          <w:p>
            <w:r>
              <w:rPr>
                <w:rFonts w:ascii="Calibri" w:cs="Calibri" w:eastAsia="Calibri" w:hAnsi="Calibri"/>
                <w:b/>
                <w:bCs/>
                <w:color w:val="FFFFFF"/>
                <w:sz w:val="20"/>
                <w:szCs w:val="20"/>
              </w:rPr>
              <w:t xml:space="preserve">Fallback if Unavailable</w:t>
            </w:r>
          </w:p>
        </w:tc>
      </w:tr>
      <w:tr>
        <w:tc>
          <w:tcPr>
            <w:tcW w:type="dxa" w:w="2600"/>
          </w:tcPr>
          <w:p>
            <w:r>
              <w:rPr>
                <w:rFonts w:ascii="Calibri" w:cs="Calibri" w:eastAsia="Calibri" w:hAnsi="Calibri"/>
                <w:b w:val="false"/>
                <w:bCs w:val="false"/>
                <w:color w:val="000000"/>
                <w:sz w:val="20"/>
                <w:szCs w:val="20"/>
              </w:rPr>
              <w:t xml:space="preserve">Open-Meteo Weather API</w:t>
            </w:r>
          </w:p>
        </w:tc>
        <w:tc>
          <w:tcPr>
            <w:tcW w:type="dxa" w:w="3600"/>
          </w:tcPr>
          <w:p>
            <w:r>
              <w:rPr>
                <w:rFonts w:ascii="Calibri" w:cs="Calibri" w:eastAsia="Calibri" w:hAnsi="Calibri"/>
                <w:b w:val="false"/>
                <w:bCs w:val="false"/>
                <w:color w:val="000000"/>
                <w:sz w:val="20"/>
                <w:szCs w:val="20"/>
              </w:rPr>
              <w:t xml:space="preserve">Supplies current and historical weather conditions used as a model feature</w:t>
            </w:r>
          </w:p>
        </w:tc>
        <w:tc>
          <w:tcPr>
            <w:tcW w:type="dxa" w:w="2800"/>
          </w:tcPr>
          <w:p>
            <w:r>
              <w:rPr>
                <w:rFonts w:ascii="Calibri" w:cs="Calibri" w:eastAsia="Calibri" w:hAnsi="Calibri"/>
                <w:b w:val="false"/>
                <w:bCs w:val="false"/>
                <w:color w:val="000000"/>
                <w:sz w:val="20"/>
                <w:szCs w:val="20"/>
              </w:rPr>
              <w:t xml:space="preserve">Fall back to baseline ETA, flag prediction low-confidence</w:t>
            </w:r>
          </w:p>
        </w:tc>
      </w:tr>
      <w:tr>
        <w:tc>
          <w:tcPr>
            <w:tcW w:type="dxa" w:w="2600"/>
          </w:tcPr>
          <w:p>
            <w:r>
              <w:rPr>
                <w:rFonts w:ascii="Calibri" w:cs="Calibri" w:eastAsia="Calibri" w:hAnsi="Calibri"/>
                <w:b w:val="false"/>
                <w:bCs w:val="false"/>
                <w:color w:val="000000"/>
                <w:sz w:val="20"/>
                <w:szCs w:val="20"/>
              </w:rPr>
              <w:t xml:space="preserve">OpenStreetMap / OpenRouteService</w:t>
            </w:r>
          </w:p>
        </w:tc>
        <w:tc>
          <w:tcPr>
            <w:tcW w:type="dxa" w:w="3600"/>
          </w:tcPr>
          <w:p>
            <w:r>
              <w:rPr>
                <w:rFonts w:ascii="Calibri" w:cs="Calibri" w:eastAsia="Calibri" w:hAnsi="Calibri"/>
                <w:b w:val="false"/>
                <w:bCs w:val="false"/>
                <w:color w:val="000000"/>
                <w:sz w:val="20"/>
                <w:szCs w:val="20"/>
              </w:rPr>
              <w:t xml:space="preserve">Supplies road network data and route distance/duration</w:t>
            </w:r>
          </w:p>
        </w:tc>
        <w:tc>
          <w:tcPr>
            <w:tcW w:type="dxa" w:w="2800"/>
          </w:tcPr>
          <w:p>
            <w:r>
              <w:rPr>
                <w:rFonts w:ascii="Calibri" w:cs="Calibri" w:eastAsia="Calibri" w:hAnsi="Calibri"/>
                <w:b w:val="false"/>
                <w:bCs w:val="false"/>
                <w:color w:val="000000"/>
                <w:sz w:val="20"/>
                <w:szCs w:val="20"/>
              </w:rPr>
              <w:t xml:space="preserve">Fall back to Haversine straight-line distance</w:t>
            </w:r>
          </w:p>
        </w:tc>
      </w:tr>
      <w:tr>
        <w:tc>
          <w:tcPr>
            <w:tcW w:type="dxa" w:w="2600"/>
          </w:tcPr>
          <w:p>
            <w:r>
              <w:rPr>
                <w:rFonts w:ascii="Calibri" w:cs="Calibri" w:eastAsia="Calibri" w:hAnsi="Calibri"/>
                <w:b w:val="false"/>
                <w:bCs w:val="false"/>
                <w:color w:val="000000"/>
                <w:sz w:val="20"/>
                <w:szCs w:val="20"/>
              </w:rPr>
              <w:t xml:space="preserve">Historical GPS dataset (offline)</w:t>
            </w:r>
          </w:p>
        </w:tc>
        <w:tc>
          <w:tcPr>
            <w:tcW w:type="dxa" w:w="3600"/>
          </w:tcPr>
          <w:p>
            <w:r>
              <w:rPr>
                <w:rFonts w:ascii="Calibri" w:cs="Calibri" w:eastAsia="Calibri" w:hAnsi="Calibri"/>
                <w:b w:val="false"/>
                <w:bCs w:val="false"/>
                <w:color w:val="000000"/>
                <w:sz w:val="20"/>
                <w:szCs w:val="20"/>
              </w:rPr>
              <w:t xml:space="preserve">Trains the context-aware model and computes baseline comparison error</w:t>
            </w:r>
          </w:p>
        </w:tc>
        <w:tc>
          <w:tcPr>
            <w:tcW w:type="dxa" w:w="2800"/>
          </w:tcPr>
          <w:p>
            <w:r>
              <w:rPr>
                <w:rFonts w:ascii="Calibri" w:cs="Calibri" w:eastAsia="Calibri" w:hAnsi="Calibri"/>
                <w:b w:val="false"/>
                <w:bCs w:val="false"/>
                <w:color w:val="000000"/>
                <w:sz w:val="20"/>
                <w:szCs w:val="20"/>
              </w:rPr>
              <w:t xml:space="preserve">N/A — static, loaded at build/training time</w:t>
            </w:r>
          </w:p>
        </w:tc>
      </w:tr>
      <w:tr>
        <w:tc>
          <w:tcPr>
            <w:tcW w:type="dxa" w:w="2600"/>
          </w:tcPr>
          <w:p>
            <w:r>
              <w:rPr>
                <w:rFonts w:ascii="Calibri" w:cs="Calibri" w:eastAsia="Calibri" w:hAnsi="Calibri"/>
                <w:b w:val="false"/>
                <w:bCs w:val="false"/>
                <w:color w:val="000000"/>
                <w:sz w:val="20"/>
                <w:szCs w:val="20"/>
              </w:rPr>
              <w:t xml:space="preserve">Event / road-closure dataset</w:t>
            </w:r>
          </w:p>
        </w:tc>
        <w:tc>
          <w:tcPr>
            <w:tcW w:type="dxa" w:w="3600"/>
          </w:tcPr>
          <w:p>
            <w:r>
              <w:rPr>
                <w:rFonts w:ascii="Calibri" w:cs="Calibri" w:eastAsia="Calibri" w:hAnsi="Calibri"/>
                <w:b w:val="false"/>
                <w:bCs w:val="false"/>
                <w:color w:val="000000"/>
                <w:sz w:val="20"/>
                <w:szCs w:val="20"/>
              </w:rPr>
              <w:t xml:space="preserve">Supplies event and closure context features</w:t>
            </w:r>
          </w:p>
        </w:tc>
        <w:tc>
          <w:tcPr>
            <w:tcW w:type="dxa" w:w="2800"/>
          </w:tcPr>
          <w:p>
            <w:r>
              <w:rPr>
                <w:rFonts w:ascii="Calibri" w:cs="Calibri" w:eastAsia="Calibri" w:hAnsi="Calibri"/>
                <w:b w:val="false"/>
                <w:bCs w:val="false"/>
                <w:color w:val="000000"/>
                <w:sz w:val="20"/>
                <w:szCs w:val="20"/>
              </w:rPr>
              <w:t xml:space="preserve">Treat as 'no known event/closure', flag confidence medium</w:t>
            </w:r>
          </w:p>
        </w:tc>
      </w:tr>
    </w:tbl>
    <w:p>
      <w:pPr>
        <w:spacing w:after="160"/>
      </w:pPr>
      <w:r>
        <w:rPr>
          <w:rFonts w:ascii="Calibri" w:cs="Calibri" w:eastAsia="Calibri" w:hAnsi="Calibri"/>
          <w:sz w:val="22"/>
          <w:szCs w:val="22"/>
        </w:rPr>
        <w:t xml:space="preserve"/>
      </w:r>
    </w:p>
    <w:p>
      <w:pPr>
        <w:pStyle w:val="Heading2"/>
        <w:spacing w:after="120" w:before="240"/>
      </w:pPr>
      <w:r>
        <w:t xml:space="preserve">5.2 User Interfaces</w:t>
      </w:r>
    </w:p>
    <w:p>
      <w:pPr>
        <w:spacing w:after="160"/>
      </w:pPr>
      <w:r>
        <w:rPr>
          <w:rFonts w:ascii="Calibri" w:cs="Calibri" w:eastAsia="Calibri" w:hAnsi="Calibri"/>
          <w:sz w:val="22"/>
          <w:szCs w:val="22"/>
        </w:rPr>
        <w:t xml:space="preserve">Detailed screen-by-screen specifications are provided separately in the UI/UX Design Specification document. At a summary level, the system exposes three role-based interfaces: a Dispatcher console (jobs, map, recommendation, override, audit, analytics), a Technician view (assigned jobs, status update), and a minimal Admin panel (technician and skill management).</w:t>
      </w:r>
    </w:p>
    <w:p>
      <w:pPr>
        <w:pStyle w:val="Heading1"/>
        <w:spacing w:after="150" w:before="300"/>
      </w:pPr>
      <w:r>
        <w:t xml:space="preserve">6. Other Requirements</w:t>
      </w:r>
    </w:p>
    <w:p>
      <w:pPr>
        <w:pStyle w:val="Heading2"/>
        <w:spacing w:after="120" w:before="240"/>
      </w:pPr>
      <w:r>
        <w:t xml:space="preserve">6.1 Ethics and Data Handling</w:t>
      </w:r>
    </w:p>
    <w:p>
      <w:pPr>
        <w:pStyle w:val="ListParagraph"/>
        <w:numPr>
          <w:ilvl w:val="0"/>
          <w:numId w:val="1"/>
        </w:numPr>
        <w:spacing w:after="80"/>
      </w:pPr>
      <w:r>
        <w:rPr>
          <w:rFonts w:ascii="Calibri" w:cs="Calibri" w:eastAsia="Calibri" w:hAnsi="Calibri"/>
          <w:sz w:val="22"/>
          <w:szCs w:val="22"/>
        </w:rPr>
        <w:t xml:space="preserve">Technician location data is used only for ETA prediction and live tracking during active jobs; it is not retained beyond the audit and analytics needs of the system.</w:t>
      </w:r>
    </w:p>
    <w:p>
      <w:pPr>
        <w:pStyle w:val="ListParagraph"/>
        <w:numPr>
          <w:ilvl w:val="0"/>
          <w:numId w:val="1"/>
        </w:numPr>
        <w:spacing w:after="80"/>
      </w:pPr>
      <w:r>
        <w:rPr>
          <w:rFonts w:ascii="Calibri" w:cs="Calibri" w:eastAsia="Calibri" w:hAnsi="Calibri"/>
          <w:sz w:val="22"/>
          <w:szCs w:val="22"/>
        </w:rPr>
        <w:t xml:space="preserve">The system shall never silently suppress or hide a low-confidence prediction; uncertainty shall always be surfaced to the dispatcher.</w:t>
      </w:r>
    </w:p>
    <w:p>
      <w:pPr>
        <w:pStyle w:val="ListParagraph"/>
        <w:numPr>
          <w:ilvl w:val="0"/>
          <w:numId w:val="1"/>
        </w:numPr>
        <w:spacing w:after="80"/>
      </w:pPr>
      <w:r>
        <w:rPr>
          <w:rFonts w:ascii="Calibri" w:cs="Calibri" w:eastAsia="Calibri" w:hAnsi="Calibri"/>
          <w:sz w:val="22"/>
          <w:szCs w:val="22"/>
        </w:rPr>
        <w:t xml:space="preserve">Simulated event/road-closure data used due to free-data-source limitations shall be clearly documented as simulated in the final report, not presented as live production data.</w:t>
      </w:r>
    </w:p>
    <w:p>
      <w:pPr>
        <w:pStyle w:val="Heading2"/>
        <w:spacing w:after="120" w:before="240"/>
      </w:pPr>
      <w:r>
        <w:t xml:space="preserve">6.2 Traceability</w:t>
      </w:r>
    </w:p>
    <w:p>
      <w:pPr>
        <w:spacing w:after="160"/>
      </w:pPr>
      <w:r>
        <w:rPr>
          <w:rFonts w:ascii="Calibri" w:cs="Calibri" w:eastAsia="Calibri" w:hAnsi="Calibri"/>
          <w:sz w:val="22"/>
          <w:szCs w:val="22"/>
        </w:rPr>
        <w:t xml:space="preserve">Each functional requirement (FR-xx) in this document maps to a specific module described in the System Architecture Document and to a specific test case in the Edge-Case and Performance Testing report, ensuring every requirement can be traced from specification through design to verification.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2026-08-06T09:40:18.561Z</dcterms:created>
  <dcterms:modified xsi:type="dcterms:W3CDTF">2026-08-06T09:40:18.578Z</dcterms:modified>
</cp:coreProperties>
</file>

<file path=docProps/custom.xml><?xml version="1.0" encoding="utf-8"?>
<Properties xmlns="http://schemas.openxmlformats.org/officeDocument/2006/custom-properties" xmlns:vt="http://schemas.openxmlformats.org/officeDocument/2006/docPropsVTypes"/>
</file>