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Question 5. Analyze the data distribution matrix containing merged grid regions below.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Merged Main Header Span</w:t>
            </w:r>
          </w:p>
        </w:tc>
      </w:tr>
      <w:tr>
        <w:tc>
          <w:tcPr>
            <w:vMerge w:val="restart"/>
          </w:tcPr>
          <w:p>
            <w:r>
              <w:t xml:space="preserve">Vertical Spanned Key</w:t>
            </w:r>
          </w:p>
        </w:tc>
        <w:tc>
          <w:p>
            <w:r>
              <w:t xml:space="preserve">Metric Alpha</w:t>
            </w:r>
          </w:p>
        </w:tc>
        <w:tc>
          <w:p>
            <w:r>
              <w:t xml:space="preserve">150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Metric Beta</w:t>
            </w:r>
          </w:p>
        </w:tc>
        <w:tc>
          <w:p>
            <w:r>
              <w:t xml:space="preserve">300</w:t>
            </w:r>
          </w:p>
        </w:tc>
      </w:tr>
    </w:tbl>
    <w:p/>
    <w:p>
      <w:r>
        <w:t xml:space="preserve">(A) 150 and 300</w:t>
      </w:r>
      <w:r>
        <w:t xml:space="preserve">	(B) 300 and 150	</w:t>
      </w:r>
      <w:r>
        <w:t xml:space="preserve">(C) 150 and 150</w:t>
      </w:r>
      <w:r>
        <w:t xml:space="preserve">	(D) 300 and 300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2026-06-08T01:15:07.773Z</dcterms:created>
  <dcterms:modified xsi:type="dcterms:W3CDTF">2026-06-08T01:15:07.773Z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