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A6B14" w14:textId="77777777" w:rsidR="00BD32AC" w:rsidRDefault="00000000">
      <w:pPr>
        <w:pStyle w:val="FirstParagraph"/>
      </w:pPr>
      <w:r>
        <w:t>### 1.1 Background &amp; Context </w:t>
      </w:r>
    </w:p>
    <w:p w14:paraId="6F1AACF0" w14:textId="77777777" w:rsidR="00BD32AC" w:rsidRDefault="00000000">
      <w:pPr>
        <w:pStyle w:val="BodyText"/>
      </w:pPr>
      <w:r>
        <w:t>The Fourth Industrial Revolution has ushered in a production paradigm in which machines, analytics and networks interact in near real time to execute and refine industrial processes.¹ During the past decade, cloud computing costs have fallen by more than 60 per cent while sensor prices have dropped below US $0.40, allowing even mid‑tier firms to stream shop‑floor data into advanced‑analytics stacks. What distinguishes this wave from earlier automation is the capacity for cyber‑physical feedback loops: a quality deviation detected at one workstation can trigger immediate recipe adjustments upstream and dynamic shipment‑rerouting downstream. In effect, optimisation is becoming continuous rather than batch‑based, with learning algorithms incrementally raising the performance ceiling of every connected node.</w:t>
      </w:r>
    </w:p>
    <w:p w14:paraId="6D6968BF" w14:textId="77777777" w:rsidR="00BD32AC" w:rsidRDefault="00000000">
      <w:pPr>
        <w:pStyle w:val="BodyText"/>
      </w:pPr>
      <w:r>
        <w:t>A 2023 industry forum reported that global manufacturing value‑added stood at roughly US $16 trillion and argued that scaling such feedback‑rich architectures is now the single largest lever for maintaining that output in the face of cost inflation and labour shortages.² Evidence of maturation is visible in a curated list of digitally advanced factories known as the Global Lighthouse Network. From an initial cohort of sixteen sites in 2018 the register passed one‑hundred and fifty by early 2025, with average productivity lifts of 30–90 per cent and defect reductions approaching half. The acceleration suggests that frontier practices are diffusing more rapidly than in previous automation cycles, compressing the window in which late adopters must respond.</w:t>
      </w:r>
    </w:p>
    <w:p w14:paraId="7FE46770" w14:textId="77777777" w:rsidR="00BD32AC" w:rsidRDefault="00000000">
      <w:pPr>
        <w:pStyle w:val="BodyText"/>
      </w:pPr>
      <w:r>
        <w:t>At the same time, supply‑chain volatility has reached a forty‑year high. Pandemic shutdowns, container scarcities, semiconductor droughts and geopolitical sanctions have collectively imposed a new normal of rolling disruption. A 2020 cross‑sector operations study estimated that, without mitigating action, the median firm now stands to lose the equivalent of 45 per cent of one year’s EBITDA each decade to such shocks.³ In response, supply‑chain leaders are pivoting from cost arbitrage to resilience engineering, investing heavily in end‑to‑end visibility layers, scenario analytics and distributed production cells enabled by additive manufacturing. A 2024 trends survey conducted by a global logistics provider placed artificial‑intelligence control towers and autonomous mobile robots among the technologies most likely to achieve full operational scale within five years.⁴ The strategic narrative is therefore not whether to digitalise but how quickly and how deeply.</w:t>
      </w:r>
    </w:p>
    <w:p w14:paraId="78611DDC" w14:textId="77777777" w:rsidR="00BD32AC" w:rsidRDefault="00000000">
      <w:pPr>
        <w:pStyle w:val="BodyText"/>
      </w:pPr>
      <w:r>
        <w:t>A parallel sustainability mandate raises the stakes further. Industrial activity accounts for just under one‑quarter of global greenhouse‑gas emissions, while freight transport adds another eight per cent. A 2023 United Nations report frames the challenge as opening “green windows”: harnessing digital twins, IoT sensors and advanced analytics to enable real‑time energy optimisation and closed‑loop material flows capable of cutting carbon intensity by up to a third within a single investment cycle.⁵ European policy guidance issued in 2021 goes further, advocating a model labelled “Industry 5.0” that balances competitiveness, resilience and ecological stewardship through technology that remains human‑centric.⁶ In practical terms, firms are increasingly expected to prove that digital upgrades also accelerate progress towards science‑based climate targets.</w:t>
      </w:r>
    </w:p>
    <w:p w14:paraId="40C36999" w14:textId="77777777" w:rsidR="00BD32AC" w:rsidRDefault="00000000">
      <w:pPr>
        <w:pStyle w:val="BodyText"/>
      </w:pPr>
      <w:r>
        <w:lastRenderedPageBreak/>
        <w:t>These converging pressures provide the backdrop for the three companies examined in this thesis. One operates the world’s largest contract‑logistics network, managing more than 1 400 warehouses and piloting robotic picking, drone delivery and AI‑driven route planning while pledging net‑zero logistics by 2050. The second, a global consumer‑goods manufacturer with 280 factories and tens of thousands of suppliers, is deploying machine‑learning quality control, blockchain traceability and a cloud‑based data platform aligned with science‑based emissions cuts. The third leads its sector’s digital‑factory agenda, having rolled out 5 G, edge analytics and large‑scale additive manufacturing at flagship plants while committing to fleet‑wide carbon neutrality. Public disclosures by all three furnish multi‑year datasets on financial, operational and environmental performance, making them natural laboratories for examining how Industry 4.0 technologies reshape value creation and sustainability outcomes in practice.</w:t>
      </w:r>
    </w:p>
    <w:p w14:paraId="23B6E2FB" w14:textId="77777777" w:rsidR="00BD32AC" w:rsidRDefault="00000000">
      <w:pPr>
        <w:pStyle w:val="BodyText"/>
      </w:pPr>
      <w:r>
        <w:t>Despite mounting case anecdotes, systematic cross‑sector evidence on the measurable consequences of Industry 4.0 adoption remains fragmentary. Boardrooms anticipate double‑digit productivity gains, regulators and investors demand verifiable carbon reductions, yet peer‑reviewed studies that quantify both trajectories for publicly listed multinationals are still scarce. Bridging this gap requires research designs that integrate robust quantitative indicators with firm‑specific narratives, tracing not only the enablers but also the frictions that emerge when advanced technologies encounter legacy processes and stakeholder expectations. By interrogating the three firms outlined above over a ten‑year horizon, the present study aims to determine whether, how and under what conditions Industry 4.0 realises its twin promise of operational excellence and sustainable value creation.</w:t>
      </w:r>
    </w:p>
    <w:p w14:paraId="3A2E8D34" w14:textId="77777777" w:rsidR="00BD32AC" w:rsidRDefault="00000000">
      <w:r>
        <w:pict w14:anchorId="58B63DF1">
          <v:rect id="_x0000_i1025" style="width:0;height:1.5pt" o:hralign="center" o:hrstd="t" o:hr="t"/>
        </w:pict>
      </w:r>
    </w:p>
    <w:p w14:paraId="26EBCB73" w14:textId="77777777" w:rsidR="00BD32AC" w:rsidRDefault="00000000">
      <w:pPr>
        <w:pStyle w:val="FirstParagraph"/>
      </w:pPr>
      <w:r>
        <w:t>#### Footnotes (Chicago Notes Style with Live URLs)</w:t>
      </w:r>
    </w:p>
    <w:p w14:paraId="3EE8C029" w14:textId="67AD69CC" w:rsidR="00BD32AC" w:rsidRDefault="00000000" w:rsidP="00346FC0">
      <w:pPr>
        <w:pStyle w:val="BodyText"/>
        <w:numPr>
          <w:ilvl w:val="0"/>
          <w:numId w:val="2"/>
        </w:numPr>
      </w:pPr>
      <w:r>
        <w:t xml:space="preserve">Henning Kagermann et al., </w:t>
      </w:r>
      <w:r>
        <w:rPr>
          <w:i/>
          <w:iCs/>
        </w:rPr>
        <w:t>Recommendations for Implementing the Strategic Initiative Industrie 4.0</w:t>
      </w:r>
      <w:r>
        <w:t xml:space="preserve"> (Munich: Acatech, 2013), </w:t>
      </w:r>
      <w:hyperlink r:id="rId5" w:history="1">
        <w:r w:rsidR="00346FC0" w:rsidRPr="007F7264">
          <w:rPr>
            <w:rStyle w:val="Hyperlink"/>
          </w:rPr>
          <w:t>https://www.din.de/resource/blob/76902/e8cac883f42bf28536e7e8165993f1fd/recommendations-for-implementing-industry-4-0-data.pdf</w:t>
        </w:r>
      </w:hyperlink>
      <w:r>
        <w:t>.</w:t>
      </w:r>
    </w:p>
    <w:p w14:paraId="5FB4290C" w14:textId="77777777" w:rsidR="00346FC0" w:rsidRDefault="00346FC0" w:rsidP="00346FC0">
      <w:pPr>
        <w:pStyle w:val="BodyText"/>
        <w:ind w:left="720"/>
      </w:pPr>
    </w:p>
    <w:p w14:paraId="0220C661" w14:textId="078A0033" w:rsidR="00BD32AC" w:rsidRDefault="00000000" w:rsidP="00346FC0">
      <w:pPr>
        <w:pStyle w:val="BodyText"/>
        <w:numPr>
          <w:ilvl w:val="0"/>
          <w:numId w:val="2"/>
        </w:numPr>
      </w:pPr>
      <w:r>
        <w:t xml:space="preserve">World Economic Forum, </w:t>
      </w:r>
      <w:r>
        <w:rPr>
          <w:i/>
          <w:iCs/>
        </w:rPr>
        <w:t>Global Lighthouse Network: Shaping the Next Chapter of the Fourth Industrial Revolution</w:t>
      </w:r>
      <w:r>
        <w:t xml:space="preserve"> (Geneva: 2023), </w:t>
      </w:r>
      <w:hyperlink r:id="rId6" w:history="1">
        <w:r w:rsidR="00346FC0" w:rsidRPr="007F7264">
          <w:rPr>
            <w:rStyle w:val="Hyperlink"/>
          </w:rPr>
          <w:t>https://www3.weforum.org/docs/WEF_Global_Lighthouse_Network_2023.pdf</w:t>
        </w:r>
      </w:hyperlink>
      <w:r>
        <w:t>.</w:t>
      </w:r>
    </w:p>
    <w:p w14:paraId="54366005" w14:textId="77777777" w:rsidR="00346FC0" w:rsidRDefault="00346FC0" w:rsidP="00346FC0">
      <w:pPr>
        <w:pStyle w:val="ListParagraph"/>
      </w:pPr>
    </w:p>
    <w:p w14:paraId="5C57EC87" w14:textId="77777777" w:rsidR="00346FC0" w:rsidRDefault="00346FC0" w:rsidP="00346FC0">
      <w:pPr>
        <w:pStyle w:val="BodyText"/>
        <w:ind w:left="720"/>
      </w:pPr>
    </w:p>
    <w:p w14:paraId="3E6736C7" w14:textId="77777777" w:rsidR="00BD32AC" w:rsidRDefault="00000000">
      <w:pPr>
        <w:pStyle w:val="BodyText"/>
      </w:pPr>
      <w:r>
        <w:t xml:space="preserve">3. Mayank Agrawal et al., “Industry 4.0: Reimagining Manufacturing Operations after COVID‑19,” </w:t>
      </w:r>
      <w:r>
        <w:rPr>
          <w:i/>
          <w:iCs/>
        </w:rPr>
        <w:t>McKinsey &amp; Company Insight Report</w:t>
      </w:r>
      <w:r>
        <w:t xml:space="preserve"> (2020), https://www.mckinsey.com/~/media/McKinsey/Business%20Functions/Operations/Our%</w:t>
      </w:r>
      <w:r>
        <w:lastRenderedPageBreak/>
        <w:t>20Insights/Industry%204%200%20Reimagining%20manufacturing%20operations/industry-4-0-reimagining-manuacturing-ops-after-covid-19.pdf.</w:t>
      </w:r>
    </w:p>
    <w:p w14:paraId="18AD4B56" w14:textId="77777777" w:rsidR="00BD32AC" w:rsidRDefault="00000000">
      <w:pPr>
        <w:pStyle w:val="BodyText"/>
      </w:pPr>
      <w:r>
        <w:t xml:space="preserve">4. DHL Group, </w:t>
      </w:r>
      <w:r>
        <w:rPr>
          <w:i/>
          <w:iCs/>
        </w:rPr>
        <w:t>Logistics Trend Radar 2024</w:t>
      </w:r>
      <w:r>
        <w:t xml:space="preserve"> (Bonn: 2024), https://group.dhl.com/content/dam/deutschepostdhl/en/media-relations/press-releases/2024/pr-dhl-logistics-trend-radar-edition-7-20240903.pdf.</w:t>
      </w:r>
    </w:p>
    <w:p w14:paraId="4B2FE0F5" w14:textId="77777777" w:rsidR="00BD32AC" w:rsidRDefault="00000000">
      <w:pPr>
        <w:pStyle w:val="BodyText"/>
      </w:pPr>
      <w:r>
        <w:t xml:space="preserve">5. United Nations Conference on Trade and Development, </w:t>
      </w:r>
      <w:r>
        <w:rPr>
          <w:i/>
          <w:iCs/>
        </w:rPr>
        <w:t>Technology and Innovation Report 2023: Opening Green Windows—Technological Opportunities for a Low‑Carbon World</w:t>
      </w:r>
      <w:r>
        <w:t xml:space="preserve"> (Geneva: 2023), https://unctad.org/system/files/official-document/tir2023_en.pdf.</w:t>
      </w:r>
    </w:p>
    <w:p w14:paraId="06D5F21F" w14:textId="77777777" w:rsidR="00BD32AC" w:rsidRDefault="00000000">
      <w:pPr>
        <w:pStyle w:val="BodyText"/>
      </w:pPr>
      <w:r>
        <w:t xml:space="preserve">6. European Commission, </w:t>
      </w:r>
      <w:r>
        <w:rPr>
          <w:i/>
          <w:iCs/>
        </w:rPr>
        <w:t>Industry 5.0—Towards a Sustainable, Human‑Centric and Resilient European Industry</w:t>
      </w:r>
      <w:r>
        <w:t xml:space="preserve"> (Brussels: 2021), https://research-and-innovation.ec.europa.eu/knowledge-publications-tools-and-data/publications/all-publications/industry-50-towards-sustainable-human-centric-and-resilient-european-industry_en.</w:t>
      </w:r>
    </w:p>
    <w:sectPr w:rsidR="00BD32A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71C023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624E1025"/>
    <w:multiLevelType w:val="hybridMultilevel"/>
    <w:tmpl w:val="8174E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360536">
    <w:abstractNumId w:val="0"/>
  </w:num>
  <w:num w:numId="2" w16cid:durableId="164441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D32AC"/>
    <w:rsid w:val="0029456B"/>
    <w:rsid w:val="00346FC0"/>
    <w:rsid w:val="00BD32AC"/>
    <w:rsid w:val="00FE0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FE62"/>
  <w15:docId w15:val="{EDD649DF-B51E-409E-B25C-9D971859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346FC0"/>
    <w:rPr>
      <w:color w:val="605E5C"/>
      <w:shd w:val="clear" w:color="auto" w:fill="E1DFDD"/>
    </w:rPr>
  </w:style>
  <w:style w:type="paragraph" w:styleId="ListParagraph">
    <w:name w:val="List Paragraph"/>
    <w:basedOn w:val="Normal"/>
    <w:rsid w:val="00346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weforum.org/docs/WEF_Global_Lighthouse_Network_2023.pdf" TargetMode="External"/><Relationship Id="rId5" Type="http://schemas.openxmlformats.org/officeDocument/2006/relationships/hyperlink" Target="https://www.din.de/resource/blob/76902/e8cac883f42bf28536e7e8165993f1fd/recommendations-for-implementing-industry-4-0-dat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Manoj Kumar</cp:lastModifiedBy>
  <cp:revision>2</cp:revision>
  <dcterms:created xsi:type="dcterms:W3CDTF">2025-06-28T23:50:00Z</dcterms:created>
  <dcterms:modified xsi:type="dcterms:W3CDTF">2025-06-29T00:03:00Z</dcterms:modified>
</cp:coreProperties>
</file>