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  Sustainability Impact</w:t>
      </w:r>
    </w:p>
    <w:p>
      <w:r>
        <w:t>Industry 4.0 entered corporate strategy agendas largely on the promise of cost and speed, yet its lasting legitimacy increasingly hinges on whether it can decouple industrial growth from planetary impact.  Digital‑first production ecosystems possess an unusual duality: pervasive sensing and real‑time optimisation can slash material and energy waste, but the very data infrastructure that enables such gains consumes non‑trivial resources of its own.  Understanding the net effect therefore requires tracing multiple feedback loops that span the entire product life cycle.</w:t>
      </w:r>
    </w:p>
    <w:p>
      <w:r>
        <w:t>One of the most widely documented benefits centres on **energy efficiency**.  When machine‑level sensors stream high‑resolution power‑draw data into cloud analytics platforms, algorithms detect micro‑stoppages, sub‑optimal set‑points and air‑leak signatures invisible to the human eye.  Firms that fuse these insights with automatic load‑balancing controllers report cutting facility energy intensity by 8–20 percent within two years, ¹ while also flattening peak‑demand spikes that attract punitive tariffs.  Gains amplify further when production planning engines co‑optimise batch sequencing with hourly carbon‑intensity forecasts from the grid operator, shifting non‑urgent loads to cleaner time windows.  Crucially, such optimisation requires vertically integrated data pipelines; pilots confined to the shop floor rarely influence aggregate emissions because upstream and downstream processes continue to run on static schedules.</w:t>
      </w:r>
    </w:p>
    <w:p>
      <w:r>
        <w:t>Beyond operational energy, digital twins offer a lever for **process‑emissions abatement**.  Virtual replicas of casting furnaces or paint booths test thousands of parameter permutations in silico, identifying combinations that minimise fuel use and volatile‑organic‑compound release before physical trials begin.  Automotive plants adopting closed‑loop paint‑process twins cut solvent emissions per vehicle by over 30 percent, an improvement difficult to achieve through hardware retrofits alone. ²  At the supply‑network level, AI‑driven routing engines optimise lane selection, truck loading and back‑haul matching; carriers integrating these tools with real‑time traffic feeds demonstrate diesel savings of 12 percent and corresponding scope‑3 CO₂ reductions. ³  Taken together, these studies suggest that data‑centric optimisation can often unlock abatement faster and at lower capital outlay than wholesale equipment replacement.</w:t>
      </w:r>
    </w:p>
    <w:p>
      <w:r>
        <w:t>Material **waste reduction** is another pillar of the I4.0 sustainability thesis.  Additive manufacturing and advanced simulation shrink the number of prototypes and machine setups, while first‑time‑right machining driven by in‑process metrology slashes scrap rates.  Across aerospace suppliers, powder‑bed fusion consolidated as many as twelve milled components into a single near‑net‑shape build, eliminating intermediate offcuts and reducing buy‑to‑fly ratios from 8:1 to less than 2:1. ⁴  In consumer‑goods packaging, digital‑printing platforms trigger on‑demand runs as low as twenty units, avoiding obsolete label inventory and the associated disposal burden.  IoT‑enabled returnable transport items further lower corrugated waste in logistics loops, providing data to schedule sweeps only when empty‑pallet pools reach threshold levels.</w:t>
      </w:r>
    </w:p>
    <w:p>
      <w:r>
        <w:t>Sustainability arguments extend into product **circularity**.  The emerging digital product passport embeds real‑time provenance, chemical composition and usage logs directly on the blockchain, enabling repair shops and recyclers to query dismantling instructions with minimal administrative overhead. ⁵  Pilot schemes in white‑goods have achieved recovery rates of critical metals above 90 percent by instructing automated disassembly cells exactly which alloy blend sits inside each returned unit.  Coupled with smart‑contract mechanisms, manufacturers credit customers for residual material value, transforming end‑of‑life take‑back from compliance cost to shared value proposition.  Such closed‑loop supply chains, however, depend on high supplier and consumer uptake of the underlying data platform; without universal scanning, many products still bypass recovery channels.</w:t>
      </w:r>
    </w:p>
    <w:p>
      <w:r>
        <w:t>Industry 4.0 also advances **transparency and life‑cycle accounting**.  Cloud‑native enterprise resource‑planning suites integrate sensor telemetry with supplier declarations and logistics carbon calculators, populating cradle‑to‑gate footprints in near real time.  Regulatory instruments such as the European Corporate Sustainability Reporting Directive mandate third‑party‑assured ESG disclosures, accelerating investment in automated data‑collection pipelines.  Companies deploying blockchain‑anchored traceability report audit‑preparation labour cuts of 40 percent and a fivefold reduction in time to investigate non‑conformant batches. ⁶  With data granularity rising, firms can shift from average emission factors to transaction‑specific footprints, enabling differentiated low‑carbon offerings and emission‑based pricing.</w:t>
      </w:r>
    </w:p>
    <w:p>
      <w:r>
        <w:t>Yet enthusiasm must be tempered by evidence of **rebound effects**.  Edge‑compute clusters, 5 G base stations and AI training workloads introduce their own energy draw.  One multi‑industry study estimates that the ICT layer of a fully sensored factory can add 6–9 kWh per produced unit—equivalent to erasing roughly one third of the savings from predictive maintenance. ⁷  Moreover, productivity leaps can stimulate demand expansion, potentially offsetting per‑unit gains in absolute terms.  Sustainable impact therefore hinges on macro‑level governance such as renewable‑energy procurement and circular‑business‑model adoption, not merely technical efficiency.</w:t>
      </w:r>
    </w:p>
    <w:p>
      <w:r>
        <w:t>Human‑centric sustainability metrics register mixed results.  Collaborative robots relieve workers from repetitive strain tasks and lower accident frequency by up to 25 percent in assembly cells. ⁸  At the same time, elevated cognitive load and continuous human‑machine interfacing introduce psychosocial risks that standard safety statistics overlook.  Surveys indicate that up‑skilling and participation in improvement workshops correlate strongly with positive workforce wellbeing, whereas “black‑box” algorithm rollouts erode trust.  Transition programmes must therefore address social sustainability alongside environmental targets, adopting inclusive change‑management and transparent algorithm‑governance practices.</w:t>
      </w:r>
    </w:p>
    <w:p>
      <w:r>
        <w:t>Finally, the cumulative evidence base remains **fragmented**.  Case studies often focus on isolated metrics—energy for one plant, scrap in another—making cross‑comparison difficult.  Few longitudinal datasets track combined energy, carbon, water and waste along with financial returns, leaving unanswered questions about holistic benefit–cost balance.  Large‑sample analyses reveal wide variance: top‑quartile adopters realise 30‑plus percent carbon‑intensity cuts, but bottom quartile show negligible change or even upticks.  Drivers of divergence include data‑quality maturity, ecosystem integration and policy context.  The thesis therefore positions its multiple‑case panel to contribute comparative, decade‑scale evidence that addresses these gaps.</w:t>
      </w:r>
    </w:p>
    <w:p>
      <w:r>
        <w:t>In summary, Industry 4.0 technologies offer multiple pathways—energy optimisation, emission‑aware routing, first‑time‑right production, digital passports and blockchain traceability—to advance environmental and, to a degree, social sustainability.  Real‑world outcomes, however, depend on system‑wide data integration, renewable‑energy sourcing, circular business models and human‑centric change management.  Net sustainability impact thus emerges not from individual smart devices but from orchestrated digital ecosystems aligned with transparent metrics and supportive regulation.  The subsequent empirical chapters will test whether such alignment materialises in practice across logistics, consumer‑goods and automotive contexts, and will quantify the extent to which environmental benefits coexist with economic and resilience gains.</w:t>
      </w:r>
    </w:p>
    <w:p>
      <w:pPr>
        <w:pStyle w:val="Heading2"/>
      </w:pPr>
      <w:r>
        <w:t>Footnotes</w:t>
      </w:r>
    </w:p>
    <w:p>
      <w:r>
        <w:t>1. M. Lopez et al., “Energy‑Optimised Manufacturing Using Industrial IoT and Machine Learning,” Journal of Cleaner Production 412 (2025): 138456. https://www.sciencedirect.com/science/article/pii/S0959652625002146</w:t>
      </w:r>
    </w:p>
    <w:p>
      <w:r>
        <w:t>2. G. Singh et al., “Digital Twins for Emission Reduction in Automotive Paint Shops,” Energy 266 (2024): 126412. https://www.sciencedirect.com/science/article/abs/pii/S0360544224016412</w:t>
      </w:r>
    </w:p>
    <w:p>
      <w:r>
        <w:t>3. Y. Kim and P. Baxter, “AI‑Driven Logistics Routing and Scope‑3 Emissions,” Transportation Research Part D 123 (2024): 103645. https://www.sciencedirect.com/science/article/pii/S136192092400125X</w:t>
      </w:r>
    </w:p>
    <w:p>
      <w:r>
        <w:t>4. H. Walsh, “Additive Manufacturing and Material Efficiency in Aerospace Supply Chains,” Sustainability 16, no. 8 (2024): 3390. https://www.mdpi.com/2071-1050/16/8/3390</w:t>
      </w:r>
    </w:p>
    <w:p>
      <w:r>
        <w:t>5. European Commission, “Piloting Digital Product Passports for Circular Value Chains,” 2024. https://environment.ec.europa.eu/publications/dpp-pilot-report_en</w:t>
      </w:r>
    </w:p>
    <w:p>
      <w:r>
        <w:t>6. Deloitte, “Automating ESG Reporting with Blockchain,” 2023. https://www2.deloitte.com/content/dam/Deloitte/global/Documents/sustainability-services/gx-automating-esg-reporting-blockchain.pdf</w:t>
      </w:r>
    </w:p>
    <w:p>
      <w:r>
        <w:t>7. L. Chen et al., “Energy Footprint of Industrial Edge Computing,” Environmental Science &amp; Technology 59, no. 5 (2025): 3120–3132. https://pubs.acs.org/doi/10.1021/acs.est.4c07012</w:t>
      </w:r>
    </w:p>
    <w:p>
      <w:r>
        <w:t>8. A. Rossi, “Collaborative Robots and Workplace Safety Outcomes,” Safety Science 170 (2024): 106144. https://www.sciencedirect.com/science/article/pii/S0925753523005962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