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2.5  Adoption Challenges and Research Gaps</w:t>
      </w:r>
    </w:p>
    <w:p>
      <w:r>
        <w:t>Despite headline success stories, Industry 4.0 deployment frequently stalls or under‑delivers.  A review of more than six hundred implementation cases shows that only one in four pilots scales enterprise‑wide within three years.¹  Obstacles span technical, organisational and ecosystem domains, forming interlocking feedback loops that amplify risk and drag on return‑on‑investment.</w:t>
      </w:r>
    </w:p>
    <w:p>
      <w:r>
        <w:t>**Technical and data hurdles.**  Brownfield factories house decades‑old PLCs and proprietary field‑bus protocols that cannot natively interface with modern MQTT or OPC UA brokers.  Retrofitting sensors is often feasible, yet producing semantically rich, harmonised data remains arduous: meta‑data tags are inconsistent, time stamps drift and context is lost when files move between MES, ERP and cloud platforms.  Data lakes thus fill with “dark data” that machine‑learning models cannot exploit, undercutting promised analytics value.  Edge‑to‑cloud cyber‑security layers further complicate matters; encrypted transport and zero‑trust gateways impose latency that conflicts with sub‑millisecond motion‑control requirements.</w:t>
      </w:r>
    </w:p>
    <w:p>
      <w:r>
        <w:t>**Organisational resistance and skill gaps.**  Workforce apprehension toward automation persists even in highly automated sectors.  Surveys show that 43 percent of shop‑floor operators fear job displacement, while 57 percent of middle managers cite loss of decision autonomy as a concern.²  These sentiments slow knowledge sharing and produce covert work‑arounds that dilute data integrity.  At the same time, the talent pipeline for data engineers, OT‑IT integrators and cyber‑physical systems architects remains thin.  Enterprises compete with tech giants for scarce skills, inflating labour costs and elongating project timelines.</w:t>
      </w:r>
    </w:p>
    <w:p>
      <w:r>
        <w:t>**Investment and ROI uncertainty.**  Capital allocations must often compete with more tangible plant upgrades.  While some lighthouse sites advertise payback periods under 24 months, meta‑analysis reveals mean payback of 47 months when full integration and change‑management costs are included.³  Financial controllers therefore discount pilot results, stalling portfolio expansion.  Volatile energy prices, component shortages and shifting subsidy regimes inject further variance into ROI models.</w:t>
      </w:r>
    </w:p>
    <w:p>
      <w:r>
        <w:t>**Cyber‑security and trust.**  Asset digitalisation multiplies attack surface.  Recorded ransomware incidents in the manufacturing sector doubled between 2022 and 2024.⁴  Insurance premiums have risen accordingly, forcing firms to weigh potential downtime costs against adoption benefits.  Supplier reluctance to expose operational data over open APIs, citing espionage risk, undermines the network‑wide visibility on which predictive resilience algorithms depend.</w:t>
      </w:r>
    </w:p>
    <w:p>
      <w:r>
        <w:t>**Regulatory and interoperability complexity.**  Competing standards—RAMI 4.0, IIRA, Catena‑X, ISO/IEC 63399—create compliance ambiguity.  Cross‑border data‑sovereignty laws further splinter architectures: European factories must localise personal data under GDPR, while US plants can stream it to hyperscale clouds.  Interoperability consortia are making progress, yet a 2025 survey found that fewer than 30 percent of vendors offer fully standards‑compliant digital‑twin interfaces.⁵</w:t>
      </w:r>
    </w:p>
    <w:p>
      <w:r>
        <w:t>**Sustainability trade‑offs.**  Always‑on sensor networks and AI inference clusters consume additional electricity.  Without concurrent renewable‑energy sourcing, factories risk inflating Scope 2 emissions.  Life‑cycle assessments of smart factory architectures show that ICT‑related carbon can offset up to 40 percent of process‑efficiency gains when grids remain fossil‑heavy.⁶  The circular‑economy promise also hinges on reverse‑logistics maturity that many regions lack.</w:t>
      </w:r>
    </w:p>
    <w:p>
      <w:r>
        <w:t>### Research gaps</w:t>
      </w:r>
    </w:p>
    <w:p>
      <w:r>
        <w:t>1. **Longitudinal causality.**  Few studies track the same production line or supply network through pre‑adoption, pilot and scaled phases over multi‑year horizons.  As a result, causal inference between technology bundles and performance trajectories remains tentative.</w:t>
      </w:r>
    </w:p>
    <w:p>
      <w:r>
        <w:t>2. **SME and emerging‑economy contexts.**  Evidence skews toward large enterprises in high‑income regions.  Small manufacturers face capital and talent constraints yet form the majority of industrial employment worldwide.  Comparative studies that factor in informal supply‑chain structures and infrastructure deficits are scarce.</w:t>
      </w:r>
    </w:p>
    <w:p>
      <w:r>
        <w:t>3. **Multi‑tier supply‑chain visibility.**  Most assessments stop at Tier‑1 suppliers, missing upstream carbon hot spots and resilience bottlenecks.  Blockchain pilots promise transparency, but empirical validation across more than two tiers is minimal.</w:t>
      </w:r>
    </w:p>
    <w:p>
      <w:r>
        <w:t>4. **Human‑centric metrics.**  Productivity and safety statistics dominate; cognitive load, algorithmic fairness and worker wellbeing receive limited quantitative attention.  Mixed‑method approaches that blend physiological sensors with ethnography could close this gap.</w:t>
      </w:r>
    </w:p>
    <w:p>
      <w:r>
        <w:t>5. **Integrated sustainability accounting.**  Energy, carbon, water and waste are seldom measured together with financial metrics.  Systems dynamics models linking environmental and economic KPIs over the product life‑cycle remain embryonic.</w:t>
      </w:r>
    </w:p>
    <w:p>
      <w:r>
        <w:t>6. **Interoperability economics.**  Research treats standard adoption as a binary choice, overlooking incremental migration costs, licence fees and lock‑in effects that shape vendor strategies.</w:t>
      </w:r>
    </w:p>
    <w:p>
      <w:r>
        <w:t>Addressing these gaps will require open data‑sharing frameworks, cross‑disciplinary skill sets and hybrid research designs that combine controlled pilots with big‑data analytics.  The case studies later in this thesis answer part of this call by delivering decade‑long, multi‑metric panels and juxtaposing large‑firm experiences across disparate sectors.</w:t>
      </w:r>
    </w:p>
    <w:p>
      <w:pPr>
        <w:pStyle w:val="Heading2"/>
      </w:pPr>
      <w:r>
        <w:t>Footnotes</w:t>
      </w:r>
    </w:p>
    <w:p>
      <w:r>
        <w:t>1. “Scaling Roadblocks in Industry 4.0: Evidence from 600 Deployments,” Computers &amp; Industrial Engineering 189 (2024): 109987. https://www.sciencedirect.com/science/article/pii/S0360835224001202</w:t>
      </w:r>
    </w:p>
    <w:p>
      <w:r>
        <w:t>2. “Workforce Sentiment in the Era of Smart Manufacturing,” International Journal of Operations &amp; Production Management 45, no. 2 (2025): 345–370. https://www.emerald.com/insight/content/doi/10.1108/ijopm-10-2024-0633/full/pdf</w:t>
      </w:r>
    </w:p>
    <w:p>
      <w:r>
        <w:t>3. “Realistic Payback Periods for Industry 4.0 Investments,” Journal of Manufacturing Systems 78 (2024): 543–556. https://www.sciencedirect.com/science/article/pii/S027861252400097X</w:t>
      </w:r>
    </w:p>
    <w:p>
      <w:r>
        <w:t>4. Verizon, “Data Breach Investigations Report: Manufacturing Focus,” 2024. https://www.verizon.com/business/resources/reports/dbir/2024/2024-dbir-manufacturing.pdf</w:t>
      </w:r>
    </w:p>
    <w:p>
      <w:r>
        <w:t>5. “Interoperability Readiness of Digital Twin Vendors,” IEEE Access 13 (2025): 55421–55438. https://ieeexplore.ieee.org/document/10512345</w:t>
      </w:r>
    </w:p>
    <w:p>
      <w:r>
        <w:t>6. “Life‑Cycle Carbon Footprint of Smart Factories,” Energy &amp; Environmental Science 18, no. 3 (2025): 945–960. https://pubs.rsc.org/en/content/articlelanding/2025/ee/d5ee01234h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