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aac9da663e1740740c6423cdb9a9f5af46431b6"/>
    <w:p>
      <w:pPr>
        <w:pStyle w:val="Heading1"/>
      </w:pPr>
      <w:r>
        <w:t xml:space="preserve">Source &amp; Document Download Checklist for 15 000‑word Thesis</w:t>
      </w:r>
    </w:p>
    <w:p>
      <w:pPr>
        <w:pStyle w:val="BlockText"/>
      </w:pPr>
      <w:r>
        <w:rPr>
          <w:b/>
          <w:bCs/>
        </w:rPr>
        <w:t xml:space="preserve">Project:</w:t>
      </w:r>
      <w:r>
        <w:t xml:space="preserve"> </w:t>
      </w:r>
      <w:r>
        <w:t xml:space="preserve">“Impact of Industry 4.0 on Supply Chain, Value Chain, and Sustainability — A Three‑Company Comparative Case Study”</w:t>
      </w:r>
    </w:p>
    <w:p>
      <w:pPr>
        <w:pStyle w:val="BlockText"/>
      </w:pPr>
      <w:r>
        <w:rPr>
          <w:b/>
          <w:bCs/>
        </w:rPr>
        <w:t xml:space="preserve">Purpose of this sheet:</w:t>
      </w:r>
      <w:r>
        <w:t xml:space="preserve"> </w:t>
      </w:r>
      <w:r>
        <w:t xml:space="preserve">Help you track every</w:t>
      </w:r>
      <w:r>
        <w:t xml:space="preserve"> </w:t>
      </w:r>
      <w:r>
        <w:rPr>
          <w:i/>
          <w:iCs/>
        </w:rPr>
        <w:t xml:space="preserve">free</w:t>
      </w:r>
      <w:r>
        <w:t xml:space="preserve"> </w:t>
      </w:r>
      <w:r>
        <w:t xml:space="preserve">dataset, report, paper, or standard you need to download (or web‑scrape) for each chapter and sub‑chapter.</w:t>
      </w:r>
    </w:p>
    <w:p>
      <w:pPr>
        <w:pStyle w:val="BlockText"/>
      </w:pPr>
      <w:r>
        <w:rPr>
          <w:b/>
          <w:bCs/>
        </w:rPr>
        <w:t xml:space="preserve">Legend</w:t>
      </w:r>
      <w:r>
        <w:br/>
      </w:r>
      <w:r>
        <w:rPr>
          <w:b/>
          <w:bCs/>
        </w:rPr>
        <w:t xml:space="preserve">☐</w:t>
      </w:r>
      <w:r>
        <w:t xml:space="preserve"> = to‑do   </w:t>
      </w:r>
      <w:r>
        <w:rPr>
          <w:b/>
          <w:bCs/>
        </w:rPr>
        <w:t xml:space="preserve">✓</w:t>
      </w:r>
      <w:r>
        <w:t xml:space="preserve"> = downloaded   </w:t>
      </w:r>
      <w:r>
        <w:rPr>
          <w:b/>
          <w:bCs/>
        </w:rPr>
        <w:t xml:space="preserve">↺</w:t>
      </w:r>
      <w:r>
        <w:t xml:space="preserve"> = needs update (e.g., 2025 edition)</w:t>
      </w:r>
      <w:r>
        <w:br/>
      </w:r>
      <w:r>
        <w:rPr>
          <w:b/>
          <w:bCs/>
        </w:rPr>
        <w:t xml:space="preserve">Type</w:t>
      </w:r>
      <w:r>
        <w:t xml:space="preserve"> </w:t>
      </w:r>
      <w:r>
        <w:t xml:space="preserve">= Dataset | Academic Paper | Industry Report | Company Report | Regulatory/Standard | Webpage/API</w:t>
      </w:r>
      <w:r>
        <w:br/>
      </w:r>
      <w:r>
        <w:rPr>
          <w:b/>
          <w:bCs/>
        </w:rPr>
        <w:t xml:space="preserve">Folder</w:t>
      </w:r>
      <w:r>
        <w:t xml:space="preserve"> </w:t>
      </w:r>
      <w:r>
        <w:t xml:space="preserve">= Suggested local storage path (edit as needed)</w:t>
      </w:r>
    </w:p>
    <w:p>
      <w:r>
        <w:pict>
          <v:rect style="width:0;height:1.5pt" o:hralign="center" o:hrstd="t" o:hr="t"/>
        </w:pict>
      </w:r>
    </w:p>
    <w:bookmarkStart w:id="20" w:name="chapter-1-introduction"/>
    <w:p>
      <w:pPr>
        <w:pStyle w:val="Heading2"/>
      </w:pPr>
      <w:r>
        <w:t xml:space="preserve">Chapter 1 — Introduction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4"/>
        <w:gridCol w:w="3861"/>
        <w:gridCol w:w="1047"/>
        <w:gridCol w:w="1243"/>
        <w:gridCol w:w="3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§</w:t>
            </w:r>
          </w:p>
        </w:tc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Folder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1.1 Background</w:t>
            </w:r>
          </w:p>
        </w:tc>
        <w:tc>
          <w:tcPr/>
          <w:p>
            <w:pPr>
              <w:pStyle w:val="Compact"/>
            </w:pPr>
            <w:r>
              <w:t xml:space="preserve">World Economic Forum</w:t>
            </w:r>
            <w:r>
              <w:t xml:space="preserve"> </w:t>
            </w:r>
            <w:r>
              <w:rPr>
                <w:b/>
                <w:bCs/>
              </w:rPr>
              <w:t xml:space="preserve">Global Supply‑Chain Barometer 2024</w:t>
            </w:r>
          </w:p>
        </w:tc>
        <w:tc>
          <w:tcPr/>
          <w:p>
            <w:pPr>
              <w:pStyle w:val="Compact"/>
            </w:pPr>
            <w:r>
              <w:t xml:space="preserve">Industry Report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/docs/industry/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DHL</w:t>
            </w:r>
            <w:r>
              <w:t xml:space="preserve"> </w:t>
            </w:r>
            <w:r>
              <w:rPr>
                <w:b/>
                <w:bCs/>
              </w:rPr>
              <w:t xml:space="preserve">Logistics Trend Radar 2024</w:t>
            </w:r>
          </w:p>
        </w:tc>
        <w:tc>
          <w:tcPr/>
          <w:p>
            <w:pPr>
              <w:pStyle w:val="Compact"/>
            </w:pPr>
            <w:r>
              <w:t xml:space="preserve">Industry Report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/docs/industry/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UNCTAD</w:t>
            </w:r>
            <w:r>
              <w:t xml:space="preserve"> </w:t>
            </w:r>
            <w:r>
              <w:rPr>
                <w:b/>
                <w:bCs/>
              </w:rPr>
              <w:t xml:space="preserve">Global Trade Outlook 2025</w:t>
            </w:r>
            <w:r>
              <w:t xml:space="preserve"> </w:t>
            </w:r>
            <w:r>
              <w:t xml:space="preserve">(selected chapters)</w:t>
            </w:r>
          </w:p>
        </w:tc>
        <w:tc>
          <w:tcPr/>
          <w:p>
            <w:pPr>
              <w:pStyle w:val="Compact"/>
            </w:pPr>
            <w:r>
              <w:t xml:space="preserve">Industry Report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/docs/industry/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1.2 Problem Statement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McKinsey Quarterly</w:t>
            </w:r>
            <w:r>
              <w:t xml:space="preserve"> </w:t>
            </w:r>
            <w:r>
              <w:t xml:space="preserve">article on ROI of I4.0 (2023)</w:t>
            </w:r>
          </w:p>
        </w:tc>
        <w:tc>
          <w:tcPr/>
          <w:p>
            <w:pPr>
              <w:pStyle w:val="Compact"/>
            </w:pPr>
            <w:r>
              <w:t xml:space="preserve">Industry Article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/docs/industry/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1.3 Research gap</w:t>
            </w:r>
          </w:p>
        </w:tc>
        <w:tc>
          <w:tcPr/>
          <w:p>
            <w:pPr>
              <w:pStyle w:val="Compact"/>
            </w:pPr>
            <w:r>
              <w:t xml:space="preserve">Schrage &amp; Ross (2024)</w:t>
            </w:r>
            <w:r>
              <w:t xml:space="preserve"> </w:t>
            </w:r>
            <w:r>
              <w:t xml:space="preserve">“Digital Hype vs Value Realisation”</w:t>
            </w:r>
          </w:p>
        </w:tc>
        <w:tc>
          <w:tcPr/>
          <w:p>
            <w:pPr>
              <w:pStyle w:val="Compact"/>
            </w:pPr>
            <w:r>
              <w:t xml:space="preserve">Academic Paper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/docs/literature/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1.4 Scope &amp; delimit.</w:t>
            </w:r>
          </w:p>
        </w:tc>
        <w:tc>
          <w:tcPr/>
          <w:p>
            <w:pPr>
              <w:pStyle w:val="Compact"/>
            </w:pPr>
            <w:r>
              <w:t xml:space="preserve">Yin (2023)</w:t>
            </w:r>
            <w:r>
              <w:t xml:space="preserve"> </w:t>
            </w:r>
            <w:r>
              <w:t xml:space="preserve">“Case Study Research”</w:t>
            </w:r>
            <w:r>
              <w:t xml:space="preserve"> </w:t>
            </w:r>
            <w:r>
              <w:t xml:space="preserve">Chap 1</w:t>
            </w:r>
          </w:p>
        </w:tc>
        <w:tc>
          <w:tcPr/>
          <w:p>
            <w:pPr>
              <w:pStyle w:val="Compact"/>
            </w:pPr>
            <w:r>
              <w:t xml:space="preserve">Academic Book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/docs/method/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</w:tbl>
    <w:bookmarkEnd w:id="20"/>
    <w:bookmarkStart w:id="21" w:name="chapter-2-literature-review"/>
    <w:p>
      <w:pPr>
        <w:pStyle w:val="Heading2"/>
      </w:pPr>
      <w:r>
        <w:t xml:space="preserve">Chapter 2 — Literature Review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18"/>
        <w:gridCol w:w="3588"/>
        <w:gridCol w:w="866"/>
        <w:gridCol w:w="1175"/>
        <w:gridCol w:w="3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§</w:t>
            </w:r>
          </w:p>
        </w:tc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Folder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2.1 Defining I4.0</w:t>
            </w:r>
          </w:p>
        </w:tc>
        <w:tc>
          <w:tcPr/>
          <w:p>
            <w:pPr>
              <w:pStyle w:val="Compact"/>
            </w:pPr>
            <w:r>
              <w:t xml:space="preserve">Kagermann et al. (2022) Industry 4.0 white‑paper (updated)</w:t>
            </w:r>
          </w:p>
        </w:tc>
        <w:tc>
          <w:tcPr/>
          <w:p>
            <w:pPr>
              <w:pStyle w:val="Compact"/>
            </w:pPr>
            <w:r>
              <w:t xml:space="preserve">Academic/Std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/docs/literature/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ISO/TR 63306‑1 (Basics of digital twin)</w:t>
            </w:r>
          </w:p>
        </w:tc>
        <w:tc>
          <w:tcPr/>
          <w:p>
            <w:pPr>
              <w:pStyle w:val="Compact"/>
            </w:pPr>
            <w:r>
              <w:t xml:space="preserve">Standard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/docs/standards/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2.2 I4.0 &amp; SC performance</w:t>
            </w:r>
          </w:p>
        </w:tc>
        <w:tc>
          <w:tcPr/>
          <w:p>
            <w:pPr>
              <w:pStyle w:val="Compact"/>
            </w:pPr>
            <w:r>
              <w:t xml:space="preserve">Tortorella &amp; Cauchick (2023) meta‑analysis</w:t>
            </w:r>
          </w:p>
        </w:tc>
        <w:tc>
          <w:tcPr/>
          <w:p>
            <w:pPr>
              <w:pStyle w:val="Compact"/>
            </w:pPr>
            <w:r>
              <w:t xml:space="preserve">Academic Paper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/docs/literature/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World Bank</w:t>
            </w:r>
            <w:r>
              <w:t xml:space="preserve"> </w:t>
            </w:r>
            <w:r>
              <w:rPr>
                <w:b/>
                <w:bCs/>
              </w:rPr>
              <w:t xml:space="preserve">Digital Adoption Index</w:t>
            </w:r>
            <w:r>
              <w:t xml:space="preserve"> </w:t>
            </w:r>
            <w:r>
              <w:t xml:space="preserve">methodology PDF</w:t>
            </w:r>
          </w:p>
        </w:tc>
        <w:tc>
          <w:tcPr/>
          <w:p>
            <w:pPr>
              <w:pStyle w:val="Compact"/>
            </w:pPr>
            <w:r>
              <w:t xml:space="preserve">Dataset Doc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/data/docs/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2.3 Value‑chain reconfiguration</w:t>
            </w:r>
          </w:p>
        </w:tc>
        <w:tc>
          <w:tcPr/>
          <w:p>
            <w:pPr>
              <w:pStyle w:val="Compact"/>
            </w:pPr>
            <w:r>
              <w:t xml:space="preserve">Porter &amp; Heppelmann (2015) + update papers (2019–24)</w:t>
            </w:r>
          </w:p>
        </w:tc>
        <w:tc>
          <w:tcPr/>
          <w:p>
            <w:pPr>
              <w:pStyle w:val="Compact"/>
            </w:pPr>
            <w:r>
              <w:t xml:space="preserve">Academic Paper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/docs/literature/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2.4 Sustainability impact</w:t>
            </w:r>
          </w:p>
        </w:tc>
        <w:tc>
          <w:tcPr/>
          <w:p>
            <w:pPr>
              <w:pStyle w:val="Compact"/>
            </w:pPr>
            <w:r>
              <w:t xml:space="preserve">Our World in Data</w:t>
            </w:r>
            <w:r>
              <w:t xml:space="preserve"> </w:t>
            </w:r>
            <w:r>
              <w:rPr>
                <w:b/>
                <w:bCs/>
              </w:rPr>
              <w:t xml:space="preserve">CO₂ &amp; Tech</w:t>
            </w:r>
            <w:r>
              <w:t xml:space="preserve"> </w:t>
            </w:r>
            <w:r>
              <w:t xml:space="preserve">dataset README</w:t>
            </w:r>
          </w:p>
        </w:tc>
        <w:tc>
          <w:tcPr/>
          <w:p>
            <w:pPr>
              <w:pStyle w:val="Compact"/>
            </w:pPr>
            <w:r>
              <w:t xml:space="preserve">Dataset Doc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/data/docs/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2.5 Adoption challenges</w:t>
            </w:r>
          </w:p>
        </w:tc>
        <w:tc>
          <w:tcPr/>
          <w:p>
            <w:pPr>
              <w:pStyle w:val="Compact"/>
            </w:pPr>
            <w:r>
              <w:t xml:space="preserve">TOE framework seminal paper (Tornatzky &amp; Fleischer 1990)</w:t>
            </w:r>
          </w:p>
        </w:tc>
        <w:tc>
          <w:tcPr/>
          <w:p>
            <w:pPr>
              <w:pStyle w:val="Compact"/>
            </w:pPr>
            <w:r>
              <w:t xml:space="preserve">Academic Book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/docs/literature/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Dynamic‑Capability review (Teece 2024)</w:t>
            </w:r>
          </w:p>
        </w:tc>
        <w:tc>
          <w:tcPr/>
          <w:p>
            <w:pPr>
              <w:pStyle w:val="Compact"/>
            </w:pPr>
            <w:r>
              <w:t xml:space="preserve">Academic Paper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/docs/literature/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</w:tbl>
    <w:bookmarkEnd w:id="21"/>
    <w:bookmarkStart w:id="22" w:name="chapter-3-methodology"/>
    <w:p>
      <w:pPr>
        <w:pStyle w:val="Heading2"/>
      </w:pPr>
      <w:r>
        <w:t xml:space="preserve">Chapter 3 — Methodology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5"/>
        <w:gridCol w:w="4161"/>
        <w:gridCol w:w="872"/>
        <w:gridCol w:w="1208"/>
        <w:gridCol w:w="4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§</w:t>
            </w:r>
          </w:p>
        </w:tc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Folder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3.1 Research design</w:t>
            </w:r>
          </w:p>
        </w:tc>
        <w:tc>
          <w:tcPr/>
          <w:p>
            <w:pPr>
              <w:pStyle w:val="Compact"/>
            </w:pPr>
            <w:r>
              <w:t xml:space="preserve">Yin (2023)</w:t>
            </w:r>
            <w:r>
              <w:t xml:space="preserve"> </w:t>
            </w:r>
            <w:r>
              <w:t xml:space="preserve">“Case Study Research”</w:t>
            </w:r>
            <w:r>
              <w:t xml:space="preserve"> </w:t>
            </w:r>
            <w:r>
              <w:t xml:space="preserve">Chap 2‑4</w:t>
            </w:r>
          </w:p>
        </w:tc>
        <w:tc>
          <w:tcPr/>
          <w:p>
            <w:pPr>
              <w:pStyle w:val="Compact"/>
            </w:pPr>
            <w:r>
              <w:t xml:space="preserve">Academic Book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/docs/method/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3.2 Case selection</w:t>
            </w:r>
          </w:p>
        </w:tc>
        <w:tc>
          <w:tcPr/>
          <w:p>
            <w:pPr>
              <w:pStyle w:val="Compact"/>
            </w:pPr>
            <w:r>
              <w:t xml:space="preserve">DHL, Unilever, BMW — company profiles (Wikipedia offline copy)</w:t>
            </w:r>
          </w:p>
        </w:tc>
        <w:tc>
          <w:tcPr/>
          <w:p>
            <w:pPr>
              <w:pStyle w:val="Compact"/>
            </w:pPr>
            <w:r>
              <w:t xml:space="preserve">Webpage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/docs/company/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3.3 Data sources</w:t>
            </w:r>
          </w:p>
        </w:tc>
        <w:tc>
          <w:tcPr/>
          <w:p>
            <w:pPr>
              <w:pStyle w:val="Compact"/>
            </w:pPr>
            <w:r>
              <w:t xml:space="preserve">IFR</w:t>
            </w:r>
            <w:r>
              <w:t xml:space="preserve"> </w:t>
            </w:r>
            <w:r>
              <w:rPr>
                <w:b/>
                <w:bCs/>
              </w:rPr>
              <w:t xml:space="preserve">World Robotics 2024 Highlights (XLS)</w:t>
            </w:r>
          </w:p>
        </w:tc>
        <w:tc>
          <w:tcPr/>
          <w:p>
            <w:pPr>
              <w:pStyle w:val="Compact"/>
            </w:pPr>
            <w:r>
              <w:t xml:space="preserve">Dataset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/data/ifr/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Google Patents Public Dataset schema v2025</w:t>
            </w:r>
          </w:p>
        </w:tc>
        <w:tc>
          <w:tcPr/>
          <w:p>
            <w:pPr>
              <w:pStyle w:val="Compact"/>
            </w:pPr>
            <w:r>
              <w:t xml:space="preserve">Dataset Doc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/data/docs/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CDP</w:t>
            </w:r>
            <w:r>
              <w:t xml:space="preserve"> </w:t>
            </w:r>
            <w:r>
              <w:rPr>
                <w:b/>
                <w:bCs/>
              </w:rPr>
              <w:t xml:space="preserve">Open Data Portal user guide</w:t>
            </w:r>
          </w:p>
        </w:tc>
        <w:tc>
          <w:tcPr/>
          <w:p>
            <w:pPr>
              <w:pStyle w:val="Compact"/>
            </w:pPr>
            <w:r>
              <w:t xml:space="preserve">Dataset Doc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/data/docs/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3.4 Variable ops.</w:t>
            </w:r>
          </w:p>
        </w:tc>
        <w:tc>
          <w:tcPr/>
          <w:p>
            <w:pPr>
              <w:pStyle w:val="Compact"/>
            </w:pPr>
            <w:r>
              <w:t xml:space="preserve">Camelot‑py &amp; Tabula user manuals (PDF)</w:t>
            </w:r>
          </w:p>
        </w:tc>
        <w:tc>
          <w:tcPr/>
          <w:p>
            <w:pPr>
              <w:pStyle w:val="Compact"/>
            </w:pPr>
            <w:r>
              <w:t xml:space="preserve">Tool Doc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/docs/tools/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3.5 Analysis procs.</w:t>
            </w:r>
          </w:p>
        </w:tc>
        <w:tc>
          <w:tcPr/>
          <w:p>
            <w:pPr>
              <w:pStyle w:val="Compact"/>
            </w:pPr>
            <w:r>
              <w:t xml:space="preserve">Statsmodels (0.15) docs PDF</w:t>
            </w:r>
          </w:p>
        </w:tc>
        <w:tc>
          <w:tcPr/>
          <w:p>
            <w:pPr>
              <w:pStyle w:val="Compact"/>
            </w:pPr>
            <w:r>
              <w:t xml:space="preserve">Tool Doc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/docs/tools/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3.6 Ethics &amp; GDPR</w:t>
            </w:r>
          </w:p>
        </w:tc>
        <w:tc>
          <w:tcPr/>
          <w:p>
            <w:pPr>
              <w:pStyle w:val="Compact"/>
            </w:pPr>
            <w:r>
              <w:t xml:space="preserve">EU GDPR full text (EUR‑Lex)</w:t>
            </w:r>
          </w:p>
        </w:tc>
        <w:tc>
          <w:tcPr/>
          <w:p>
            <w:pPr>
              <w:pStyle w:val="Compact"/>
            </w:pPr>
            <w:r>
              <w:t xml:space="preserve">Regulatory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/docs/standards/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</w:tbl>
    <w:bookmarkEnd w:id="22"/>
    <w:bookmarkStart w:id="23" w:name="chapter-4-industry-4.0-technology-primer"/>
    <w:p>
      <w:pPr>
        <w:pStyle w:val="Heading2"/>
      </w:pPr>
      <w:r>
        <w:t xml:space="preserve">Chapter 4 — Industry 4.0 Technology Primer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46"/>
        <w:gridCol w:w="3503"/>
        <w:gridCol w:w="1142"/>
        <w:gridCol w:w="1370"/>
        <w:gridCol w:w="4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§</w:t>
            </w:r>
          </w:p>
        </w:tc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Folder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4.1 Tech clusters</w:t>
            </w:r>
          </w:p>
        </w:tc>
        <w:tc>
          <w:tcPr/>
          <w:p>
            <w:pPr>
              <w:pStyle w:val="Compact"/>
            </w:pPr>
            <w:r>
              <w:t xml:space="preserve">Acatech</w:t>
            </w:r>
            <w:r>
              <w:t xml:space="preserve"> </w:t>
            </w:r>
            <w:r>
              <w:rPr>
                <w:b/>
                <w:bCs/>
              </w:rPr>
              <w:t xml:space="preserve">RAMI 4.0 Reference Model</w:t>
            </w:r>
          </w:p>
        </w:tc>
        <w:tc>
          <w:tcPr/>
          <w:p>
            <w:pPr>
              <w:pStyle w:val="Compact"/>
            </w:pPr>
            <w:r>
              <w:t xml:space="preserve">Standard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/docs/standards/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OPC UA Foundation</w:t>
            </w:r>
            <w:r>
              <w:t xml:space="preserve"> </w:t>
            </w:r>
            <w:r>
              <w:t xml:space="preserve">“Intro Guide v2024”</w:t>
            </w:r>
          </w:p>
        </w:tc>
        <w:tc>
          <w:tcPr/>
          <w:p>
            <w:pPr>
              <w:pStyle w:val="Compact"/>
            </w:pPr>
            <w:r>
              <w:t xml:space="preserve">Standard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/docs/standards/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4.2 Maturity models</w:t>
            </w:r>
          </w:p>
        </w:tc>
        <w:tc>
          <w:tcPr/>
          <w:p>
            <w:pPr>
              <w:pStyle w:val="Compact"/>
            </w:pPr>
            <w:r>
              <w:t xml:space="preserve">Acatech Industrie 4.0 Maturity Index (2nd ed.)</w:t>
            </w:r>
          </w:p>
        </w:tc>
        <w:tc>
          <w:tcPr/>
          <w:p>
            <w:pPr>
              <w:pStyle w:val="Compact"/>
            </w:pPr>
            <w:r>
              <w:t xml:space="preserve">Industry Report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/docs/industry/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4.3 Reg/standards</w:t>
            </w:r>
          </w:p>
        </w:tc>
        <w:tc>
          <w:tcPr/>
          <w:p>
            <w:pPr>
              <w:pStyle w:val="Compact"/>
            </w:pPr>
            <w:r>
              <w:t xml:space="preserve">IEC‑ISO 30141 (IoT Reference Architecture)</w:t>
            </w:r>
          </w:p>
        </w:tc>
        <w:tc>
          <w:tcPr/>
          <w:p>
            <w:pPr>
              <w:pStyle w:val="Compact"/>
            </w:pPr>
            <w:r>
              <w:t xml:space="preserve">Standard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/docs/standards/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EU</w:t>
            </w:r>
            <w:r>
              <w:t xml:space="preserve"> </w:t>
            </w:r>
            <w:r>
              <w:rPr>
                <w:b/>
                <w:bCs/>
              </w:rPr>
              <w:t xml:space="preserve">Industry 5.0</w:t>
            </w:r>
            <w:r>
              <w:t xml:space="preserve"> </w:t>
            </w:r>
            <w:r>
              <w:t xml:space="preserve">communication (2021)</w:t>
            </w:r>
          </w:p>
        </w:tc>
        <w:tc>
          <w:tcPr/>
          <w:p>
            <w:pPr>
              <w:pStyle w:val="Compact"/>
            </w:pPr>
            <w:r>
              <w:t xml:space="preserve">Policy Doc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/docs/policy/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</w:tbl>
    <w:bookmarkEnd w:id="23"/>
    <w:bookmarkStart w:id="24" w:name="chapter-5-case-study-dhl-group"/>
    <w:p>
      <w:pPr>
        <w:pStyle w:val="Heading2"/>
      </w:pPr>
      <w:r>
        <w:t xml:space="preserve">Chapter 5 — Case Study: DHL Group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7"/>
        <w:gridCol w:w="3611"/>
        <w:gridCol w:w="950"/>
        <w:gridCol w:w="1520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§</w:t>
            </w:r>
          </w:p>
        </w:tc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Folder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5.1 Company overview</w:t>
            </w:r>
          </w:p>
        </w:tc>
        <w:tc>
          <w:tcPr/>
          <w:p>
            <w:pPr>
              <w:pStyle w:val="Compact"/>
            </w:pPr>
            <w:r>
              <w:t xml:space="preserve">DHL Group</w:t>
            </w:r>
            <w:r>
              <w:t xml:space="preserve"> </w:t>
            </w:r>
            <w:r>
              <w:rPr>
                <w:b/>
                <w:bCs/>
              </w:rPr>
              <w:t xml:space="preserve">Annual Reports 2015‑2024</w:t>
            </w:r>
            <w:r>
              <w:t xml:space="preserve"> </w:t>
            </w:r>
            <w:r>
              <w:t xml:space="preserve">(PDF/ZIP)</w:t>
            </w:r>
          </w:p>
        </w:tc>
        <w:tc>
          <w:tcPr/>
          <w:p>
            <w:pPr>
              <w:pStyle w:val="Compact"/>
            </w:pPr>
            <w:r>
              <w:t xml:space="preserve">Company Report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/data/dhl/reports/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DHL</w:t>
            </w:r>
            <w:r>
              <w:t xml:space="preserve"> </w:t>
            </w:r>
            <w:r>
              <w:rPr>
                <w:b/>
                <w:bCs/>
              </w:rPr>
              <w:t xml:space="preserve">ESG Statbook 2024</w:t>
            </w:r>
            <w:r>
              <w:t xml:space="preserve"> </w:t>
            </w:r>
            <w:r>
              <w:t xml:space="preserve">(XLS)</w:t>
            </w:r>
          </w:p>
        </w:tc>
        <w:tc>
          <w:tcPr/>
          <w:p>
            <w:pPr>
              <w:pStyle w:val="Compact"/>
            </w:pPr>
            <w:r>
              <w:t xml:space="preserve">Dataset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/data/dhl/esg/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5.2 Adoption chronology</w:t>
            </w:r>
          </w:p>
        </w:tc>
        <w:tc>
          <w:tcPr/>
          <w:p>
            <w:pPr>
              <w:pStyle w:val="Compact"/>
            </w:pPr>
            <w:r>
              <w:t xml:space="preserve">DHL press releases (Warehouse Robotics 2018‑24)</w:t>
            </w:r>
          </w:p>
        </w:tc>
        <w:tc>
          <w:tcPr/>
          <w:p>
            <w:pPr>
              <w:pStyle w:val="Compact"/>
            </w:pPr>
            <w:r>
              <w:t xml:space="preserve">Webpage Archive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/data/dhl/press/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5.3 Quant metrics</w:t>
            </w:r>
          </w:p>
        </w:tc>
        <w:tc>
          <w:tcPr/>
          <w:p>
            <w:pPr>
              <w:pStyle w:val="Compact"/>
            </w:pPr>
            <w:r>
              <w:t xml:space="preserve">CDP Climate 2024 public response (CSV)</w:t>
            </w:r>
          </w:p>
        </w:tc>
        <w:tc>
          <w:tcPr/>
          <w:p>
            <w:pPr>
              <w:pStyle w:val="Compact"/>
            </w:pPr>
            <w:r>
              <w:t xml:space="preserve">Dataset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/data/dhl/cdp/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5.4 Challenges</w:t>
            </w:r>
          </w:p>
        </w:tc>
        <w:tc>
          <w:tcPr/>
          <w:p>
            <w:pPr>
              <w:pStyle w:val="Compact"/>
            </w:pPr>
            <w:r>
              <w:t xml:space="preserve">Analyst call transcripts 2019‑24 (SeekingAlpha free tier)</w:t>
            </w:r>
          </w:p>
        </w:tc>
        <w:tc>
          <w:tcPr/>
          <w:p>
            <w:pPr>
              <w:pStyle w:val="Compact"/>
            </w:pPr>
            <w:r>
              <w:t xml:space="preserve">Webpage/Text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/data/dhl/transcripts/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</w:tbl>
    <w:bookmarkEnd w:id="24"/>
    <w:bookmarkStart w:id="25" w:name="chapter-6-case-study-unilever"/>
    <w:p>
      <w:pPr>
        <w:pStyle w:val="Heading2"/>
      </w:pPr>
      <w:r>
        <w:t xml:space="preserve">Chapter 6 — Case Study: Unilever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56"/>
        <w:gridCol w:w="3316"/>
        <w:gridCol w:w="947"/>
        <w:gridCol w:w="1692"/>
        <w:gridCol w:w="4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§</w:t>
            </w:r>
          </w:p>
        </w:tc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Folder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6.1 Overview</w:t>
            </w:r>
          </w:p>
        </w:tc>
        <w:tc>
          <w:tcPr/>
          <w:p>
            <w:pPr>
              <w:pStyle w:val="Compact"/>
            </w:pPr>
            <w:r>
              <w:t xml:space="preserve">Unilever</w:t>
            </w:r>
            <w:r>
              <w:t xml:space="preserve"> </w:t>
            </w:r>
            <w:r>
              <w:rPr>
                <w:b/>
                <w:bCs/>
              </w:rPr>
              <w:t xml:space="preserve">Annual &amp; Strategic Reports 2015‑2024</w:t>
            </w:r>
          </w:p>
        </w:tc>
        <w:tc>
          <w:tcPr/>
          <w:p>
            <w:pPr>
              <w:pStyle w:val="Compact"/>
            </w:pPr>
            <w:r>
              <w:t xml:space="preserve">Company Report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/data/unilever/reports/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6.2 Adoption chronology</w:t>
            </w:r>
          </w:p>
        </w:tc>
        <w:tc>
          <w:tcPr/>
          <w:p>
            <w:pPr>
              <w:pStyle w:val="Compact"/>
            </w:pPr>
            <w:r>
              <w:t xml:space="preserve">Unilever press kit</w:t>
            </w:r>
            <w:r>
              <w:t xml:space="preserve"> </w:t>
            </w:r>
            <w:r>
              <w:t xml:space="preserve">“Digital Factory”</w:t>
            </w:r>
            <w:r>
              <w:t xml:space="preserve"> </w:t>
            </w:r>
            <w:r>
              <w:t xml:space="preserve">(2020)</w:t>
            </w:r>
          </w:p>
        </w:tc>
        <w:tc>
          <w:tcPr/>
          <w:p>
            <w:pPr>
              <w:pStyle w:val="Compact"/>
            </w:pPr>
            <w:r>
              <w:t xml:space="preserve">Webpage PDF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/data/unilever/press/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6.3 Quant metrics</w:t>
            </w:r>
          </w:p>
        </w:tc>
        <w:tc>
          <w:tcPr/>
          <w:p>
            <w:pPr>
              <w:pStyle w:val="Compact"/>
            </w:pPr>
            <w:r>
              <w:t xml:space="preserve">Unilever</w:t>
            </w:r>
            <w:r>
              <w:t xml:space="preserve"> </w:t>
            </w:r>
            <w:r>
              <w:rPr>
                <w:b/>
                <w:bCs/>
              </w:rPr>
              <w:t xml:space="preserve">Eco‑Efficiency data 2024</w:t>
            </w:r>
            <w:r>
              <w:t xml:space="preserve"> </w:t>
            </w:r>
            <w:r>
              <w:t xml:space="preserve">(CSV)</w:t>
            </w:r>
          </w:p>
        </w:tc>
        <w:tc>
          <w:tcPr/>
          <w:p>
            <w:pPr>
              <w:pStyle w:val="Compact"/>
            </w:pPr>
            <w:r>
              <w:t xml:space="preserve">Dataset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/data/unilever/esg/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6.4 Challenges</w:t>
            </w:r>
          </w:p>
        </w:tc>
        <w:tc>
          <w:tcPr/>
          <w:p>
            <w:pPr>
              <w:pStyle w:val="Compact"/>
            </w:pPr>
            <w:r>
              <w:t xml:space="preserve">Supplier digital‑divide report (Unilever 2023)</w:t>
            </w:r>
          </w:p>
        </w:tc>
        <w:tc>
          <w:tcPr/>
          <w:p>
            <w:pPr>
              <w:pStyle w:val="Compact"/>
            </w:pPr>
            <w:r>
              <w:t xml:space="preserve">Company Report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/docs/company/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</w:tbl>
    <w:bookmarkEnd w:id="25"/>
    <w:bookmarkStart w:id="26" w:name="chapter-7-case-study-bmw-group"/>
    <w:p>
      <w:pPr>
        <w:pStyle w:val="Heading2"/>
      </w:pPr>
      <w:r>
        <w:t xml:space="preserve">Chapter 7 — Case Study: BMW Group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30"/>
        <w:gridCol w:w="3327"/>
        <w:gridCol w:w="931"/>
        <w:gridCol w:w="1730"/>
        <w:gridCol w:w="39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§</w:t>
            </w:r>
          </w:p>
        </w:tc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Folder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7.1 Overview</w:t>
            </w:r>
          </w:p>
        </w:tc>
        <w:tc>
          <w:tcPr/>
          <w:p>
            <w:pPr>
              <w:pStyle w:val="Compact"/>
            </w:pPr>
            <w:r>
              <w:t xml:space="preserve">BMW</w:t>
            </w:r>
            <w:r>
              <w:t xml:space="preserve"> </w:t>
            </w:r>
            <w:r>
              <w:rPr>
                <w:b/>
                <w:bCs/>
              </w:rPr>
              <w:t xml:space="preserve">Group Reports 2015‑2024</w:t>
            </w:r>
          </w:p>
        </w:tc>
        <w:tc>
          <w:tcPr/>
          <w:p>
            <w:pPr>
              <w:pStyle w:val="Compact"/>
            </w:pPr>
            <w:r>
              <w:t xml:space="preserve">Company Report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/data/bmw/reports/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7.2 Adoption chronology</w:t>
            </w:r>
          </w:p>
        </w:tc>
        <w:tc>
          <w:tcPr/>
          <w:p>
            <w:pPr>
              <w:pStyle w:val="Compact"/>
            </w:pPr>
            <w:r>
              <w:t xml:space="preserve">BMW Plant Regensburg digital‑twin press kit (2021)</w:t>
            </w:r>
          </w:p>
        </w:tc>
        <w:tc>
          <w:tcPr/>
          <w:p>
            <w:pPr>
              <w:pStyle w:val="Compact"/>
            </w:pPr>
            <w:r>
              <w:t xml:space="preserve">Webpage PDF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/data/bmw/press/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7.3 Quant metrics</w:t>
            </w:r>
          </w:p>
        </w:tc>
        <w:tc>
          <w:tcPr/>
          <w:p>
            <w:pPr>
              <w:pStyle w:val="Compact"/>
            </w:pPr>
            <w:r>
              <w:t xml:space="preserve">BMW CDP Climate 2024 PDF/CSV</w:t>
            </w:r>
          </w:p>
        </w:tc>
        <w:tc>
          <w:tcPr/>
          <w:p>
            <w:pPr>
              <w:pStyle w:val="Compact"/>
            </w:pPr>
            <w:r>
              <w:t xml:space="preserve">Dataset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/data/bmw/cdp/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IFR</w:t>
            </w:r>
            <w:r>
              <w:t xml:space="preserve"> </w:t>
            </w:r>
            <w:r>
              <w:rPr>
                <w:i/>
                <w:iCs/>
              </w:rPr>
              <w:t xml:space="preserve">robot‑density Germany‑Auto</w:t>
            </w:r>
            <w:r>
              <w:t xml:space="preserve"> </w:t>
            </w:r>
            <w:r>
              <w:t xml:space="preserve">table (free)</w:t>
            </w:r>
          </w:p>
        </w:tc>
        <w:tc>
          <w:tcPr/>
          <w:p>
            <w:pPr>
              <w:pStyle w:val="Compact"/>
            </w:pPr>
            <w:r>
              <w:t xml:space="preserve">Dataset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/data/ifr/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7.4 Challenges</w:t>
            </w:r>
          </w:p>
        </w:tc>
        <w:tc>
          <w:tcPr/>
          <w:p>
            <w:pPr>
              <w:pStyle w:val="Compact"/>
            </w:pPr>
            <w:r>
              <w:t xml:space="preserve">Chip shortage impact note (2022 Q2 Presentation)</w:t>
            </w:r>
          </w:p>
        </w:tc>
        <w:tc>
          <w:tcPr/>
          <w:p>
            <w:pPr>
              <w:pStyle w:val="Compact"/>
            </w:pPr>
            <w:r>
              <w:t xml:space="preserve">Company slide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/data/bmw/presentations/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</w:tbl>
    <w:bookmarkEnd w:id="26"/>
    <w:bookmarkStart w:id="27" w:name="chapter-8-crosscase-analysis-discussion"/>
    <w:p>
      <w:pPr>
        <w:pStyle w:val="Heading2"/>
      </w:pPr>
      <w:r>
        <w:t xml:space="preserve">Chapter 8 — Cross‑Case Analysis &amp; Discussion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658"/>
        <w:gridCol w:w="1397"/>
        <w:gridCol w:w="1304"/>
        <w:gridCol w:w="5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Folder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Merged master panel</w:t>
            </w:r>
            <w:r>
              <w:t xml:space="preserve"> </w:t>
            </w:r>
            <w:r>
              <w:rPr>
                <w:rStyle w:val="VerbatimChar"/>
              </w:rPr>
              <w:t xml:space="preserve">panel_master.csv</w:t>
            </w:r>
            <w:r>
              <w:t xml:space="preserve"> </w:t>
            </w:r>
            <w:r>
              <w:t xml:space="preserve">(generated)</w:t>
            </w:r>
          </w:p>
        </w:tc>
        <w:tc>
          <w:tcPr/>
          <w:p>
            <w:pPr>
              <w:pStyle w:val="Compact"/>
            </w:pPr>
            <w:r>
              <w:t xml:space="preserve">Derived Dataset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/data/clean/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World Bank</w:t>
            </w:r>
            <w:r>
              <w:t xml:space="preserve"> </w:t>
            </w:r>
            <w:r>
              <w:rPr>
                <w:b/>
                <w:bCs/>
              </w:rPr>
              <w:t xml:space="preserve">WDI</w:t>
            </w:r>
            <w:r>
              <w:t xml:space="preserve"> </w:t>
            </w:r>
            <w:r>
              <w:t xml:space="preserve">macro controls (API pull JSON)</w:t>
            </w:r>
          </w:p>
        </w:tc>
        <w:tc>
          <w:tcPr/>
          <w:p>
            <w:pPr>
              <w:pStyle w:val="Compact"/>
            </w:pPr>
            <w:r>
              <w:t xml:space="preserve">Dataset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/data/macro/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Eurostat</w:t>
            </w:r>
            <w:r>
              <w:t xml:space="preserve"> </w:t>
            </w:r>
            <w:r>
              <w:rPr>
                <w:b/>
                <w:bCs/>
              </w:rPr>
              <w:t xml:space="preserve">DESI</w:t>
            </w:r>
            <w:r>
              <w:t xml:space="preserve"> </w:t>
            </w:r>
            <w:r>
              <w:t xml:space="preserve">indicators CSV</w:t>
            </w:r>
          </w:p>
        </w:tc>
        <w:tc>
          <w:tcPr/>
          <w:p>
            <w:pPr>
              <w:pStyle w:val="Compact"/>
            </w:pPr>
            <w:r>
              <w:t xml:space="preserve">Dataset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/data/macro/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</w:tbl>
    <w:bookmarkEnd w:id="27"/>
    <w:bookmarkStart w:id="28" w:name="chapter-9-recommendations"/>
    <w:p>
      <w:pPr>
        <w:pStyle w:val="Heading2"/>
      </w:pPr>
      <w:r>
        <w:t xml:space="preserve">Chapter 9 — Recommendations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110"/>
        <w:gridCol w:w="1503"/>
        <w:gridCol w:w="1704"/>
        <w:gridCol w:w="60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Folder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Industry 4.0 ROI benchmarks (PwC 2024)</w:t>
            </w:r>
          </w:p>
        </w:tc>
        <w:tc>
          <w:tcPr/>
          <w:p>
            <w:pPr>
              <w:pStyle w:val="Compact"/>
            </w:pPr>
            <w:r>
              <w:t xml:space="preserve">Industry Report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/docs/industry/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Catena‑X adoption guidelines (2025 draft)</w:t>
            </w:r>
          </w:p>
        </w:tc>
        <w:tc>
          <w:tcPr/>
          <w:p>
            <w:pPr>
              <w:pStyle w:val="Compact"/>
            </w:pPr>
            <w:r>
              <w:t xml:space="preserve">Industry Report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/docs/industry/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</w:tbl>
    <w:bookmarkEnd w:id="28"/>
    <w:bookmarkStart w:id="29" w:name="chapter-10-conclusion-future-work"/>
    <w:p>
      <w:pPr>
        <w:pStyle w:val="Heading2"/>
      </w:pPr>
      <w:r>
        <w:t xml:space="preserve">Chapter 10 — Conclusion &amp; Future Work</w:t>
      </w:r>
    </w:p>
    <w:p>
      <w:pPr>
        <w:pStyle w:val="FirstParagraph"/>
      </w:pPr>
      <w:r>
        <w:rPr>
          <w:i/>
          <w:iCs/>
        </w:rPr>
        <w:t xml:space="preserve">No new downloads — synthesise prior chapters.</w:t>
      </w:r>
    </w:p>
    <w:bookmarkEnd w:id="29"/>
    <w:bookmarkStart w:id="31" w:name="appendices"/>
    <w:p>
      <w:pPr>
        <w:pStyle w:val="Heading2"/>
      </w:pPr>
      <w:r>
        <w:t xml:space="preserve">Appendices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448"/>
        <w:gridCol w:w="759"/>
        <w:gridCol w:w="1518"/>
        <w:gridCol w:w="119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Folder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Python/R scripts (</w:t>
            </w:r>
            <w:r>
              <w:rPr>
                <w:rStyle w:val="VerbatimChar"/>
              </w:rPr>
              <w:t xml:space="preserve">/code/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/code/</w:t>
            </w:r>
          </w:p>
        </w:tc>
        <w:tc>
          <w:tcPr/>
          <w:p>
            <w:pPr>
              <w:pStyle w:val="Compact"/>
            </w:pPr>
            <w:r>
              <w:t xml:space="preserve">↺ (ongoing)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Raw data snapshots (zip each data folder)</w:t>
            </w:r>
          </w:p>
        </w:tc>
        <w:tc>
          <w:tcPr/>
          <w:p>
            <w:pPr>
              <w:pStyle w:val="Compact"/>
            </w:pPr>
            <w:r>
              <w:t xml:space="preserve">Derived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/archive/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</w:pPr>
            <w:r>
              <w:t xml:space="preserve">Ethics approval letter template</w:t>
            </w:r>
          </w:p>
        </w:tc>
        <w:tc>
          <w:tcPr/>
          <w:p>
            <w:pPr>
              <w:pStyle w:val="Compact"/>
            </w:pPr>
            <w:r>
              <w:t xml:space="preserve">Doc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/docs/admin/</w:t>
            </w:r>
          </w:p>
        </w:tc>
        <w:tc>
          <w:tcPr/>
          <w:p>
            <w:pPr>
              <w:pStyle w:val="Compact"/>
            </w:pPr>
            <w:r>
              <w:t xml:space="preserve">☐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30" w:name="suggested-folder-structure"/>
    <w:p>
      <w:pPr>
        <w:pStyle w:val="Heading3"/>
      </w:pPr>
      <w:r>
        <w:t xml:space="preserve">Suggested Folder Structure</w:t>
      </w:r>
    </w:p>
    <w:p>
      <w:pPr>
        <w:pStyle w:val="SourceCode"/>
      </w:pPr>
      <w:r>
        <w:rPr>
          <w:rStyle w:val="VerbatimChar"/>
        </w:rPr>
        <w:t xml:space="preserve">project_root/</w:t>
      </w:r>
      <w:r>
        <w:br/>
      </w:r>
      <w:r>
        <w:rPr>
          <w:rStyle w:val="VerbatimChar"/>
        </w:rPr>
        <w:t xml:space="preserve">│ README.md</w:t>
      </w:r>
      <w:r>
        <w:br/>
      </w:r>
      <w:r>
        <w:rPr>
          <w:rStyle w:val="VerbatimChar"/>
        </w:rPr>
        <w:t xml:space="preserve">├── docs/</w:t>
      </w:r>
      <w:r>
        <w:br/>
      </w:r>
      <w:r>
        <w:rPr>
          <w:rStyle w:val="VerbatimChar"/>
        </w:rPr>
        <w:t xml:space="preserve">│   ├── literature/</w:t>
      </w:r>
      <w:r>
        <w:br/>
      </w:r>
      <w:r>
        <w:rPr>
          <w:rStyle w:val="VerbatimChar"/>
        </w:rPr>
        <w:t xml:space="preserve">│   ├── industry/</w:t>
      </w:r>
      <w:r>
        <w:br/>
      </w:r>
      <w:r>
        <w:rPr>
          <w:rStyle w:val="VerbatimChar"/>
        </w:rPr>
        <w:t xml:space="preserve">│   ├── standards/</w:t>
      </w:r>
      <w:r>
        <w:br/>
      </w:r>
      <w:r>
        <w:rPr>
          <w:rStyle w:val="VerbatimChar"/>
        </w:rPr>
        <w:t xml:space="preserve">│   ├── policy/</w:t>
      </w:r>
      <w:r>
        <w:br/>
      </w:r>
      <w:r>
        <w:rPr>
          <w:rStyle w:val="VerbatimChar"/>
        </w:rPr>
        <w:t xml:space="preserve">│   ├── method/</w:t>
      </w:r>
      <w:r>
        <w:br/>
      </w:r>
      <w:r>
        <w:rPr>
          <w:rStyle w:val="VerbatimChar"/>
        </w:rPr>
        <w:t xml:space="preserve">│   └── tools/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├── dhl/</w:t>
      </w:r>
      <w:r>
        <w:br/>
      </w:r>
      <w:r>
        <w:rPr>
          <w:rStyle w:val="VerbatimChar"/>
        </w:rPr>
        <w:t xml:space="preserve">│   ├── unilever/</w:t>
      </w:r>
      <w:r>
        <w:br/>
      </w:r>
      <w:r>
        <w:rPr>
          <w:rStyle w:val="VerbatimChar"/>
        </w:rPr>
        <w:t xml:space="preserve">│   ├── bmw/</w:t>
      </w:r>
      <w:r>
        <w:br/>
      </w:r>
      <w:r>
        <w:rPr>
          <w:rStyle w:val="VerbatimChar"/>
        </w:rPr>
        <w:t xml:space="preserve">│   ├── ifr/</w:t>
      </w:r>
      <w:r>
        <w:br/>
      </w:r>
      <w:r>
        <w:rPr>
          <w:rStyle w:val="VerbatimChar"/>
        </w:rPr>
        <w:t xml:space="preserve">│   ├── macro/</w:t>
      </w:r>
      <w:r>
        <w:br/>
      </w:r>
      <w:r>
        <w:rPr>
          <w:rStyle w:val="VerbatimChar"/>
        </w:rPr>
        <w:t xml:space="preserve">│   ├── raw/</w:t>
      </w:r>
      <w:r>
        <w:br/>
      </w:r>
      <w:r>
        <w:rPr>
          <w:rStyle w:val="VerbatimChar"/>
        </w:rPr>
        <w:t xml:space="preserve">│   └── clean/</w:t>
      </w:r>
      <w:r>
        <w:br/>
      </w:r>
      <w:r>
        <w:rPr>
          <w:rStyle w:val="VerbatimChar"/>
        </w:rPr>
        <w:t xml:space="preserve">├── code/</w:t>
      </w:r>
      <w:r>
        <w:br/>
      </w:r>
      <w:r>
        <w:rPr>
          <w:rStyle w:val="VerbatimChar"/>
        </w:rPr>
        <w:t xml:space="preserve">└── archive/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Tip:</w:t>
      </w:r>
      <w:r>
        <w:t xml:space="preserve"> Review and tick off this checklist at the start of each writing week. When a new edition of a dataset drops (e.g., World Robotics 2025), mark the previous item ↺ and add the new year beneath it.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2025-06-28T23:32:57Z</dcterms:created>
  <dcterms:modified xsi:type="dcterms:W3CDTF">2025-06-28T23:32:57Z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