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D0D0D0"/>
        <w:tblCellMar>
          <w:left w:w="0" w:type="dxa"/>
          <w:right w:w="0" w:type="dxa"/>
        </w:tblCellMar>
        <w:tblLook w:val="04A0" w:firstRow="1" w:lastRow="0" w:firstColumn="1" w:lastColumn="0" w:noHBand="0" w:noVBand="1"/>
      </w:tblPr>
      <w:tblGrid>
        <w:gridCol w:w="6301"/>
        <w:gridCol w:w="2725"/>
      </w:tblGrid>
      <w:tr w:rsidR="00850B21" w14:paraId="0F195C2F" w14:textId="77777777" w:rsidTr="002C0438">
        <w:trPr>
          <w:tblCellSpacing w:w="15" w:type="dxa"/>
        </w:trPr>
        <w:tc>
          <w:tcPr>
            <w:tcW w:w="0" w:type="auto"/>
            <w:shd w:val="clear" w:color="auto" w:fill="D0D0D0"/>
            <w:tcMar>
              <w:top w:w="75" w:type="dxa"/>
              <w:left w:w="75" w:type="dxa"/>
              <w:bottom w:w="75" w:type="dxa"/>
              <w:right w:w="75" w:type="dxa"/>
            </w:tcMar>
            <w:vAlign w:val="center"/>
            <w:hideMark/>
          </w:tcPr>
          <w:p w14:paraId="271B15AC" w14:textId="77777777" w:rsidR="00850B21" w:rsidRDefault="00850B21" w:rsidP="002C0438">
            <w:pPr>
              <w:rPr>
                <w:rFonts w:ascii="Calibri" w:hAnsi="Calibri" w:cs="Calibri"/>
              </w:rPr>
            </w:pPr>
            <w:bookmarkStart w:id="0" w:name="_top"/>
            <w:bookmarkEnd w:id="0"/>
            <w:r>
              <w:rPr>
                <w:rFonts w:ascii="Arial" w:hAnsi="Arial" w:cs="Arial"/>
                <w:b/>
                <w:bCs/>
                <w:color w:val="009999"/>
                <w:sz w:val="32"/>
                <w:szCs w:val="32"/>
              </w:rPr>
              <w:t>License Management</w:t>
            </w:r>
          </w:p>
        </w:tc>
        <w:tc>
          <w:tcPr>
            <w:tcW w:w="0" w:type="auto"/>
            <w:shd w:val="clear" w:color="auto" w:fill="D0D0D0"/>
            <w:tcMar>
              <w:top w:w="75" w:type="dxa"/>
              <w:left w:w="75" w:type="dxa"/>
              <w:bottom w:w="75" w:type="dxa"/>
              <w:right w:w="75" w:type="dxa"/>
            </w:tcMar>
            <w:vAlign w:val="center"/>
            <w:hideMark/>
          </w:tcPr>
          <w:p w14:paraId="551B3050" w14:textId="77777777" w:rsidR="00850B21" w:rsidRDefault="00E21F24" w:rsidP="002C0438">
            <w:pPr>
              <w:jc w:val="right"/>
              <w:rPr>
                <w:rFonts w:ascii="Calibri" w:hAnsi="Calibri" w:cs="Calibri"/>
              </w:rPr>
            </w:pPr>
            <w:hyperlink r:id="rId4" w:history="1">
              <w:r w:rsidR="00850B21">
                <w:rPr>
                  <w:rStyle w:val="Hyperlink"/>
                  <w:rFonts w:ascii="Arial" w:hAnsi="Arial" w:cs="Arial"/>
                  <w:sz w:val="20"/>
                  <w:szCs w:val="20"/>
                </w:rPr>
                <w:t>Previous</w:t>
              </w:r>
            </w:hyperlink>
            <w:r w:rsidR="00850B21">
              <w:rPr>
                <w:rFonts w:ascii="Arial" w:hAnsi="Arial" w:cs="Arial"/>
                <w:color w:val="000000"/>
                <w:sz w:val="20"/>
                <w:szCs w:val="20"/>
              </w:rPr>
              <w:t>  </w:t>
            </w:r>
            <w:hyperlink r:id="rId5" w:history="1">
              <w:r w:rsidR="00850B21">
                <w:rPr>
                  <w:rStyle w:val="Hyperlink"/>
                  <w:rFonts w:ascii="Arial" w:hAnsi="Arial" w:cs="Arial"/>
                  <w:sz w:val="20"/>
                  <w:szCs w:val="20"/>
                </w:rPr>
                <w:t>Next</w:t>
              </w:r>
            </w:hyperlink>
          </w:p>
        </w:tc>
      </w:tr>
    </w:tbl>
    <w:p w14:paraId="5AF238DC" w14:textId="77777777" w:rsidR="00850B21" w:rsidRDefault="00850B21" w:rsidP="00850B21">
      <w:pPr>
        <w:rPr>
          <w:vanish/>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6"/>
      </w:tblGrid>
      <w:tr w:rsidR="00850B21" w14:paraId="6849D3D8" w14:textId="77777777" w:rsidTr="002C0438">
        <w:trPr>
          <w:tblCellSpacing w:w="15" w:type="dxa"/>
        </w:trPr>
        <w:tc>
          <w:tcPr>
            <w:tcW w:w="0" w:type="auto"/>
            <w:shd w:val="clear" w:color="auto" w:fill="FFFFFF"/>
            <w:tcMar>
              <w:top w:w="75" w:type="dxa"/>
              <w:left w:w="75" w:type="dxa"/>
              <w:bottom w:w="75" w:type="dxa"/>
              <w:right w:w="75" w:type="dxa"/>
            </w:tcMar>
            <w:hideMark/>
          </w:tcPr>
          <w:p w14:paraId="197C3C32" w14:textId="77777777" w:rsidR="00850B21" w:rsidRDefault="00850B21" w:rsidP="002C0438">
            <w:pPr>
              <w:jc w:val="center"/>
              <w:rPr>
                <w:rFonts w:ascii="Calibri" w:hAnsi="Calibri" w:cs="Calibri"/>
              </w:rPr>
            </w:pPr>
            <w:r>
              <w:rPr>
                <w:rFonts w:ascii="Arial" w:hAnsi="Arial" w:cs="Arial"/>
                <w:b/>
                <w:bCs/>
                <w:color w:val="000000"/>
                <w:sz w:val="16"/>
                <w:szCs w:val="16"/>
                <w:shd w:val="clear" w:color="auto" w:fill="FFFFFF"/>
              </w:rPr>
              <w:t>Company &gt; License Management</w:t>
            </w:r>
          </w:p>
          <w:p w14:paraId="4E1E0FB2" w14:textId="77777777" w:rsidR="00850B21" w:rsidRDefault="00E21F24" w:rsidP="002C0438">
            <w:pPr>
              <w:jc w:val="center"/>
              <w:rPr>
                <w:rFonts w:ascii="Arial" w:hAnsi="Arial" w:cs="Arial"/>
                <w:color w:val="000000"/>
                <w:sz w:val="20"/>
                <w:szCs w:val="20"/>
              </w:rPr>
            </w:pPr>
            <w:r>
              <w:rPr>
                <w:rFonts w:ascii="Arial" w:hAnsi="Arial" w:cs="Arial"/>
                <w:color w:val="000000"/>
                <w:sz w:val="20"/>
                <w:szCs w:val="20"/>
              </w:rPr>
              <w:pict w14:anchorId="0D2AEF2C">
                <v:rect id="_x0000_i1025" style="width:468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1"/>
              <w:gridCol w:w="8225"/>
            </w:tblGrid>
            <w:tr w:rsidR="00850B21" w14:paraId="23EED0D2" w14:textId="77777777" w:rsidTr="002C0438">
              <w:trPr>
                <w:tblCellSpacing w:w="0" w:type="dxa"/>
              </w:trPr>
              <w:tc>
                <w:tcPr>
                  <w:tcW w:w="0" w:type="auto"/>
                  <w:vAlign w:val="center"/>
                  <w:hideMark/>
                </w:tcPr>
                <w:p w14:paraId="724D0F14" w14:textId="77777777" w:rsidR="00850B21" w:rsidRDefault="00850B21" w:rsidP="002C0438">
                  <w:pPr>
                    <w:jc w:val="both"/>
                    <w:rPr>
                      <w:rFonts w:ascii="Calibri" w:hAnsi="Calibri" w:cs="Calibri"/>
                    </w:rPr>
                  </w:pPr>
                  <w:r>
                    <w:rPr>
                      <w:rFonts w:ascii="Arial" w:hAnsi="Arial" w:cs="Arial"/>
                      <w:color w:val="000000"/>
                      <w:sz w:val="20"/>
                      <w:szCs w:val="20"/>
                    </w:rPr>
                    <w:t> </w:t>
                  </w:r>
                </w:p>
              </w:tc>
              <w:tc>
                <w:tcPr>
                  <w:tcW w:w="0" w:type="auto"/>
                  <w:vAlign w:val="center"/>
                  <w:hideMark/>
                </w:tcPr>
                <w:p w14:paraId="1148764B" w14:textId="77777777" w:rsidR="00850B21" w:rsidRDefault="00850B21" w:rsidP="002C0438">
                  <w:pPr>
                    <w:jc w:val="right"/>
                    <w:rPr>
                      <w:rFonts w:ascii="Calibri" w:hAnsi="Calibri" w:cs="Calibri"/>
                    </w:rPr>
                  </w:pPr>
                  <w:r>
                    <w:rPr>
                      <w:noProof/>
                      <w:color w:val="000000"/>
                    </w:rPr>
                    <w:drawing>
                      <wp:inline distT="0" distB="0" distL="0" distR="0" wp14:anchorId="7E41DC81" wp14:editId="3FB529EA">
                        <wp:extent cx="491490" cy="477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 cy="477520"/>
                                </a:xfrm>
                                <a:prstGeom prst="rect">
                                  <a:avLst/>
                                </a:prstGeom>
                                <a:noFill/>
                                <a:ln>
                                  <a:noFill/>
                                </a:ln>
                              </pic:spPr>
                            </pic:pic>
                          </a:graphicData>
                        </a:graphic>
                      </wp:inline>
                    </w:drawing>
                  </w:r>
                </w:p>
              </w:tc>
            </w:tr>
          </w:tbl>
          <w:p w14:paraId="1BCDDD43" w14:textId="77777777" w:rsidR="00850B21" w:rsidRDefault="00850B21" w:rsidP="002C0438">
            <w:pPr>
              <w:spacing w:before="210"/>
              <w:jc w:val="both"/>
              <w:rPr>
                <w:rFonts w:ascii="Calibri" w:hAnsi="Calibri" w:cs="Calibri"/>
              </w:rPr>
            </w:pPr>
            <w:r>
              <w:rPr>
                <w:rFonts w:ascii="Calibri" w:hAnsi="Calibri" w:cs="Calibri"/>
                <w:i/>
                <w:iCs/>
                <w:color w:val="000000"/>
                <w:shd w:val="clear" w:color="auto" w:fill="FFFFFF"/>
              </w:rPr>
              <w:t>License Management</w:t>
            </w:r>
            <w:r>
              <w:rPr>
                <w:rFonts w:ascii="Calibri" w:hAnsi="Calibri" w:cs="Calibri"/>
                <w:color w:val="000000"/>
                <w:shd w:val="clear" w:color="auto" w:fill="FFFFFF"/>
              </w:rPr>
              <w:t> menu provides various options for registering Easy Publish for soft lock license file, generating system info file, upgrading Easy Publish. On clicking the </w:t>
            </w:r>
            <w:r>
              <w:rPr>
                <w:rFonts w:ascii="Calibri" w:hAnsi="Calibri" w:cs="Calibri"/>
                <w:i/>
                <w:iCs/>
                <w:color w:val="000000"/>
                <w:shd w:val="clear" w:color="auto" w:fill="FFFFFF"/>
              </w:rPr>
              <w:t>License Management</w:t>
            </w:r>
            <w:r>
              <w:rPr>
                <w:rFonts w:ascii="Calibri" w:hAnsi="Calibri" w:cs="Calibri"/>
                <w:color w:val="000000"/>
                <w:shd w:val="clear" w:color="auto" w:fill="FFFFFF"/>
              </w:rPr>
              <w:t> option, various options are displayed. The options are:</w:t>
            </w:r>
          </w:p>
          <w:tbl>
            <w:tblPr>
              <w:tblW w:w="0" w:type="auto"/>
              <w:tblCellSpacing w:w="0" w:type="dxa"/>
              <w:tblCellMar>
                <w:left w:w="0" w:type="dxa"/>
                <w:right w:w="0" w:type="dxa"/>
              </w:tblCellMar>
              <w:tblLook w:val="04A0" w:firstRow="1" w:lastRow="0" w:firstColumn="1" w:lastColumn="0" w:noHBand="0" w:noVBand="1"/>
            </w:tblPr>
            <w:tblGrid>
              <w:gridCol w:w="195"/>
              <w:gridCol w:w="2317"/>
            </w:tblGrid>
            <w:tr w:rsidR="00850B21" w:rsidRPr="00E21F24" w14:paraId="50AF1110" w14:textId="77777777" w:rsidTr="002C0438">
              <w:trPr>
                <w:tblCellSpacing w:w="0" w:type="dxa"/>
              </w:trPr>
              <w:tc>
                <w:tcPr>
                  <w:tcW w:w="195" w:type="dxa"/>
                  <w:vAlign w:val="bottom"/>
                  <w:hideMark/>
                </w:tcPr>
                <w:p w14:paraId="43AE0611"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062B92E5" w14:textId="46F86A2C" w:rsidR="00850B21" w:rsidRPr="00E21F24" w:rsidRDefault="00850B21" w:rsidP="00E21F24">
                  <w:pPr>
                    <w:pStyle w:val="Subtitle"/>
                    <w:rPr>
                      <w:rFonts w:ascii="Calibri" w:hAnsi="Calibri"/>
                      <w:b/>
                      <w:bCs/>
                    </w:rPr>
                  </w:pPr>
                  <w:r w:rsidRPr="00E21F24">
                    <w:rPr>
                      <w:rFonts w:ascii="Calibri" w:hAnsi="Calibri" w:cs="Calibri"/>
                      <w:b/>
                      <w:bCs/>
                    </w:rPr>
                    <w:t>Soft L</w:t>
                  </w:r>
                  <w:r w:rsidRPr="00E21F24">
                    <w:rPr>
                      <w:rFonts w:ascii="Calibri" w:hAnsi="Calibri" w:cs="Calibri"/>
                      <w:b/>
                      <w:bCs/>
                    </w:rPr>
                    <w:t>o</w:t>
                  </w:r>
                  <w:r w:rsidRPr="00E21F24">
                    <w:rPr>
                      <w:rFonts w:ascii="Calibri" w:hAnsi="Calibri" w:cs="Calibri"/>
                      <w:b/>
                      <w:bCs/>
                    </w:rPr>
                    <w:t>ck Registration</w:t>
                  </w:r>
                </w:p>
              </w:tc>
            </w:tr>
          </w:tbl>
          <w:p w14:paraId="672E83A7"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2354"/>
            </w:tblGrid>
            <w:tr w:rsidR="00850B21" w:rsidRPr="00E21F24" w14:paraId="7521011C" w14:textId="77777777" w:rsidTr="002C0438">
              <w:trPr>
                <w:tblCellSpacing w:w="0" w:type="dxa"/>
              </w:trPr>
              <w:tc>
                <w:tcPr>
                  <w:tcW w:w="195" w:type="dxa"/>
                  <w:vAlign w:val="bottom"/>
                  <w:hideMark/>
                </w:tcPr>
                <w:p w14:paraId="7E7D8CA2"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3189236E" w14:textId="094437D8" w:rsidR="00850B21" w:rsidRPr="00E21F24" w:rsidRDefault="00850B21" w:rsidP="00E21F24">
                  <w:pPr>
                    <w:pStyle w:val="Subtitle"/>
                    <w:rPr>
                      <w:rFonts w:ascii="Calibri" w:hAnsi="Calibri"/>
                      <w:b/>
                      <w:bCs/>
                    </w:rPr>
                  </w:pPr>
                  <w:r w:rsidRPr="00E21F24">
                    <w:rPr>
                      <w:rFonts w:ascii="Calibri" w:hAnsi="Calibri" w:cs="Calibri"/>
                      <w:b/>
                      <w:bCs/>
                    </w:rPr>
                    <w:t>Generate System Info.</w:t>
                  </w:r>
                </w:p>
              </w:tc>
            </w:tr>
          </w:tbl>
          <w:p w14:paraId="0E347A53"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3091"/>
            </w:tblGrid>
            <w:tr w:rsidR="00850B21" w:rsidRPr="00E21F24" w14:paraId="171FD348" w14:textId="77777777" w:rsidTr="002C0438">
              <w:trPr>
                <w:tblCellSpacing w:w="0" w:type="dxa"/>
              </w:trPr>
              <w:tc>
                <w:tcPr>
                  <w:tcW w:w="195" w:type="dxa"/>
                  <w:vAlign w:val="bottom"/>
                  <w:hideMark/>
                </w:tcPr>
                <w:p w14:paraId="0E456C0A"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184E83B7" w14:textId="59A795E9" w:rsidR="00850B21" w:rsidRPr="00E21F24" w:rsidRDefault="00850B21" w:rsidP="00E21F24">
                  <w:pPr>
                    <w:pStyle w:val="Subtitle"/>
                    <w:rPr>
                      <w:rFonts w:ascii="Calibri" w:hAnsi="Calibri"/>
                      <w:b/>
                      <w:bCs/>
                    </w:rPr>
                  </w:pPr>
                  <w:r w:rsidRPr="00E21F24">
                    <w:rPr>
                      <w:rFonts w:ascii="Calibri" w:hAnsi="Calibri" w:cs="Calibri"/>
                      <w:b/>
                      <w:bCs/>
                    </w:rPr>
                    <w:t>Re-Validate Soft Lock License</w:t>
                  </w:r>
                </w:p>
              </w:tc>
            </w:tr>
          </w:tbl>
          <w:p w14:paraId="3AF935CB"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2680"/>
            </w:tblGrid>
            <w:tr w:rsidR="00850B21" w:rsidRPr="00E21F24" w14:paraId="5E734132" w14:textId="77777777" w:rsidTr="002C0438">
              <w:trPr>
                <w:tblCellSpacing w:w="0" w:type="dxa"/>
              </w:trPr>
              <w:tc>
                <w:tcPr>
                  <w:tcW w:w="195" w:type="dxa"/>
                  <w:vAlign w:val="bottom"/>
                  <w:hideMark/>
                </w:tcPr>
                <w:p w14:paraId="05916EE9"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3758A308" w14:textId="5B2697B8" w:rsidR="00850B21" w:rsidRPr="00E21F24" w:rsidRDefault="00850B21" w:rsidP="00E21F24">
                  <w:pPr>
                    <w:pStyle w:val="Subtitle"/>
                    <w:rPr>
                      <w:rFonts w:ascii="Calibri" w:hAnsi="Calibri"/>
                      <w:b/>
                      <w:bCs/>
                    </w:rPr>
                  </w:pPr>
                  <w:r w:rsidRPr="00E21F24">
                    <w:rPr>
                      <w:rFonts w:ascii="Calibri" w:hAnsi="Calibri" w:cs="Calibri"/>
                      <w:b/>
                      <w:bCs/>
                    </w:rPr>
                    <w:t>Get Soft Lock License File</w:t>
                  </w:r>
                </w:p>
              </w:tc>
            </w:tr>
          </w:tbl>
          <w:p w14:paraId="06990C76"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3967"/>
            </w:tblGrid>
            <w:tr w:rsidR="00850B21" w:rsidRPr="00E21F24" w14:paraId="7AB3DC15" w14:textId="77777777" w:rsidTr="002C0438">
              <w:trPr>
                <w:tblCellSpacing w:w="0" w:type="dxa"/>
              </w:trPr>
              <w:tc>
                <w:tcPr>
                  <w:tcW w:w="195" w:type="dxa"/>
                  <w:vAlign w:val="bottom"/>
                  <w:hideMark/>
                </w:tcPr>
                <w:p w14:paraId="387FB08F"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15A51F71" w14:textId="30949706" w:rsidR="00850B21" w:rsidRPr="00E21F24" w:rsidRDefault="00850B21" w:rsidP="00E21F24">
                  <w:pPr>
                    <w:pStyle w:val="Subtitle"/>
                    <w:rPr>
                      <w:rFonts w:ascii="Calibri" w:hAnsi="Calibri"/>
                      <w:b/>
                      <w:bCs/>
                    </w:rPr>
                  </w:pPr>
                  <w:r w:rsidRPr="00E21F24">
                    <w:rPr>
                      <w:rFonts w:ascii="Calibri" w:hAnsi="Calibri" w:cs="Calibri"/>
                      <w:b/>
                      <w:bCs/>
                    </w:rPr>
                    <w:t>Change Soft Lock Email ID / Password</w:t>
                  </w:r>
                </w:p>
              </w:tc>
            </w:tr>
          </w:tbl>
          <w:p w14:paraId="610F0E02"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2913"/>
            </w:tblGrid>
            <w:tr w:rsidR="00850B21" w:rsidRPr="00E21F24" w14:paraId="07C2026C" w14:textId="77777777" w:rsidTr="002C0438">
              <w:trPr>
                <w:tblCellSpacing w:w="0" w:type="dxa"/>
              </w:trPr>
              <w:tc>
                <w:tcPr>
                  <w:tcW w:w="195" w:type="dxa"/>
                  <w:vAlign w:val="bottom"/>
                  <w:hideMark/>
                </w:tcPr>
                <w:p w14:paraId="199950A6"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29B7B5B1" w14:textId="789578CC" w:rsidR="00850B21" w:rsidRPr="00E21F24" w:rsidRDefault="00850B21" w:rsidP="00E21F24">
                  <w:pPr>
                    <w:pStyle w:val="Subtitle"/>
                    <w:rPr>
                      <w:rFonts w:ascii="Calibri" w:hAnsi="Calibri"/>
                      <w:b/>
                      <w:bCs/>
                    </w:rPr>
                  </w:pPr>
                  <w:r w:rsidRPr="00E21F24">
                    <w:rPr>
                      <w:rFonts w:ascii="Calibri" w:hAnsi="Calibri" w:cs="Calibri"/>
                      <w:b/>
                      <w:bCs/>
                    </w:rPr>
                    <w:t xml:space="preserve">Surrender </w:t>
                  </w:r>
                  <w:r w:rsidR="00C130D3" w:rsidRPr="00E21F24">
                    <w:rPr>
                      <w:rFonts w:ascii="Calibri" w:hAnsi="Calibri" w:cs="Calibri"/>
                      <w:b/>
                      <w:bCs/>
                    </w:rPr>
                    <w:t>Soft Lock</w:t>
                  </w:r>
                  <w:r w:rsidRPr="00E21F24">
                    <w:rPr>
                      <w:rFonts w:ascii="Calibri" w:hAnsi="Calibri" w:cs="Calibri"/>
                      <w:b/>
                      <w:bCs/>
                    </w:rPr>
                    <w:t xml:space="preserve"> License</w:t>
                  </w:r>
                </w:p>
              </w:tc>
            </w:tr>
          </w:tbl>
          <w:p w14:paraId="38E3A8C6" w14:textId="77777777" w:rsidR="00850B21" w:rsidRPr="00E21F24" w:rsidRDefault="00850B21" w:rsidP="00E21F24">
            <w:pPr>
              <w:pStyle w:val="Subtitle"/>
              <w:rPr>
                <w:b/>
                <w:bCs/>
                <w:vanish/>
              </w:rPr>
            </w:pPr>
          </w:p>
          <w:tbl>
            <w:tblPr>
              <w:tblW w:w="0" w:type="auto"/>
              <w:tblCellSpacing w:w="0" w:type="dxa"/>
              <w:tblCellMar>
                <w:left w:w="0" w:type="dxa"/>
                <w:right w:w="0" w:type="dxa"/>
              </w:tblCellMar>
              <w:tblLook w:val="04A0" w:firstRow="1" w:lastRow="0" w:firstColumn="1" w:lastColumn="0" w:noHBand="0" w:noVBand="1"/>
            </w:tblPr>
            <w:tblGrid>
              <w:gridCol w:w="195"/>
              <w:gridCol w:w="3420"/>
            </w:tblGrid>
            <w:tr w:rsidR="00850B21" w:rsidRPr="00E21F24" w14:paraId="0A0DEBCE" w14:textId="77777777" w:rsidTr="002C0438">
              <w:trPr>
                <w:tblCellSpacing w:w="0" w:type="dxa"/>
              </w:trPr>
              <w:tc>
                <w:tcPr>
                  <w:tcW w:w="195" w:type="dxa"/>
                  <w:vAlign w:val="bottom"/>
                  <w:hideMark/>
                </w:tcPr>
                <w:p w14:paraId="10CE8EF9" w14:textId="77777777" w:rsidR="00850B21" w:rsidRPr="00E21F24" w:rsidRDefault="00850B21" w:rsidP="00E21F24">
                  <w:pPr>
                    <w:pStyle w:val="Subtitle"/>
                    <w:rPr>
                      <w:rFonts w:ascii="Calibri" w:hAnsi="Calibri"/>
                      <w:b/>
                      <w:bCs/>
                    </w:rPr>
                  </w:pPr>
                  <w:r w:rsidRPr="00E21F24">
                    <w:rPr>
                      <w:b/>
                      <w:bCs/>
                    </w:rPr>
                    <w:t>·</w:t>
                  </w:r>
                </w:p>
              </w:tc>
              <w:tc>
                <w:tcPr>
                  <w:tcW w:w="0" w:type="auto"/>
                  <w:vAlign w:val="bottom"/>
                  <w:hideMark/>
                </w:tcPr>
                <w:p w14:paraId="5F4F8E2B" w14:textId="019A44A8" w:rsidR="00850B21" w:rsidRPr="00E21F24" w:rsidRDefault="00850B21" w:rsidP="00E21F24">
                  <w:pPr>
                    <w:pStyle w:val="Subtitle"/>
                    <w:rPr>
                      <w:rFonts w:ascii="Calibri" w:hAnsi="Calibri"/>
                      <w:b/>
                      <w:bCs/>
                    </w:rPr>
                  </w:pPr>
                  <w:r w:rsidRPr="00E21F24">
                    <w:rPr>
                      <w:rFonts w:ascii="Calibri" w:hAnsi="Calibri" w:cs="Calibri"/>
                      <w:b/>
                      <w:bCs/>
                    </w:rPr>
                    <w:t>Upgrade BUSY (For Dongle Only)</w:t>
                  </w:r>
                </w:p>
              </w:tc>
            </w:tr>
          </w:tbl>
          <w:p w14:paraId="531BEBB1" w14:textId="77777777" w:rsidR="00850B21" w:rsidRDefault="00850B21" w:rsidP="002C0438">
            <w:pPr>
              <w:pStyle w:val="Heading2"/>
              <w:shd w:val="clear" w:color="auto" w:fill="FFFFFF"/>
              <w:spacing w:before="285" w:line="278" w:lineRule="atLeast"/>
              <w:rPr>
                <w:rFonts w:ascii="Calibri Light" w:hAnsi="Calibri Light" w:cs="Calibri Light"/>
                <w:color w:val="2F5496"/>
              </w:rPr>
            </w:pPr>
            <w:r>
              <w:rPr>
                <w:rFonts w:ascii="Arial" w:hAnsi="Arial" w:cs="Arial"/>
                <w:b/>
                <w:bCs/>
                <w:color w:val="800000"/>
              </w:rPr>
              <w:t>Soft Lock Registration</w:t>
            </w:r>
          </w:p>
          <w:p w14:paraId="712DC56E" w14:textId="0708BAE1" w:rsidR="00850B21" w:rsidRDefault="00850B21" w:rsidP="002C0438">
            <w:pPr>
              <w:pStyle w:val="NormalWeb"/>
              <w:shd w:val="clear" w:color="auto" w:fill="FFFFFF"/>
              <w:spacing w:before="0" w:beforeAutospacing="0" w:after="0" w:afterAutospacing="0"/>
              <w:jc w:val="both"/>
            </w:pPr>
            <w:r>
              <w:rPr>
                <w:rFonts w:ascii="Calibri" w:hAnsi="Calibri" w:cs="Calibri"/>
                <w:color w:val="000000"/>
              </w:rPr>
              <w:t xml:space="preserve">Registering for Soft lock security feature is a very simple process and can be done by Users itself or if they </w:t>
            </w:r>
            <w:r w:rsidR="00E21F24">
              <w:rPr>
                <w:rFonts w:ascii="Calibri" w:hAnsi="Calibri" w:cs="Calibri"/>
                <w:color w:val="000000"/>
              </w:rPr>
              <w:t>want,</w:t>
            </w:r>
            <w:r>
              <w:rPr>
                <w:rFonts w:ascii="Calibri" w:hAnsi="Calibri" w:cs="Calibri"/>
                <w:color w:val="000000"/>
              </w:rPr>
              <w:t xml:space="preserve"> they can get it done through Channel Partners also. The only constraint or check is the requirement to validate the soft lock License file at least once in 90 days failing which the product will be opened in Demo mode. Validating License file is not a procedure; it is just that you need to have an internet connection while Easy Publish is opened at least once in 30 days or Easy Publish should not be opened more than 900 times. If Easy Publish is opened more than 900 times in less than 90 days then also the file must be re validated.</w:t>
            </w:r>
          </w:p>
          <w:tbl>
            <w:tblPr>
              <w:tblW w:w="5000" w:type="pct"/>
              <w:tblCellSpacing w:w="0" w:type="dxa"/>
              <w:tblCellMar>
                <w:left w:w="0" w:type="dxa"/>
                <w:right w:w="0" w:type="dxa"/>
              </w:tblCellMar>
              <w:tblLook w:val="04A0" w:firstRow="1" w:lastRow="0" w:firstColumn="1" w:lastColumn="0" w:noHBand="0" w:noVBand="1"/>
            </w:tblPr>
            <w:tblGrid>
              <w:gridCol w:w="4304"/>
              <w:gridCol w:w="4512"/>
            </w:tblGrid>
            <w:tr w:rsidR="00850B21" w14:paraId="71F25D05" w14:textId="77777777" w:rsidTr="00850B21">
              <w:trPr>
                <w:tblCellSpacing w:w="0" w:type="dxa"/>
              </w:trPr>
              <w:tc>
                <w:tcPr>
                  <w:tcW w:w="0" w:type="auto"/>
                  <w:vAlign w:val="center"/>
                  <w:hideMark/>
                </w:tcPr>
                <w:p w14:paraId="0680F022" w14:textId="77777777" w:rsidR="00850B21" w:rsidRDefault="00850B21" w:rsidP="002C0438">
                  <w:pPr>
                    <w:jc w:val="both"/>
                    <w:rPr>
                      <w:rFonts w:ascii="Calibri" w:hAnsi="Calibri" w:cs="Calibri"/>
                    </w:rPr>
                  </w:pPr>
                  <w:r>
                    <w:rPr>
                      <w:rFonts w:ascii="Arial" w:hAnsi="Arial" w:cs="Arial"/>
                      <w:b/>
                      <w:bCs/>
                      <w:color w:val="800000"/>
                    </w:rPr>
                    <w:t>See Also</w:t>
                  </w:r>
                </w:p>
              </w:tc>
              <w:tc>
                <w:tcPr>
                  <w:tcW w:w="0" w:type="auto"/>
                  <w:vAlign w:val="center"/>
                  <w:hideMark/>
                </w:tcPr>
                <w:p w14:paraId="1B8900DA" w14:textId="7BB8D1D4" w:rsidR="00850B21" w:rsidRDefault="00E21F24" w:rsidP="002C0438">
                  <w:pPr>
                    <w:jc w:val="right"/>
                    <w:rPr>
                      <w:rFonts w:ascii="Calibri" w:hAnsi="Calibri" w:cs="Calibri"/>
                    </w:rPr>
                  </w:pPr>
                  <w:r>
                    <w:fldChar w:fldCharType="begin"/>
                  </w:r>
                  <w:r>
                    <w:instrText>HYPERLINK  \l "_top"</w:instrText>
                  </w:r>
                  <w:r>
                    <w:fldChar w:fldCharType="separate"/>
                  </w:r>
                  <w:r w:rsidR="00850B21">
                    <w:rPr>
                      <w:rStyle w:val="Hyperlink"/>
                      <w:rFonts w:ascii="Tahoma" w:hAnsi="Tahoma" w:cs="Tahoma"/>
                      <w:b/>
                      <w:bCs/>
                      <w:sz w:val="16"/>
                      <w:szCs w:val="16"/>
                    </w:rPr>
                    <w:t>Back To Top</w:t>
                  </w:r>
                  <w:r>
                    <w:rPr>
                      <w:rStyle w:val="Hyperlink"/>
                      <w:rFonts w:ascii="Tahoma" w:hAnsi="Tahoma" w:cs="Tahoma"/>
                      <w:b/>
                      <w:bCs/>
                      <w:sz w:val="16"/>
                      <w:szCs w:val="16"/>
                    </w:rPr>
                    <w:fldChar w:fldCharType="end"/>
                  </w:r>
                </w:p>
              </w:tc>
            </w:tr>
            <w:tr w:rsidR="00850B21" w14:paraId="39149093" w14:textId="77777777" w:rsidTr="00850B21">
              <w:trPr>
                <w:tblCellSpacing w:w="0" w:type="dxa"/>
              </w:trPr>
              <w:tc>
                <w:tcPr>
                  <w:tcW w:w="0" w:type="auto"/>
                  <w:vAlign w:val="center"/>
                  <w:hideMark/>
                </w:tcPr>
                <w:p w14:paraId="79E78100" w14:textId="77777777" w:rsidR="00850B21" w:rsidRDefault="00850B21" w:rsidP="002C0438">
                  <w:pPr>
                    <w:jc w:val="both"/>
                    <w:rPr>
                      <w:rFonts w:ascii="Calibri" w:hAnsi="Calibri" w:cs="Calibri"/>
                    </w:rPr>
                  </w:pPr>
                  <w:r>
                    <w:t> </w:t>
                  </w:r>
                </w:p>
              </w:tc>
              <w:tc>
                <w:tcPr>
                  <w:tcW w:w="0" w:type="auto"/>
                  <w:vAlign w:val="center"/>
                  <w:hideMark/>
                </w:tcPr>
                <w:p w14:paraId="414CC454" w14:textId="77777777" w:rsidR="00850B21" w:rsidRDefault="00850B21" w:rsidP="002C0438">
                  <w:pPr>
                    <w:jc w:val="right"/>
                    <w:rPr>
                      <w:rFonts w:ascii="Calibri" w:hAnsi="Calibri" w:cs="Calibri"/>
                    </w:rPr>
                  </w:pPr>
                  <w:r>
                    <w:rPr>
                      <w:rFonts w:ascii="Arial" w:hAnsi="Arial" w:cs="Arial"/>
                      <w:noProof/>
                      <w:color w:val="0000FF"/>
                      <w:sz w:val="20"/>
                      <w:szCs w:val="20"/>
                    </w:rPr>
                    <w:drawing>
                      <wp:inline distT="0" distB="0" distL="0" distR="0" wp14:anchorId="2415C2F6" wp14:editId="71E51FBF">
                        <wp:extent cx="204470" cy="204470"/>
                        <wp:effectExtent l="0" t="0" r="5080" b="508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Pr>
                      <w:rFonts w:ascii="Arial" w:hAnsi="Arial" w:cs="Arial"/>
                      <w:noProof/>
                      <w:color w:val="0000FF"/>
                      <w:sz w:val="20"/>
                      <w:szCs w:val="20"/>
                    </w:rPr>
                    <w:drawing>
                      <wp:inline distT="0" distB="0" distL="0" distR="0" wp14:anchorId="7DFFCE0E" wp14:editId="5990F009">
                        <wp:extent cx="204470" cy="204470"/>
                        <wp:effectExtent l="0" t="0" r="5080" b="508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p>
              </w:tc>
            </w:tr>
          </w:tbl>
          <w:p w14:paraId="64FB2ADF" w14:textId="77777777" w:rsidR="00850B21" w:rsidRDefault="00E21F24" w:rsidP="002C0438">
            <w:pPr>
              <w:jc w:val="center"/>
              <w:rPr>
                <w:rFonts w:ascii="Arial" w:hAnsi="Arial" w:cs="Arial"/>
                <w:color w:val="000000"/>
                <w:sz w:val="20"/>
                <w:szCs w:val="20"/>
              </w:rPr>
            </w:pPr>
            <w:r>
              <w:rPr>
                <w:rFonts w:ascii="Arial" w:hAnsi="Arial" w:cs="Arial"/>
                <w:color w:val="000000"/>
                <w:sz w:val="20"/>
                <w:szCs w:val="20"/>
              </w:rPr>
              <w:pict w14:anchorId="432615B2">
                <v:rect id="_x0000_i1026" style="width:468pt;height:1.5pt" o:hralign="center" o:hrstd="t" o:hrnoshade="t" o:hr="t" fillcolor="black" stroked="f"/>
              </w:pict>
            </w:r>
          </w:p>
          <w:p w14:paraId="12A89431" w14:textId="77777777" w:rsidR="00850B21" w:rsidRDefault="00850B21" w:rsidP="002C0438">
            <w:pPr>
              <w:spacing w:before="75"/>
              <w:rPr>
                <w:rFonts w:ascii="Calibri" w:hAnsi="Calibri" w:cs="Calibri"/>
              </w:rPr>
            </w:pPr>
            <w:r>
              <w:rPr>
                <w:rFonts w:ascii="Tahoma" w:hAnsi="Tahoma" w:cs="Tahoma"/>
                <w:color w:val="000000"/>
                <w:sz w:val="16"/>
                <w:szCs w:val="16"/>
              </w:rPr>
              <w:t>Copyright © Easy Info Solutions International, India</w:t>
            </w:r>
          </w:p>
        </w:tc>
      </w:tr>
    </w:tbl>
    <w:p w14:paraId="73510093" w14:textId="77777777" w:rsidR="00850B21" w:rsidRDefault="00850B21" w:rsidP="00850B21">
      <w:pPr>
        <w:shd w:val="clear" w:color="auto" w:fill="FFFFFF"/>
        <w:jc w:val="both"/>
        <w:rPr>
          <w:rFonts w:ascii="Calibri" w:hAnsi="Calibri" w:cs="Calibri"/>
          <w:color w:val="000000"/>
        </w:rPr>
      </w:pPr>
      <w:r>
        <w:rPr>
          <w:color w:val="000000"/>
          <w:sz w:val="27"/>
          <w:szCs w:val="27"/>
        </w:rPr>
        <w:t> </w:t>
      </w:r>
    </w:p>
    <w:p w14:paraId="058FF1F4" w14:textId="77777777" w:rsidR="00850B21" w:rsidRPr="00A629B2" w:rsidRDefault="00850B21" w:rsidP="00850B21"/>
    <w:p w14:paraId="6236BFB3" w14:textId="77777777" w:rsidR="003A6D3F" w:rsidRDefault="003A6D3F"/>
    <w:sectPr w:rsidR="003A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21"/>
    <w:rsid w:val="000C4A7E"/>
    <w:rsid w:val="003A6D3F"/>
    <w:rsid w:val="00850B21"/>
    <w:rsid w:val="00C130D3"/>
    <w:rsid w:val="00E2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EDE7"/>
  <w15:chartTrackingRefBased/>
  <w15:docId w15:val="{83D2D644-AE02-4BD8-B67E-815D69BF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21"/>
  </w:style>
  <w:style w:type="paragraph" w:styleId="Heading2">
    <w:name w:val="heading 2"/>
    <w:basedOn w:val="Normal"/>
    <w:next w:val="Normal"/>
    <w:link w:val="Heading2Char"/>
    <w:uiPriority w:val="9"/>
    <w:semiHidden/>
    <w:unhideWhenUsed/>
    <w:qFormat/>
    <w:rsid w:val="00850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0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50B21"/>
    <w:rPr>
      <w:color w:val="0000FF"/>
      <w:u w:val="single"/>
    </w:rPr>
  </w:style>
  <w:style w:type="paragraph" w:styleId="NormalWeb">
    <w:name w:val="Normal (Web)"/>
    <w:basedOn w:val="Normal"/>
    <w:uiPriority w:val="99"/>
    <w:semiHidden/>
    <w:unhideWhenUsed/>
    <w:rsid w:val="00850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21F24"/>
    <w:rPr>
      <w:color w:val="954F72" w:themeColor="followedHyperlink"/>
      <w:u w:val="single"/>
    </w:rPr>
  </w:style>
  <w:style w:type="paragraph" w:styleId="Subtitle">
    <w:name w:val="Subtitle"/>
    <w:basedOn w:val="Normal"/>
    <w:next w:val="Normal"/>
    <w:link w:val="SubtitleChar"/>
    <w:uiPriority w:val="11"/>
    <w:qFormat/>
    <w:rsid w:val="00E21F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1F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file:///E:\Easy%20Publish%20Prime(Live)%20-%20Today\Help\new.htm" TargetMode="External"/><Relationship Id="rId10" Type="http://schemas.openxmlformats.org/officeDocument/2006/relationships/theme" Target="theme/theme1.xml"/><Relationship Id="rId4" Type="http://schemas.openxmlformats.org/officeDocument/2006/relationships/hyperlink" Target="file:///E:\Easy%20Publish%20Prime(Live)%20-%20Today\Help\company.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Mathuria</dc:creator>
  <cp:keywords/>
  <dc:description/>
  <cp:lastModifiedBy>Manoj Kumar Mathuria</cp:lastModifiedBy>
  <cp:revision>3</cp:revision>
  <dcterms:created xsi:type="dcterms:W3CDTF">2022-02-20T20:24:00Z</dcterms:created>
  <dcterms:modified xsi:type="dcterms:W3CDTF">2022-03-01T17:50:00Z</dcterms:modified>
</cp:coreProperties>
</file>