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749F" w14:textId="71B1A8EC" w:rsidR="00403FF1" w:rsidRPr="004621B6" w:rsidRDefault="00403FF1" w:rsidP="00276046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sz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lang w:eastAsia="en-IN"/>
        </w:rPr>
        <w:t xml:space="preserve">Procure to Pay </w:t>
      </w:r>
      <w:r>
        <w:rPr>
          <w:rFonts w:ascii="Times New Roman" w:eastAsia="Times New Roman" w:hAnsi="Times New Roman" w:cs="Times New Roman"/>
          <w:b/>
          <w:bCs/>
          <w:sz w:val="40"/>
          <w:lang w:eastAsia="en-IN"/>
        </w:rPr>
        <w:t>Return</w:t>
      </w:r>
      <w:r>
        <w:rPr>
          <w:rFonts w:ascii="Times New Roman" w:eastAsia="Times New Roman" w:hAnsi="Times New Roman" w:cs="Times New Roman"/>
          <w:b/>
          <w:bCs/>
          <w:sz w:val="40"/>
          <w:lang w:eastAsia="en-IN"/>
        </w:rPr>
        <w:t xml:space="preserve"> Flow</w:t>
      </w:r>
    </w:p>
    <w:p w14:paraId="02E6AE04" w14:textId="77777777" w:rsidR="00403FF1" w:rsidRPr="004621B6" w:rsidRDefault="00403FF1" w:rsidP="00403FF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 w14:anchorId="7AED20CA">
          <v:rect id="_x0000_i1025" style="width:0;height:1.5pt" o:hralign="center" o:hrstd="t" o:hr="t" fillcolor="#a0a0a0" stroked="f"/>
        </w:pict>
      </w:r>
    </w:p>
    <w:p w14:paraId="66AE700B" w14:textId="4E1FF45A" w:rsidR="00403FF1" w:rsidRPr="008648D3" w:rsidRDefault="00403FF1" w:rsidP="00403F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lang w:eastAsia="en-IN"/>
        </w:rPr>
        <w:t>Understanding Vendor Returns, Credits, Inventory Reversal, Accounts Payable Adjustments &amp; Financial Impact</w:t>
      </w:r>
    </w:p>
    <w:p w14:paraId="4D0D56BA" w14:textId="77777777" w:rsidR="00403FF1" w:rsidRPr="004621B6" w:rsidRDefault="00403FF1" w:rsidP="00403FF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 w14:anchorId="760FD88B">
          <v:rect id="_x0000_i1026" style="width:0;height:1.5pt" o:hralign="center" o:hrstd="t" o:hr="t" fillcolor="#a0a0a0" stroked="f"/>
        </w:pict>
      </w:r>
    </w:p>
    <w:p w14:paraId="13C4EA4D" w14:textId="6147B9A3" w:rsidR="00403FF1" w:rsidRDefault="00403FF1" w:rsidP="00403F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lang w:eastAsia="en-IN"/>
        </w:rPr>
        <w:t>Accounts PAYABLE Adjustments &amp; Financial Impact</w:t>
      </w:r>
      <w:r w:rsidRPr="004621B6">
        <w:rPr>
          <w:rFonts w:ascii="Times New Roman" w:eastAsia="Times New Roman" w:hAnsi="Times New Roman" w:cs="Times New Roman"/>
          <w:sz w:val="32"/>
          <w:lang w:eastAsia="en-IN"/>
        </w:rPr>
        <w:br/>
      </w:r>
      <w:r w:rsidRPr="00184BB7">
        <w:rPr>
          <w:rFonts w:ascii="Times New Roman" w:eastAsia="Times New Roman" w:hAnsi="Times New Roman" w:cs="Times New Roman"/>
          <w:b/>
          <w:bCs/>
          <w:sz w:val="40"/>
          <w:lang w:eastAsia="en-IN"/>
        </w:rPr>
        <w:t xml:space="preserve">Weekly Learning Series – Week </w:t>
      </w:r>
      <w:r>
        <w:rPr>
          <w:rFonts w:ascii="Times New Roman" w:eastAsia="Times New Roman" w:hAnsi="Times New Roman" w:cs="Times New Roman"/>
          <w:b/>
          <w:bCs/>
          <w:sz w:val="40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40"/>
          <w:lang w:eastAsia="en-IN"/>
        </w:rPr>
        <w:t>3</w:t>
      </w:r>
    </w:p>
    <w:p w14:paraId="0C4CC55B" w14:textId="2B3CFAD1" w:rsidR="0072535A" w:rsidRPr="001F6F0C" w:rsidRDefault="0072535A" w:rsidP="00403F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 w14:anchorId="783BDA92">
          <v:rect id="_x0000_i1032" style="width:0;height:1.5pt" o:hralign="center" o:hrstd="t" o:hr="t" fillcolor="#a0a0a0" stroked="f"/>
        </w:pict>
      </w:r>
    </w:p>
    <w:p w14:paraId="045D3F74" w14:textId="55C74F13" w:rsidR="00403FF1" w:rsidRPr="004621B6" w:rsidRDefault="00F52AB3" w:rsidP="00403F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F52AB3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5A317626" wp14:editId="030EB303">
            <wp:extent cx="6332220" cy="5318760"/>
            <wp:effectExtent l="19050" t="19050" r="11430" b="15240"/>
            <wp:docPr id="151233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1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187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C80C21" w14:textId="77777777" w:rsidR="001622BF" w:rsidRPr="00E14990" w:rsidRDefault="00000000">
      <w:pPr>
        <w:pStyle w:val="Heading1"/>
        <w:rPr>
          <w:rFonts w:cstheme="majorHAnsi"/>
          <w:sz w:val="32"/>
          <w:szCs w:val="32"/>
        </w:rPr>
      </w:pPr>
      <w:r w:rsidRPr="00E14990">
        <w:rPr>
          <w:rFonts w:cstheme="majorHAnsi"/>
          <w:sz w:val="32"/>
          <w:szCs w:val="32"/>
        </w:rPr>
        <w:lastRenderedPageBreak/>
        <w:t>1. Introduction</w:t>
      </w:r>
    </w:p>
    <w:p w14:paraId="23B693C6" w14:textId="77777777" w:rsid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 xml:space="preserve">The Procure-to-Pay (P2P) Return Flow in NetSuite governs how organizations return goods back to vendors after procurement has already occurred. </w:t>
      </w:r>
    </w:p>
    <w:p w14:paraId="4C861638" w14:textId="2604DD9D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This lifecycle manages inventory reversals, vendor credits, liability adjustments, and financial reconciliation.</w:t>
      </w:r>
    </w:p>
    <w:p w14:paraId="4F0F4014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The return lifecycle becomes necessary when organizations encounter situations such as:</w:t>
      </w:r>
    </w:p>
    <w:p w14:paraId="171A2206" w14:textId="77777777" w:rsidR="001622BF" w:rsidRPr="00E14990" w:rsidRDefault="00000000" w:rsidP="00756C57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damaged inventory received from vendors,</w:t>
      </w:r>
    </w:p>
    <w:p w14:paraId="60980317" w14:textId="77777777" w:rsidR="001622BF" w:rsidRPr="00E14990" w:rsidRDefault="00000000" w:rsidP="00756C57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incorrect item shipments,</w:t>
      </w:r>
    </w:p>
    <w:p w14:paraId="42BB6B10" w14:textId="77777777" w:rsidR="001622BF" w:rsidRPr="00E14990" w:rsidRDefault="00000000" w:rsidP="00756C57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quality failures during inspection,</w:t>
      </w:r>
    </w:p>
    <w:p w14:paraId="2B071942" w14:textId="77777777" w:rsidR="001622BF" w:rsidRPr="00E14990" w:rsidRDefault="00000000" w:rsidP="00756C57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over-delivery of items,</w:t>
      </w:r>
    </w:p>
    <w:p w14:paraId="4A60C7A7" w14:textId="77777777" w:rsidR="001622BF" w:rsidRPr="00E14990" w:rsidRDefault="00000000" w:rsidP="00756C57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pricing disputes,</w:t>
      </w:r>
    </w:p>
    <w:p w14:paraId="7DD820DD" w14:textId="77777777" w:rsidR="001622BF" w:rsidRPr="00E14990" w:rsidRDefault="00000000" w:rsidP="00756C57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or warranty replacement scenarios.</w:t>
      </w:r>
    </w:p>
    <w:p w14:paraId="6771BE43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Unlike the forward Procure-to-Pay flow, return architecture reverses inventory ownership and financial liability. Humans spend millions implementing procurement systems and then immediately need another system explaining how to undo procurement. Civilization remains consistent.</w:t>
      </w:r>
    </w:p>
    <w:p w14:paraId="119CF379" w14:textId="77DA6102" w:rsidR="001622BF" w:rsidRPr="00434FC1" w:rsidRDefault="00000000">
      <w:pPr>
        <w:pStyle w:val="Heading1"/>
        <w:rPr>
          <w:rFonts w:cstheme="majorHAnsi"/>
          <w:sz w:val="32"/>
          <w:szCs w:val="32"/>
        </w:rPr>
      </w:pPr>
      <w:r w:rsidRPr="00434FC1">
        <w:rPr>
          <w:rFonts w:cstheme="majorHAnsi"/>
          <w:sz w:val="32"/>
          <w:szCs w:val="32"/>
        </w:rPr>
        <w:t xml:space="preserve">2. </w:t>
      </w:r>
      <w:r w:rsidR="00434FC1">
        <w:rPr>
          <w:rFonts w:cstheme="majorHAnsi"/>
          <w:sz w:val="32"/>
          <w:szCs w:val="32"/>
        </w:rPr>
        <w:t>P2P</w:t>
      </w:r>
      <w:r w:rsidRPr="00434FC1">
        <w:rPr>
          <w:rFonts w:cstheme="majorHAnsi"/>
          <w:sz w:val="32"/>
          <w:szCs w:val="32"/>
        </w:rPr>
        <w:t xml:space="preserve"> Return Architecture</w:t>
      </w:r>
    </w:p>
    <w:p w14:paraId="4D352859" w14:textId="5DB6DAF4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Vendor Return Authorization (VRA) is a non-posting transaction used to track returns back to vendors. The complete vendor return process generally includes four stages:</w:t>
      </w:r>
    </w:p>
    <w:p w14:paraId="0B59AB70" w14:textId="77777777" w:rsidR="001622BF" w:rsidRPr="00E14990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Vendor Return Authorization</w:t>
      </w:r>
    </w:p>
    <w:p w14:paraId="0A1297A5" w14:textId="77777777" w:rsidR="001622BF" w:rsidRPr="00E14990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Approval / Return Validation</w:t>
      </w:r>
    </w:p>
    <w:p w14:paraId="06505203" w14:textId="77777777" w:rsidR="001622BF" w:rsidRPr="00E14990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Item Fulfillment (Shipment to Vendor)</w:t>
      </w:r>
    </w:p>
    <w:p w14:paraId="5266F1FD" w14:textId="77777777" w:rsidR="001622BF" w:rsidRPr="00E14990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Vendor Credit or Refund</w:t>
      </w:r>
    </w:p>
    <w:p w14:paraId="37779A8E" w14:textId="78665364" w:rsidR="00C02B62" w:rsidRDefault="00E21733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</w:t>
      </w:r>
      <w:r w:rsidR="00000000" w:rsidRPr="00E14990">
        <w:rPr>
          <w:rFonts w:asciiTheme="majorHAnsi" w:hAnsiTheme="majorHAnsi" w:cstheme="majorHAnsi"/>
          <w:sz w:val="24"/>
          <w:szCs w:val="24"/>
        </w:rPr>
        <w:t xml:space="preserve">Vendor Return Authorization feature must be enabled </w:t>
      </w:r>
      <w:r w:rsidR="00000000" w:rsidRPr="0032109B">
        <w:rPr>
          <w:rFonts w:asciiTheme="majorHAnsi" w:hAnsiTheme="majorHAnsi" w:cstheme="majorHAnsi"/>
          <w:sz w:val="24"/>
          <w:szCs w:val="24"/>
        </w:rPr>
        <w:t>under</w:t>
      </w:r>
      <w:r w:rsidR="00B77FFC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525E59E4" w14:textId="48992D9C" w:rsidR="001622B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2109B">
        <w:rPr>
          <w:rFonts w:asciiTheme="majorHAnsi" w:hAnsiTheme="majorHAnsi" w:cstheme="majorHAnsi"/>
          <w:b/>
          <w:bCs/>
          <w:sz w:val="24"/>
          <w:szCs w:val="24"/>
        </w:rPr>
        <w:t>Setup &gt; Company &gt; Enable Features.</w:t>
      </w:r>
    </w:p>
    <w:p w14:paraId="164D61AE" w14:textId="77777777" w:rsidR="00BB0A99" w:rsidRDefault="00BB0A99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F3283C0" w14:textId="77777777" w:rsidR="00BB0A99" w:rsidRDefault="00BB0A99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F6117D3" w14:textId="77777777" w:rsidR="00BB0A99" w:rsidRDefault="00BB0A99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1021B47" w14:textId="77777777" w:rsidR="00BB0A99" w:rsidRPr="00E14990" w:rsidRDefault="00BB0A99">
      <w:pPr>
        <w:rPr>
          <w:rFonts w:asciiTheme="majorHAnsi" w:hAnsiTheme="majorHAnsi" w:cstheme="majorHAnsi"/>
          <w:sz w:val="24"/>
          <w:szCs w:val="24"/>
        </w:rPr>
      </w:pPr>
    </w:p>
    <w:p w14:paraId="08AB57A6" w14:textId="71AF5580" w:rsidR="001622BF" w:rsidRDefault="00000000">
      <w:pPr>
        <w:pStyle w:val="Heading1"/>
        <w:rPr>
          <w:rFonts w:cstheme="majorHAnsi"/>
          <w:sz w:val="32"/>
          <w:szCs w:val="32"/>
        </w:rPr>
      </w:pPr>
      <w:r w:rsidRPr="008173D7">
        <w:rPr>
          <w:rFonts w:cstheme="majorHAnsi"/>
          <w:sz w:val="32"/>
          <w:szCs w:val="32"/>
        </w:rPr>
        <w:lastRenderedPageBreak/>
        <w:t>3. End-to-End Vendor Return Lifecycle</w:t>
      </w:r>
    </w:p>
    <w:p w14:paraId="6A9BF0D5" w14:textId="7228AE1D" w:rsidR="00DA6C65" w:rsidRPr="00DA6C65" w:rsidRDefault="00DA6C65" w:rsidP="00DA6C65">
      <w:r>
        <w:rPr>
          <w:noProof/>
        </w:rPr>
        <w:drawing>
          <wp:inline distT="0" distB="0" distL="0" distR="0" wp14:anchorId="61B2D7C1" wp14:editId="10E144B4">
            <wp:extent cx="6332220" cy="4221480"/>
            <wp:effectExtent l="19050" t="19050" r="11430" b="26670"/>
            <wp:docPr id="15999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36B13" w14:textId="77777777" w:rsidR="0015795E" w:rsidRDefault="0015795E">
      <w:pPr>
        <w:pStyle w:val="Heading2"/>
        <w:rPr>
          <w:rFonts w:cstheme="majorHAnsi"/>
          <w:sz w:val="28"/>
          <w:szCs w:val="28"/>
        </w:rPr>
      </w:pPr>
    </w:p>
    <w:p w14:paraId="304E2A49" w14:textId="7B0F350F" w:rsidR="001622BF" w:rsidRPr="008173D7" w:rsidRDefault="00000000">
      <w:pPr>
        <w:pStyle w:val="Heading2"/>
        <w:rPr>
          <w:rFonts w:cstheme="majorHAnsi"/>
          <w:sz w:val="28"/>
          <w:szCs w:val="28"/>
        </w:rPr>
      </w:pPr>
      <w:r w:rsidRPr="008173D7">
        <w:rPr>
          <w:rFonts w:cstheme="majorHAnsi"/>
          <w:sz w:val="28"/>
          <w:szCs w:val="28"/>
        </w:rPr>
        <w:t>Stage 1 — Identify Return Requirement</w:t>
      </w:r>
    </w:p>
    <w:p w14:paraId="41B90816" w14:textId="77777777" w:rsidR="001622BF" w:rsidRPr="00E14990" w:rsidRDefault="00000000" w:rsidP="00756C57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Damaged inventory discovered during receiving</w:t>
      </w:r>
    </w:p>
    <w:p w14:paraId="72781E76" w14:textId="77777777" w:rsidR="001622BF" w:rsidRPr="00E14990" w:rsidRDefault="00000000" w:rsidP="00756C57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Quality inspection failure</w:t>
      </w:r>
    </w:p>
    <w:p w14:paraId="05359958" w14:textId="77777777" w:rsidR="001622BF" w:rsidRPr="00E14990" w:rsidRDefault="00000000" w:rsidP="00756C57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Incorrect vendor shipment</w:t>
      </w:r>
    </w:p>
    <w:p w14:paraId="74487DD6" w14:textId="77777777" w:rsidR="001622BF" w:rsidRPr="00E14990" w:rsidRDefault="00000000" w:rsidP="00756C57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Excess quantity delivered</w:t>
      </w:r>
    </w:p>
    <w:p w14:paraId="1C1075C7" w14:textId="77777777" w:rsidR="001622BF" w:rsidRPr="00E14990" w:rsidRDefault="00000000" w:rsidP="00756C57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Procurement cancellation after receipt</w:t>
      </w:r>
    </w:p>
    <w:p w14:paraId="3E8310A9" w14:textId="77777777" w:rsidR="001622BF" w:rsidRPr="00756C57" w:rsidRDefault="00000000">
      <w:pPr>
        <w:pStyle w:val="Heading2"/>
        <w:rPr>
          <w:rFonts w:cstheme="majorHAnsi"/>
          <w:sz w:val="28"/>
          <w:szCs w:val="28"/>
        </w:rPr>
      </w:pPr>
      <w:r w:rsidRPr="00756C57">
        <w:rPr>
          <w:rFonts w:cstheme="majorHAnsi"/>
          <w:sz w:val="28"/>
          <w:szCs w:val="28"/>
        </w:rPr>
        <w:t>Stage 2 — Create Vendor Return Authorization (VRA)</w:t>
      </w:r>
    </w:p>
    <w:p w14:paraId="4522F42B" w14:textId="77777777" w:rsidR="001622BF" w:rsidRPr="00E14990" w:rsidRDefault="00000000" w:rsidP="00756C57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Non-posting transaction</w:t>
      </w:r>
    </w:p>
    <w:p w14:paraId="68FDE81D" w14:textId="77777777" w:rsidR="001622BF" w:rsidRPr="00E14990" w:rsidRDefault="00000000" w:rsidP="00756C57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Tracks return intent</w:t>
      </w:r>
    </w:p>
    <w:p w14:paraId="6FBEA036" w14:textId="77777777" w:rsidR="001622BF" w:rsidRPr="00E14990" w:rsidRDefault="00000000" w:rsidP="00756C57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Links returned items to original procurement</w:t>
      </w:r>
    </w:p>
    <w:p w14:paraId="7F15253C" w14:textId="77777777" w:rsidR="001622BF" w:rsidRPr="00E14990" w:rsidRDefault="00000000" w:rsidP="00756C57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Captures quantities, reasons, and vendor references</w:t>
      </w:r>
    </w:p>
    <w:p w14:paraId="6942651B" w14:textId="77777777" w:rsidR="001622BF" w:rsidRPr="00E14990" w:rsidRDefault="00000000" w:rsidP="00756C57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Supports approval workflows</w:t>
      </w:r>
    </w:p>
    <w:p w14:paraId="332DB5D2" w14:textId="77777777" w:rsidR="001622BF" w:rsidRPr="00756C57" w:rsidRDefault="00000000">
      <w:pPr>
        <w:pStyle w:val="Heading2"/>
        <w:rPr>
          <w:rFonts w:cstheme="majorHAnsi"/>
          <w:sz w:val="28"/>
          <w:szCs w:val="28"/>
        </w:rPr>
      </w:pPr>
      <w:r w:rsidRPr="00756C57">
        <w:rPr>
          <w:rFonts w:cstheme="majorHAnsi"/>
          <w:sz w:val="28"/>
          <w:szCs w:val="28"/>
        </w:rPr>
        <w:lastRenderedPageBreak/>
        <w:t>Stage 3 — Approve Vendor Return</w:t>
      </w:r>
    </w:p>
    <w:p w14:paraId="7BA4FA2C" w14:textId="77777777" w:rsidR="001622BF" w:rsidRPr="00E14990" w:rsidRDefault="00000000" w:rsidP="00756C57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Manager or procurement approval</w:t>
      </w:r>
    </w:p>
    <w:p w14:paraId="031E75BB" w14:textId="77777777" w:rsidR="001622BF" w:rsidRPr="00E14990" w:rsidRDefault="00000000" w:rsidP="00756C57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Validation against original PO and receipt</w:t>
      </w:r>
    </w:p>
    <w:p w14:paraId="42973145" w14:textId="77777777" w:rsidR="001622BF" w:rsidRPr="00E14990" w:rsidRDefault="00000000" w:rsidP="00756C57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Segregation-of-duty enforcement</w:t>
      </w:r>
    </w:p>
    <w:p w14:paraId="3D49EF99" w14:textId="77777777" w:rsidR="001622BF" w:rsidRPr="00E14990" w:rsidRDefault="00000000" w:rsidP="00756C57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Fraud prevention controls</w:t>
      </w:r>
    </w:p>
    <w:p w14:paraId="58798EA8" w14:textId="77777777" w:rsidR="001622BF" w:rsidRPr="00756C57" w:rsidRDefault="00000000">
      <w:pPr>
        <w:pStyle w:val="Heading2"/>
        <w:rPr>
          <w:rFonts w:cstheme="majorHAnsi"/>
          <w:sz w:val="28"/>
          <w:szCs w:val="28"/>
        </w:rPr>
      </w:pPr>
      <w:r w:rsidRPr="00756C57">
        <w:rPr>
          <w:rFonts w:cstheme="majorHAnsi"/>
          <w:sz w:val="28"/>
          <w:szCs w:val="28"/>
        </w:rPr>
        <w:t>Stage 4 — Ship Items Back to Vendor</w:t>
      </w:r>
    </w:p>
    <w:p w14:paraId="4A62A736" w14:textId="77777777" w:rsidR="001622BF" w:rsidRPr="00E14990" w:rsidRDefault="00000000" w:rsidP="00756C57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Inventory leaves organizational ownership</w:t>
      </w:r>
    </w:p>
    <w:p w14:paraId="45B596D6" w14:textId="77777777" w:rsidR="001622BF" w:rsidRPr="00E14990" w:rsidRDefault="00000000" w:rsidP="00756C57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Item Fulfillment transaction generated</w:t>
      </w:r>
    </w:p>
    <w:p w14:paraId="62686FE0" w14:textId="77777777" w:rsidR="001622BF" w:rsidRPr="00E14990" w:rsidRDefault="00000000" w:rsidP="00756C57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Inventory asset reduced</w:t>
      </w:r>
    </w:p>
    <w:p w14:paraId="5B98BFF0" w14:textId="77777777" w:rsidR="001622BF" w:rsidRPr="00E14990" w:rsidRDefault="00000000" w:rsidP="00756C57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Temporary return accrual may be created</w:t>
      </w:r>
    </w:p>
    <w:p w14:paraId="0E0832AE" w14:textId="77777777" w:rsidR="001622BF" w:rsidRPr="00756C57" w:rsidRDefault="00000000">
      <w:pPr>
        <w:pStyle w:val="Heading2"/>
        <w:rPr>
          <w:rFonts w:cstheme="majorHAnsi"/>
          <w:sz w:val="28"/>
          <w:szCs w:val="28"/>
        </w:rPr>
      </w:pPr>
      <w:r w:rsidRPr="00756C57">
        <w:rPr>
          <w:rFonts w:cstheme="majorHAnsi"/>
          <w:sz w:val="28"/>
          <w:szCs w:val="28"/>
        </w:rPr>
        <w:t>Stage 5 — Receive Vendor Credit</w:t>
      </w:r>
    </w:p>
    <w:p w14:paraId="6B8D048A" w14:textId="77777777" w:rsidR="001622BF" w:rsidRPr="00E14990" w:rsidRDefault="00000000" w:rsidP="00756C57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Vendor issues refund or credit memo</w:t>
      </w:r>
    </w:p>
    <w:p w14:paraId="1BF41F57" w14:textId="77777777" w:rsidR="001622BF" w:rsidRPr="00E14990" w:rsidRDefault="00000000" w:rsidP="00756C57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Accounts Payable liability adjusted</w:t>
      </w:r>
    </w:p>
    <w:p w14:paraId="7F631429" w14:textId="77777777" w:rsidR="001622BF" w:rsidRPr="00E14990" w:rsidRDefault="00000000" w:rsidP="00756C57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Return accrual cleared</w:t>
      </w:r>
    </w:p>
    <w:p w14:paraId="170954A5" w14:textId="77777777" w:rsidR="001622BF" w:rsidRDefault="00000000" w:rsidP="00756C57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Financial reconciliation completed</w:t>
      </w:r>
    </w:p>
    <w:p w14:paraId="6AB3C6CF" w14:textId="77777777" w:rsidR="00ED3E67" w:rsidRDefault="00ED3E67" w:rsidP="00ED3E6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5C00F935" w14:textId="77777777" w:rsidR="001622BF" w:rsidRPr="00ED3E67" w:rsidRDefault="00000000">
      <w:pPr>
        <w:pStyle w:val="Heading1"/>
        <w:rPr>
          <w:rFonts w:cstheme="majorHAnsi"/>
          <w:sz w:val="32"/>
          <w:szCs w:val="32"/>
        </w:rPr>
      </w:pPr>
      <w:r w:rsidRPr="00ED3E67">
        <w:rPr>
          <w:rFonts w:cstheme="majorHAnsi"/>
          <w:sz w:val="32"/>
          <w:szCs w:val="32"/>
        </w:rPr>
        <w:t>4. Vendor Return Authorization (VRA)</w:t>
      </w:r>
    </w:p>
    <w:p w14:paraId="2C655A18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Vendor Return Authorization is the foundational control document for the return process.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4542"/>
      </w:tblGrid>
      <w:tr w:rsidR="001622BF" w:rsidRPr="00E14990" w14:paraId="3A72F26E" w14:textId="77777777" w:rsidTr="003C647A">
        <w:trPr>
          <w:trHeight w:val="556"/>
          <w:jc w:val="center"/>
        </w:trPr>
        <w:tc>
          <w:tcPr>
            <w:tcW w:w="4542" w:type="dxa"/>
          </w:tcPr>
          <w:p w14:paraId="473E1D84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923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Behavior</w:t>
            </w:r>
          </w:p>
        </w:tc>
        <w:tc>
          <w:tcPr>
            <w:tcW w:w="4542" w:type="dxa"/>
          </w:tcPr>
          <w:p w14:paraId="34FF1FC7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923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1622BF" w:rsidRPr="00E14990" w14:paraId="07624031" w14:textId="77777777" w:rsidTr="003C647A">
        <w:trPr>
          <w:trHeight w:val="482"/>
          <w:jc w:val="center"/>
        </w:trPr>
        <w:tc>
          <w:tcPr>
            <w:tcW w:w="4542" w:type="dxa"/>
          </w:tcPr>
          <w:p w14:paraId="66CB3755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Posting Behavior</w:t>
            </w:r>
          </w:p>
        </w:tc>
        <w:tc>
          <w:tcPr>
            <w:tcW w:w="4542" w:type="dxa"/>
          </w:tcPr>
          <w:p w14:paraId="1D169BC3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Non-posting</w:t>
            </w:r>
          </w:p>
        </w:tc>
      </w:tr>
      <w:tr w:rsidR="001622BF" w:rsidRPr="00E14990" w14:paraId="3F93095D" w14:textId="77777777" w:rsidTr="003C647A">
        <w:trPr>
          <w:trHeight w:val="494"/>
          <w:jc w:val="center"/>
        </w:trPr>
        <w:tc>
          <w:tcPr>
            <w:tcW w:w="4542" w:type="dxa"/>
          </w:tcPr>
          <w:p w14:paraId="5F453BB1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Purpose</w:t>
            </w:r>
          </w:p>
        </w:tc>
        <w:tc>
          <w:tcPr>
            <w:tcW w:w="4542" w:type="dxa"/>
          </w:tcPr>
          <w:p w14:paraId="7E0FCF5C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Tracks vendor return intent</w:t>
            </w:r>
          </w:p>
        </w:tc>
      </w:tr>
      <w:tr w:rsidR="001622BF" w:rsidRPr="00E14990" w14:paraId="403CD716" w14:textId="77777777" w:rsidTr="003C647A">
        <w:trPr>
          <w:trHeight w:val="494"/>
          <w:jc w:val="center"/>
        </w:trPr>
        <w:tc>
          <w:tcPr>
            <w:tcW w:w="4542" w:type="dxa"/>
          </w:tcPr>
          <w:p w14:paraId="06DB01E4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Inventory Impact</w:t>
            </w:r>
          </w:p>
        </w:tc>
        <w:tc>
          <w:tcPr>
            <w:tcW w:w="4542" w:type="dxa"/>
          </w:tcPr>
          <w:p w14:paraId="1AE437C9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None during authorization</w:t>
            </w:r>
          </w:p>
        </w:tc>
      </w:tr>
      <w:tr w:rsidR="001622BF" w:rsidRPr="00E14990" w14:paraId="11BD911D" w14:textId="77777777" w:rsidTr="003C647A">
        <w:trPr>
          <w:trHeight w:val="494"/>
          <w:jc w:val="center"/>
        </w:trPr>
        <w:tc>
          <w:tcPr>
            <w:tcW w:w="4542" w:type="dxa"/>
          </w:tcPr>
          <w:p w14:paraId="79144240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GL Impact</w:t>
            </w:r>
          </w:p>
        </w:tc>
        <w:tc>
          <w:tcPr>
            <w:tcW w:w="4542" w:type="dxa"/>
          </w:tcPr>
          <w:p w14:paraId="193E9A99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No GL posting</w:t>
            </w:r>
          </w:p>
        </w:tc>
      </w:tr>
      <w:tr w:rsidR="001622BF" w:rsidRPr="00E14990" w14:paraId="5D61AD9F" w14:textId="77777777" w:rsidTr="003C647A">
        <w:trPr>
          <w:trHeight w:val="494"/>
          <w:jc w:val="center"/>
        </w:trPr>
        <w:tc>
          <w:tcPr>
            <w:tcW w:w="4542" w:type="dxa"/>
          </w:tcPr>
          <w:p w14:paraId="3074BB7C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Approval Support</w:t>
            </w:r>
          </w:p>
        </w:tc>
        <w:tc>
          <w:tcPr>
            <w:tcW w:w="4542" w:type="dxa"/>
          </w:tcPr>
          <w:p w14:paraId="0949557F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1622BF" w:rsidRPr="00E14990" w14:paraId="498210B2" w14:textId="77777777" w:rsidTr="003C647A">
        <w:trPr>
          <w:trHeight w:val="494"/>
          <w:jc w:val="center"/>
        </w:trPr>
        <w:tc>
          <w:tcPr>
            <w:tcW w:w="4542" w:type="dxa"/>
          </w:tcPr>
          <w:p w14:paraId="074E875B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Vendor Linkage</w:t>
            </w:r>
          </w:p>
        </w:tc>
        <w:tc>
          <w:tcPr>
            <w:tcW w:w="4542" w:type="dxa"/>
          </w:tcPr>
          <w:p w14:paraId="6AAB5252" w14:textId="77777777" w:rsidR="001622BF" w:rsidRPr="00A923DD" w:rsidRDefault="00000000" w:rsidP="00A923D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923DD">
              <w:rPr>
                <w:rFonts w:asciiTheme="majorHAnsi" w:hAnsiTheme="majorHAnsi" w:cstheme="majorHAnsi"/>
                <w:sz w:val="20"/>
                <w:szCs w:val="20"/>
              </w:rPr>
              <w:t>Can originate from PO or Vendor Bill</w:t>
            </w:r>
          </w:p>
        </w:tc>
      </w:tr>
    </w:tbl>
    <w:p w14:paraId="1DC74EA3" w14:textId="77777777" w:rsidR="001622BF" w:rsidRPr="00E14990" w:rsidRDefault="001622BF">
      <w:pPr>
        <w:rPr>
          <w:rFonts w:asciiTheme="majorHAnsi" w:hAnsiTheme="majorHAnsi" w:cstheme="majorHAnsi"/>
          <w:sz w:val="24"/>
          <w:szCs w:val="24"/>
        </w:rPr>
      </w:pPr>
    </w:p>
    <w:p w14:paraId="0220921E" w14:textId="315AE8D2" w:rsidR="001622BF" w:rsidRDefault="003C647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</w:t>
      </w:r>
      <w:r w:rsidR="00000000" w:rsidRPr="00E14990">
        <w:rPr>
          <w:rFonts w:asciiTheme="majorHAnsi" w:hAnsiTheme="majorHAnsi" w:cstheme="majorHAnsi"/>
          <w:sz w:val="24"/>
          <w:szCs w:val="24"/>
        </w:rPr>
        <w:t xml:space="preserve"> Vendor Return Authorization may be created directly</w:t>
      </w:r>
      <w:r w:rsidR="00D55E03">
        <w:rPr>
          <w:rFonts w:asciiTheme="majorHAnsi" w:hAnsiTheme="majorHAnsi" w:cstheme="majorHAnsi"/>
          <w:sz w:val="24"/>
          <w:szCs w:val="24"/>
        </w:rPr>
        <w:t>(Standalone)</w:t>
      </w:r>
      <w:r w:rsidR="00000000" w:rsidRPr="00E14990">
        <w:rPr>
          <w:rFonts w:asciiTheme="majorHAnsi" w:hAnsiTheme="majorHAnsi" w:cstheme="majorHAnsi"/>
          <w:sz w:val="24"/>
          <w:szCs w:val="24"/>
        </w:rPr>
        <w:t xml:space="preserve"> or from an existing Purchase Order.</w:t>
      </w:r>
    </w:p>
    <w:p w14:paraId="3820B73A" w14:textId="77777777" w:rsidR="00E64BFD" w:rsidRDefault="00E64BFD">
      <w:pPr>
        <w:rPr>
          <w:rFonts w:asciiTheme="majorHAnsi" w:hAnsiTheme="majorHAnsi" w:cstheme="majorHAnsi"/>
          <w:sz w:val="24"/>
          <w:szCs w:val="24"/>
        </w:rPr>
      </w:pPr>
    </w:p>
    <w:p w14:paraId="369246A4" w14:textId="77777777" w:rsidR="001622BF" w:rsidRPr="00D11FA7" w:rsidRDefault="00000000">
      <w:pPr>
        <w:pStyle w:val="Heading1"/>
        <w:rPr>
          <w:rFonts w:cstheme="majorHAnsi"/>
          <w:sz w:val="32"/>
          <w:szCs w:val="32"/>
        </w:rPr>
      </w:pPr>
      <w:r w:rsidRPr="00D11FA7">
        <w:rPr>
          <w:rFonts w:cstheme="majorHAnsi"/>
          <w:sz w:val="32"/>
          <w:szCs w:val="32"/>
        </w:rPr>
        <w:lastRenderedPageBreak/>
        <w:t>5. GL Impact Across Return Lifecycle</w:t>
      </w:r>
    </w:p>
    <w:p w14:paraId="24ACCED5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Financial impact in return architecture occurs only when inventory ownership changes or vendor liabilities are adjusted.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622BF" w:rsidRPr="00E14990" w14:paraId="6392564F" w14:textId="77777777" w:rsidTr="002E70D8">
        <w:trPr>
          <w:jc w:val="center"/>
        </w:trPr>
        <w:tc>
          <w:tcPr>
            <w:tcW w:w="3324" w:type="dxa"/>
          </w:tcPr>
          <w:p w14:paraId="14879647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E70D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3324" w:type="dxa"/>
          </w:tcPr>
          <w:p w14:paraId="309CCD8D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E70D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Posting?</w:t>
            </w:r>
          </w:p>
        </w:tc>
        <w:tc>
          <w:tcPr>
            <w:tcW w:w="3324" w:type="dxa"/>
          </w:tcPr>
          <w:p w14:paraId="0A867710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E70D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Typical Impact</w:t>
            </w:r>
          </w:p>
        </w:tc>
      </w:tr>
      <w:tr w:rsidR="001622BF" w:rsidRPr="00E14990" w14:paraId="1BEBA9BC" w14:textId="77777777" w:rsidTr="002E70D8">
        <w:trPr>
          <w:jc w:val="center"/>
        </w:trPr>
        <w:tc>
          <w:tcPr>
            <w:tcW w:w="3324" w:type="dxa"/>
          </w:tcPr>
          <w:p w14:paraId="00060911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Vendor Return Authorization</w:t>
            </w:r>
          </w:p>
        </w:tc>
        <w:tc>
          <w:tcPr>
            <w:tcW w:w="3324" w:type="dxa"/>
          </w:tcPr>
          <w:p w14:paraId="02968807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3324" w:type="dxa"/>
          </w:tcPr>
          <w:p w14:paraId="63ED2685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No GL impact</w:t>
            </w:r>
          </w:p>
        </w:tc>
      </w:tr>
      <w:tr w:rsidR="001622BF" w:rsidRPr="00E14990" w14:paraId="30E4B274" w14:textId="77777777" w:rsidTr="002E70D8">
        <w:trPr>
          <w:jc w:val="center"/>
        </w:trPr>
        <w:tc>
          <w:tcPr>
            <w:tcW w:w="3324" w:type="dxa"/>
          </w:tcPr>
          <w:p w14:paraId="3ADB4466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Item Fulfillment / Return Shipment</w:t>
            </w:r>
          </w:p>
        </w:tc>
        <w:tc>
          <w:tcPr>
            <w:tcW w:w="3324" w:type="dxa"/>
          </w:tcPr>
          <w:p w14:paraId="08DBD240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  <w:tc>
          <w:tcPr>
            <w:tcW w:w="3324" w:type="dxa"/>
          </w:tcPr>
          <w:p w14:paraId="741DA8E1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Inventory reduction</w:t>
            </w:r>
          </w:p>
        </w:tc>
      </w:tr>
      <w:tr w:rsidR="001622BF" w:rsidRPr="00E14990" w14:paraId="7D23DB4F" w14:textId="77777777" w:rsidTr="002E70D8">
        <w:trPr>
          <w:jc w:val="center"/>
        </w:trPr>
        <w:tc>
          <w:tcPr>
            <w:tcW w:w="3324" w:type="dxa"/>
          </w:tcPr>
          <w:p w14:paraId="509EE993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Vendor Credit</w:t>
            </w:r>
          </w:p>
        </w:tc>
        <w:tc>
          <w:tcPr>
            <w:tcW w:w="3324" w:type="dxa"/>
          </w:tcPr>
          <w:p w14:paraId="7B7399A5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  <w:tc>
          <w:tcPr>
            <w:tcW w:w="3324" w:type="dxa"/>
          </w:tcPr>
          <w:p w14:paraId="1CDA48B4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AP reduction</w:t>
            </w:r>
          </w:p>
        </w:tc>
      </w:tr>
      <w:tr w:rsidR="001622BF" w:rsidRPr="00E14990" w14:paraId="4A02C3AC" w14:textId="77777777" w:rsidTr="002E70D8">
        <w:trPr>
          <w:jc w:val="center"/>
        </w:trPr>
        <w:tc>
          <w:tcPr>
            <w:tcW w:w="3324" w:type="dxa"/>
          </w:tcPr>
          <w:p w14:paraId="63A14F32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Vendor Refund</w:t>
            </w:r>
          </w:p>
        </w:tc>
        <w:tc>
          <w:tcPr>
            <w:tcW w:w="3324" w:type="dxa"/>
          </w:tcPr>
          <w:p w14:paraId="3E6827C7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  <w:tc>
          <w:tcPr>
            <w:tcW w:w="3324" w:type="dxa"/>
          </w:tcPr>
          <w:p w14:paraId="3CCAC560" w14:textId="77777777" w:rsidR="001622BF" w:rsidRPr="002E70D8" w:rsidRDefault="00000000" w:rsidP="002E70D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70D8">
              <w:rPr>
                <w:rFonts w:asciiTheme="majorHAnsi" w:hAnsiTheme="majorHAnsi" w:cstheme="majorHAnsi"/>
                <w:sz w:val="20"/>
                <w:szCs w:val="20"/>
              </w:rPr>
              <w:t>Cash increase / settlement</w:t>
            </w:r>
          </w:p>
        </w:tc>
      </w:tr>
    </w:tbl>
    <w:p w14:paraId="5B8777E8" w14:textId="77777777" w:rsidR="00683DF8" w:rsidRDefault="00683DF8">
      <w:pPr>
        <w:pStyle w:val="Heading2"/>
        <w:rPr>
          <w:rFonts w:cstheme="majorHAnsi"/>
          <w:sz w:val="28"/>
          <w:szCs w:val="28"/>
        </w:rPr>
      </w:pPr>
    </w:p>
    <w:p w14:paraId="5995BF35" w14:textId="173EB3E1" w:rsidR="001622BF" w:rsidRPr="00E64BFD" w:rsidRDefault="00000000">
      <w:pPr>
        <w:pStyle w:val="Heading2"/>
        <w:rPr>
          <w:rFonts w:cstheme="majorHAnsi"/>
          <w:sz w:val="28"/>
          <w:szCs w:val="28"/>
        </w:rPr>
      </w:pPr>
      <w:r w:rsidRPr="00E64BFD">
        <w:rPr>
          <w:rFonts w:cstheme="majorHAnsi"/>
          <w:sz w:val="28"/>
          <w:szCs w:val="28"/>
        </w:rPr>
        <w:t>5.1 Inventory Return GL Impact</w:t>
      </w:r>
    </w:p>
    <w:p w14:paraId="60D53D01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Typical accounting behavior during return shipment:</w:t>
      </w:r>
    </w:p>
    <w:p w14:paraId="6F9226A7" w14:textId="77777777" w:rsidR="001622BF" w:rsidRPr="00E14990" w:rsidRDefault="00000000" w:rsidP="0007740E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Dr Accrued Vendor Returns</w:t>
      </w:r>
    </w:p>
    <w:p w14:paraId="54E1C5F5" w14:textId="77777777" w:rsidR="001622BF" w:rsidRPr="00E14990" w:rsidRDefault="00000000" w:rsidP="0007740E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Cr Inventory Asset</w:t>
      </w:r>
    </w:p>
    <w:p w14:paraId="74743A6B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This reflects that inventory has physically left the organization but vendor credit may not yet be received.</w:t>
      </w:r>
    </w:p>
    <w:p w14:paraId="29F202B9" w14:textId="77777777" w:rsidR="001622BF" w:rsidRPr="0007740E" w:rsidRDefault="00000000">
      <w:pPr>
        <w:pStyle w:val="Heading2"/>
        <w:rPr>
          <w:rFonts w:cstheme="majorHAnsi"/>
          <w:sz w:val="28"/>
          <w:szCs w:val="28"/>
        </w:rPr>
      </w:pPr>
      <w:r w:rsidRPr="0007740E">
        <w:rPr>
          <w:rFonts w:cstheme="majorHAnsi"/>
          <w:sz w:val="28"/>
          <w:szCs w:val="28"/>
        </w:rPr>
        <w:t>5.2 Vendor Credit GL Impact</w:t>
      </w:r>
    </w:p>
    <w:p w14:paraId="445F43C1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Typical Vendor Credit accounting:</w:t>
      </w:r>
    </w:p>
    <w:p w14:paraId="15B72712" w14:textId="77777777" w:rsidR="001622BF" w:rsidRPr="00E14990" w:rsidRDefault="00000000" w:rsidP="0007740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Dr Accounts Payable</w:t>
      </w:r>
    </w:p>
    <w:p w14:paraId="2E629CDB" w14:textId="77777777" w:rsidR="001622BF" w:rsidRPr="00E14990" w:rsidRDefault="00000000" w:rsidP="0007740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Cr Accrued Vendor Returns</w:t>
      </w:r>
    </w:p>
    <w:p w14:paraId="182843B2" w14:textId="77777777" w:rsidR="001622BF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This clears the temporary accrual created during the return shipment stage.</w:t>
      </w:r>
    </w:p>
    <w:p w14:paraId="13424AEE" w14:textId="77777777" w:rsidR="0007740E" w:rsidRDefault="0007740E">
      <w:pPr>
        <w:rPr>
          <w:rFonts w:asciiTheme="majorHAnsi" w:hAnsiTheme="majorHAnsi" w:cstheme="majorHAnsi"/>
          <w:sz w:val="24"/>
          <w:szCs w:val="24"/>
        </w:rPr>
      </w:pPr>
    </w:p>
    <w:p w14:paraId="6E8F53BF" w14:textId="77777777" w:rsidR="0007740E" w:rsidRDefault="0007740E">
      <w:pPr>
        <w:rPr>
          <w:rFonts w:asciiTheme="majorHAnsi" w:hAnsiTheme="majorHAnsi" w:cstheme="majorHAnsi"/>
          <w:sz w:val="24"/>
          <w:szCs w:val="24"/>
        </w:rPr>
      </w:pPr>
    </w:p>
    <w:p w14:paraId="300ABEDE" w14:textId="77777777" w:rsidR="0007740E" w:rsidRDefault="0007740E">
      <w:pPr>
        <w:rPr>
          <w:rFonts w:asciiTheme="majorHAnsi" w:hAnsiTheme="majorHAnsi" w:cstheme="majorHAnsi"/>
          <w:sz w:val="24"/>
          <w:szCs w:val="24"/>
        </w:rPr>
      </w:pPr>
    </w:p>
    <w:p w14:paraId="380D2EFE" w14:textId="77777777" w:rsidR="0007740E" w:rsidRDefault="0007740E">
      <w:pPr>
        <w:rPr>
          <w:rFonts w:asciiTheme="majorHAnsi" w:hAnsiTheme="majorHAnsi" w:cstheme="majorHAnsi"/>
          <w:sz w:val="24"/>
          <w:szCs w:val="24"/>
        </w:rPr>
      </w:pPr>
    </w:p>
    <w:p w14:paraId="1B506210" w14:textId="77777777" w:rsidR="0007740E" w:rsidRDefault="0007740E">
      <w:pPr>
        <w:rPr>
          <w:rFonts w:asciiTheme="majorHAnsi" w:hAnsiTheme="majorHAnsi" w:cstheme="majorHAnsi"/>
          <w:sz w:val="24"/>
          <w:szCs w:val="24"/>
        </w:rPr>
      </w:pPr>
    </w:p>
    <w:p w14:paraId="1708A0D0" w14:textId="77777777" w:rsidR="0007740E" w:rsidRPr="00E14990" w:rsidRDefault="0007740E">
      <w:pPr>
        <w:rPr>
          <w:rFonts w:asciiTheme="majorHAnsi" w:hAnsiTheme="majorHAnsi" w:cstheme="majorHAnsi"/>
          <w:sz w:val="24"/>
          <w:szCs w:val="24"/>
        </w:rPr>
      </w:pPr>
    </w:p>
    <w:p w14:paraId="5BB9B7BD" w14:textId="77777777" w:rsidR="001622BF" w:rsidRPr="0007740E" w:rsidRDefault="00000000">
      <w:pPr>
        <w:pStyle w:val="Heading1"/>
        <w:rPr>
          <w:rFonts w:cstheme="majorHAnsi"/>
          <w:sz w:val="32"/>
          <w:szCs w:val="32"/>
        </w:rPr>
      </w:pPr>
      <w:r w:rsidRPr="0007740E">
        <w:rPr>
          <w:rFonts w:cstheme="majorHAnsi"/>
          <w:sz w:val="32"/>
          <w:szCs w:val="32"/>
        </w:rPr>
        <w:lastRenderedPageBreak/>
        <w:t>6. Approval Architecture &amp; Internal Controls</w:t>
      </w:r>
    </w:p>
    <w:p w14:paraId="7ECAB0B6" w14:textId="77777777" w:rsidR="001622BF" w:rsidRPr="00E14990" w:rsidRDefault="00000000" w:rsidP="0007740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Return approvals based on financial thresholds</w:t>
      </w:r>
    </w:p>
    <w:p w14:paraId="40EA3B44" w14:textId="77777777" w:rsidR="001622BF" w:rsidRPr="00E14990" w:rsidRDefault="00000000" w:rsidP="0007740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Validation against original Purchase Orders</w:t>
      </w:r>
    </w:p>
    <w:p w14:paraId="74F070FF" w14:textId="77777777" w:rsidR="001622BF" w:rsidRPr="00E14990" w:rsidRDefault="00000000" w:rsidP="0007740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Three-way return matching</w:t>
      </w:r>
    </w:p>
    <w:p w14:paraId="472BE9E9" w14:textId="77777777" w:rsidR="001622BF" w:rsidRPr="00E14990" w:rsidRDefault="00000000" w:rsidP="0007740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Duplicate return prevention</w:t>
      </w:r>
    </w:p>
    <w:p w14:paraId="7AB97279" w14:textId="77777777" w:rsidR="001622BF" w:rsidRPr="00E14990" w:rsidRDefault="00000000" w:rsidP="0007740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Warehouse verification before shipment</w:t>
      </w:r>
    </w:p>
    <w:p w14:paraId="37697C33" w14:textId="77777777" w:rsidR="001622BF" w:rsidRPr="00E14990" w:rsidRDefault="00000000" w:rsidP="0007740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Segregation of duties between warehouse, AP, and procurement teams</w:t>
      </w:r>
    </w:p>
    <w:p w14:paraId="64CE8E43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Because allowing one person to create vendors, receive inventory, authorize returns, and issue credits is how internal audit teams acquire job security.</w:t>
      </w:r>
    </w:p>
    <w:p w14:paraId="63348318" w14:textId="77777777" w:rsidR="001622BF" w:rsidRPr="0007740E" w:rsidRDefault="00000000">
      <w:pPr>
        <w:pStyle w:val="Heading1"/>
        <w:rPr>
          <w:rFonts w:cstheme="majorHAnsi"/>
          <w:sz w:val="32"/>
          <w:szCs w:val="32"/>
        </w:rPr>
      </w:pPr>
      <w:r w:rsidRPr="0007740E">
        <w:rPr>
          <w:rFonts w:cstheme="majorHAnsi"/>
          <w:sz w:val="32"/>
          <w:szCs w:val="32"/>
        </w:rPr>
        <w:t>7. Real-World Failure Scenarios</w:t>
      </w:r>
    </w:p>
    <w:p w14:paraId="709618FE" w14:textId="77777777" w:rsidR="001622BF" w:rsidRPr="0007740E" w:rsidRDefault="00000000">
      <w:pPr>
        <w:pStyle w:val="Heading2"/>
        <w:rPr>
          <w:rFonts w:cstheme="majorHAnsi"/>
          <w:sz w:val="28"/>
          <w:szCs w:val="28"/>
        </w:rPr>
      </w:pPr>
      <w:r w:rsidRPr="0007740E">
        <w:rPr>
          <w:rFonts w:cstheme="majorHAnsi"/>
          <w:sz w:val="28"/>
          <w:szCs w:val="28"/>
        </w:rPr>
        <w:t>Scenario 1 — Vendor Credit Never Received</w:t>
      </w:r>
    </w:p>
    <w:p w14:paraId="4949A9FB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Inventory removed but vendor credit missing creates unreconciled accrual balances.</w:t>
      </w:r>
    </w:p>
    <w:p w14:paraId="2A0AD6A1" w14:textId="77777777" w:rsidR="001622BF" w:rsidRPr="0007740E" w:rsidRDefault="00000000">
      <w:pPr>
        <w:pStyle w:val="Heading2"/>
        <w:rPr>
          <w:rFonts w:cstheme="majorHAnsi"/>
          <w:sz w:val="28"/>
          <w:szCs w:val="28"/>
        </w:rPr>
      </w:pPr>
      <w:r w:rsidRPr="0007740E">
        <w:rPr>
          <w:rFonts w:cstheme="majorHAnsi"/>
          <w:sz w:val="28"/>
          <w:szCs w:val="28"/>
        </w:rPr>
        <w:t>Scenario 2 — Duplicate Return Shipment</w:t>
      </w:r>
    </w:p>
    <w:p w14:paraId="7CD8AD29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Same inventory returned twice due to poor warehouse controls.</w:t>
      </w:r>
    </w:p>
    <w:p w14:paraId="1F77F376" w14:textId="77777777" w:rsidR="001622BF" w:rsidRPr="0007740E" w:rsidRDefault="00000000">
      <w:pPr>
        <w:pStyle w:val="Heading2"/>
        <w:rPr>
          <w:rFonts w:cstheme="majorHAnsi"/>
          <w:sz w:val="28"/>
          <w:szCs w:val="28"/>
        </w:rPr>
      </w:pPr>
      <w:r w:rsidRPr="0007740E">
        <w:rPr>
          <w:rFonts w:cstheme="majorHAnsi"/>
          <w:sz w:val="28"/>
          <w:szCs w:val="28"/>
        </w:rPr>
        <w:t>Scenario 3 — Return Without Original PO Linkage</w:t>
      </w:r>
    </w:p>
    <w:p w14:paraId="57C3A931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Audit trail weakens and procurement reconciliation becomes unreliable.</w:t>
      </w:r>
    </w:p>
    <w:p w14:paraId="083EA6E7" w14:textId="77777777" w:rsidR="001622BF" w:rsidRPr="0007740E" w:rsidRDefault="00000000">
      <w:pPr>
        <w:pStyle w:val="Heading2"/>
        <w:rPr>
          <w:rFonts w:cstheme="majorHAnsi"/>
          <w:sz w:val="28"/>
          <w:szCs w:val="28"/>
        </w:rPr>
      </w:pPr>
      <w:r w:rsidRPr="0007740E">
        <w:rPr>
          <w:rFonts w:cstheme="majorHAnsi"/>
          <w:sz w:val="28"/>
          <w:szCs w:val="28"/>
        </w:rPr>
        <w:t>Scenario 4 — Closed Period Return Processing</w:t>
      </w:r>
    </w:p>
    <w:p w14:paraId="6695A72F" w14:textId="77777777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Return transactions may fail or shift into incorrect accounting periods.</w:t>
      </w:r>
    </w:p>
    <w:p w14:paraId="163BA9EB" w14:textId="77777777" w:rsidR="001622BF" w:rsidRPr="0007740E" w:rsidRDefault="00000000">
      <w:pPr>
        <w:pStyle w:val="Heading1"/>
        <w:rPr>
          <w:rFonts w:cstheme="majorHAnsi"/>
          <w:sz w:val="32"/>
          <w:szCs w:val="32"/>
        </w:rPr>
      </w:pPr>
      <w:r w:rsidRPr="0007740E">
        <w:rPr>
          <w:rFonts w:cstheme="majorHAnsi"/>
          <w:sz w:val="32"/>
          <w:szCs w:val="32"/>
        </w:rPr>
        <w:t>8. Advanced Architectural Considerations</w:t>
      </w:r>
    </w:p>
    <w:p w14:paraId="09F248CF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OneWorld subsidiary restrictions</w:t>
      </w:r>
    </w:p>
    <w:p w14:paraId="2EDFD5A9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Multi-Book accounting behavior</w:t>
      </w:r>
    </w:p>
    <w:p w14:paraId="5C149187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Serialized and lot-numbered item returns</w:t>
      </w:r>
    </w:p>
    <w:p w14:paraId="1C1FDFC8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Drop-ship return processing</w:t>
      </w:r>
    </w:p>
    <w:p w14:paraId="0DD8B92D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Intercompany procurement returns</w:t>
      </w:r>
    </w:p>
    <w:p w14:paraId="4E44ABB1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Landed cost reversal handling</w:t>
      </w:r>
    </w:p>
    <w:p w14:paraId="3B7B95EB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Workflow-driven return approvals</w:t>
      </w:r>
    </w:p>
    <w:p w14:paraId="0F333270" w14:textId="77777777" w:rsidR="001622BF" w:rsidRPr="0007740E" w:rsidRDefault="00000000" w:rsidP="0007740E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07740E">
        <w:rPr>
          <w:sz w:val="24"/>
          <w:szCs w:val="24"/>
        </w:rPr>
        <w:t>Vendor replacement vs vendor credit handling</w:t>
      </w:r>
    </w:p>
    <w:p w14:paraId="0D27959C" w14:textId="77777777" w:rsidR="0007740E" w:rsidRDefault="0007740E" w:rsidP="0007740E">
      <w:pPr>
        <w:pStyle w:val="ListNumber"/>
        <w:numPr>
          <w:ilvl w:val="0"/>
          <w:numId w:val="0"/>
        </w:numPr>
        <w:ind w:left="360" w:hanging="360"/>
      </w:pPr>
    </w:p>
    <w:p w14:paraId="0B1AFA65" w14:textId="77777777" w:rsidR="0007740E" w:rsidRPr="00E14990" w:rsidRDefault="0007740E" w:rsidP="0007740E">
      <w:pPr>
        <w:pStyle w:val="ListNumber"/>
        <w:numPr>
          <w:ilvl w:val="0"/>
          <w:numId w:val="0"/>
        </w:numPr>
        <w:ind w:left="360" w:hanging="360"/>
      </w:pPr>
    </w:p>
    <w:p w14:paraId="3A22B2E7" w14:textId="77777777" w:rsidR="001622BF" w:rsidRPr="0007740E" w:rsidRDefault="00000000">
      <w:pPr>
        <w:pStyle w:val="Heading1"/>
        <w:rPr>
          <w:rFonts w:cstheme="majorHAnsi"/>
          <w:sz w:val="32"/>
          <w:szCs w:val="32"/>
        </w:rPr>
      </w:pPr>
      <w:r w:rsidRPr="0007740E">
        <w:rPr>
          <w:rFonts w:cstheme="majorHAnsi"/>
          <w:sz w:val="32"/>
          <w:szCs w:val="32"/>
        </w:rPr>
        <w:lastRenderedPageBreak/>
        <w:t>9. Architect Insight</w:t>
      </w:r>
    </w:p>
    <w:p w14:paraId="75376615" w14:textId="77777777" w:rsidR="0007740E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 xml:space="preserve">A Purchase Return is not merely an inventory reversal. It is a synchronized operational and financial correction process spanning procurement, warehouse management, accounts payable, and the general ledger. </w:t>
      </w:r>
    </w:p>
    <w:p w14:paraId="603614F1" w14:textId="49C7132C" w:rsidR="001622BF" w:rsidRPr="00E14990" w:rsidRDefault="00000000">
      <w:pPr>
        <w:rPr>
          <w:rFonts w:asciiTheme="majorHAnsi" w:hAnsiTheme="majorHAnsi" w:cstheme="majorHAnsi"/>
          <w:sz w:val="24"/>
          <w:szCs w:val="24"/>
        </w:rPr>
      </w:pPr>
      <w:r w:rsidRPr="00E14990">
        <w:rPr>
          <w:rFonts w:asciiTheme="majorHAnsi" w:hAnsiTheme="majorHAnsi" w:cstheme="majorHAnsi"/>
          <w:sz w:val="24"/>
          <w:szCs w:val="24"/>
        </w:rPr>
        <w:t>The architecture exists to ensure that inventory exits, vendor credits, and financial liabilities remain aligned across reporting periods.</w:t>
      </w:r>
    </w:p>
    <w:p w14:paraId="10F63015" w14:textId="6954316E" w:rsidR="001622BF" w:rsidRDefault="001622BF"/>
    <w:sectPr w:rsidR="001622BF" w:rsidSect="007E6FEC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020" w:right="1134" w:bottom="1020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E34D4" w14:textId="77777777" w:rsidR="00364DD8" w:rsidRDefault="00364DD8" w:rsidP="007E6FEC">
      <w:pPr>
        <w:spacing w:after="0" w:line="240" w:lineRule="auto"/>
      </w:pPr>
      <w:r>
        <w:separator/>
      </w:r>
    </w:p>
  </w:endnote>
  <w:endnote w:type="continuationSeparator" w:id="0">
    <w:p w14:paraId="7563FE81" w14:textId="77777777" w:rsidR="00364DD8" w:rsidRDefault="00364DD8" w:rsidP="007E6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36A36" w14:textId="77777777" w:rsidR="007D0B3F" w:rsidRDefault="007D0B3F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38CF57E8" w14:textId="77777777" w:rsidR="007E6FEC" w:rsidRDefault="007E6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BD491" w14:textId="77777777" w:rsidR="00364DD8" w:rsidRDefault="00364DD8" w:rsidP="007E6FEC">
      <w:pPr>
        <w:spacing w:after="0" w:line="240" w:lineRule="auto"/>
      </w:pPr>
      <w:r>
        <w:separator/>
      </w:r>
    </w:p>
  </w:footnote>
  <w:footnote w:type="continuationSeparator" w:id="0">
    <w:p w14:paraId="5D4EF9EB" w14:textId="77777777" w:rsidR="00364DD8" w:rsidRDefault="00364DD8" w:rsidP="007E6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AD22" w14:textId="66F29F3E" w:rsidR="007E6FEC" w:rsidRDefault="00000000">
    <w:pPr>
      <w:pStyle w:val="Header"/>
    </w:pPr>
    <w:r>
      <w:rPr>
        <w:noProof/>
      </w:rPr>
      <w:pict w14:anchorId="7A3F3C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54985" o:spid="_x0000_s1026" type="#_x0000_t136" style="position:absolute;margin-left:0;margin-top:0;width:492.1pt;height:21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EEK 1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DCFDA" w14:textId="30638794" w:rsidR="007E6FEC" w:rsidRDefault="004C765C">
    <w:pPr>
      <w:pStyle w:val="Header"/>
    </w:pPr>
    <w:r w:rsidRPr="00CA4A55">
      <w:rPr>
        <w:noProof/>
      </w:rPr>
      <w:drawing>
        <wp:inline distT="0" distB="0" distL="0" distR="0" wp14:anchorId="6F3AD0B6" wp14:editId="3E65DA5E">
          <wp:extent cx="1493520" cy="403860"/>
          <wp:effectExtent l="0" t="0" r="0" b="0"/>
          <wp:docPr id="268824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2472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3749" cy="4039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03FF1">
      <w:rPr>
        <w:noProof/>
      </w:rPr>
      <w:t xml:space="preserve">                                                                                           </w:t>
    </w:r>
    <w:r w:rsidR="0022273A" w:rsidRPr="00887CBE">
      <w:rPr>
        <w:noProof/>
      </w:rPr>
      <w:drawing>
        <wp:inline distT="0" distB="0" distL="0" distR="0" wp14:anchorId="5431BA70" wp14:editId="12CA4563">
          <wp:extent cx="1927860" cy="373380"/>
          <wp:effectExtent l="0" t="0" r="0" b="7620"/>
          <wp:docPr id="1473583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58375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28154" cy="373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79D025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54986" o:spid="_x0000_s1027" type="#_x0000_t136" style="position:absolute;margin-left:0;margin-top:0;width:492.1pt;height:21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EEK 1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512F" w14:textId="290B6A97" w:rsidR="007E6FEC" w:rsidRDefault="00000000">
    <w:pPr>
      <w:pStyle w:val="Header"/>
    </w:pPr>
    <w:r>
      <w:rPr>
        <w:noProof/>
      </w:rPr>
      <w:pict w14:anchorId="0B8C86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54984" o:spid="_x0000_s1025" type="#_x0000_t136" style="position:absolute;margin-left:0;margin-top:0;width:492.1pt;height:21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EEK 1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8EADF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A7A82"/>
    <w:multiLevelType w:val="hybridMultilevel"/>
    <w:tmpl w:val="39ACC860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8A633A"/>
    <w:multiLevelType w:val="hybridMultilevel"/>
    <w:tmpl w:val="F3C67DAE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92213"/>
    <w:multiLevelType w:val="hybridMultilevel"/>
    <w:tmpl w:val="CC7A16B4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D05D8"/>
    <w:multiLevelType w:val="hybridMultilevel"/>
    <w:tmpl w:val="D8B04FA8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51973"/>
    <w:multiLevelType w:val="hybridMultilevel"/>
    <w:tmpl w:val="1A160E6E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24F5E"/>
    <w:multiLevelType w:val="hybridMultilevel"/>
    <w:tmpl w:val="43C0838C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E641F"/>
    <w:multiLevelType w:val="hybridMultilevel"/>
    <w:tmpl w:val="7E7CCC66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D5D54"/>
    <w:multiLevelType w:val="hybridMultilevel"/>
    <w:tmpl w:val="5AC842F8"/>
    <w:lvl w:ilvl="0" w:tplc="D0A62B4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75664"/>
    <w:multiLevelType w:val="hybridMultilevel"/>
    <w:tmpl w:val="227C585A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612C5B"/>
    <w:multiLevelType w:val="hybridMultilevel"/>
    <w:tmpl w:val="AC024612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12B29"/>
    <w:multiLevelType w:val="hybridMultilevel"/>
    <w:tmpl w:val="E100425C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026509">
    <w:abstractNumId w:val="8"/>
  </w:num>
  <w:num w:numId="2" w16cid:durableId="272595161">
    <w:abstractNumId w:val="6"/>
  </w:num>
  <w:num w:numId="3" w16cid:durableId="1989050321">
    <w:abstractNumId w:val="5"/>
  </w:num>
  <w:num w:numId="4" w16cid:durableId="1388533788">
    <w:abstractNumId w:val="4"/>
  </w:num>
  <w:num w:numId="5" w16cid:durableId="1311668865">
    <w:abstractNumId w:val="7"/>
  </w:num>
  <w:num w:numId="6" w16cid:durableId="1199004312">
    <w:abstractNumId w:val="3"/>
  </w:num>
  <w:num w:numId="7" w16cid:durableId="217282213">
    <w:abstractNumId w:val="2"/>
  </w:num>
  <w:num w:numId="8" w16cid:durableId="1023483941">
    <w:abstractNumId w:val="1"/>
  </w:num>
  <w:num w:numId="9" w16cid:durableId="1469274982">
    <w:abstractNumId w:val="0"/>
  </w:num>
  <w:num w:numId="10" w16cid:durableId="1691489193">
    <w:abstractNumId w:val="19"/>
  </w:num>
  <w:num w:numId="11" w16cid:durableId="2080323512">
    <w:abstractNumId w:val="15"/>
  </w:num>
  <w:num w:numId="12" w16cid:durableId="1727292046">
    <w:abstractNumId w:val="12"/>
  </w:num>
  <w:num w:numId="13" w16cid:durableId="346905324">
    <w:abstractNumId w:val="18"/>
  </w:num>
  <w:num w:numId="14" w16cid:durableId="1821772244">
    <w:abstractNumId w:val="17"/>
  </w:num>
  <w:num w:numId="15" w16cid:durableId="40174041">
    <w:abstractNumId w:val="9"/>
  </w:num>
  <w:num w:numId="16" w16cid:durableId="1050113783">
    <w:abstractNumId w:val="13"/>
  </w:num>
  <w:num w:numId="17" w16cid:durableId="1999114124">
    <w:abstractNumId w:val="11"/>
  </w:num>
  <w:num w:numId="18" w16cid:durableId="527717572">
    <w:abstractNumId w:val="14"/>
  </w:num>
  <w:num w:numId="19" w16cid:durableId="2099714637">
    <w:abstractNumId w:val="16"/>
  </w:num>
  <w:num w:numId="20" w16cid:durableId="780150079">
    <w:abstractNumId w:val="10"/>
  </w:num>
  <w:num w:numId="21" w16cid:durableId="950285713">
    <w:abstractNumId w:val="7"/>
  </w:num>
  <w:num w:numId="22" w16cid:durableId="690497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40E"/>
    <w:rsid w:val="00134DA9"/>
    <w:rsid w:val="0015074B"/>
    <w:rsid w:val="0015795E"/>
    <w:rsid w:val="001622BF"/>
    <w:rsid w:val="0022273A"/>
    <w:rsid w:val="00276046"/>
    <w:rsid w:val="0029639D"/>
    <w:rsid w:val="002E70D8"/>
    <w:rsid w:val="0032109B"/>
    <w:rsid w:val="00326F90"/>
    <w:rsid w:val="00364DD8"/>
    <w:rsid w:val="00382991"/>
    <w:rsid w:val="003C647A"/>
    <w:rsid w:val="00403FF1"/>
    <w:rsid w:val="00434FC1"/>
    <w:rsid w:val="004C765C"/>
    <w:rsid w:val="005B2E58"/>
    <w:rsid w:val="00683DF8"/>
    <w:rsid w:val="00723F99"/>
    <w:rsid w:val="0072535A"/>
    <w:rsid w:val="00756C57"/>
    <w:rsid w:val="007D0B3F"/>
    <w:rsid w:val="007E6FEC"/>
    <w:rsid w:val="008173D7"/>
    <w:rsid w:val="008A2B6E"/>
    <w:rsid w:val="008E5548"/>
    <w:rsid w:val="008F75D5"/>
    <w:rsid w:val="00951C0B"/>
    <w:rsid w:val="009E2D0B"/>
    <w:rsid w:val="00A923DD"/>
    <w:rsid w:val="00AA1D8D"/>
    <w:rsid w:val="00B34277"/>
    <w:rsid w:val="00B47730"/>
    <w:rsid w:val="00B77FFC"/>
    <w:rsid w:val="00BB0A99"/>
    <w:rsid w:val="00C02B62"/>
    <w:rsid w:val="00CA64DC"/>
    <w:rsid w:val="00CB0664"/>
    <w:rsid w:val="00D11FA7"/>
    <w:rsid w:val="00D55E03"/>
    <w:rsid w:val="00DA6C65"/>
    <w:rsid w:val="00E14990"/>
    <w:rsid w:val="00E21733"/>
    <w:rsid w:val="00E64BFD"/>
    <w:rsid w:val="00E876A6"/>
    <w:rsid w:val="00ED3E67"/>
    <w:rsid w:val="00F52AB3"/>
    <w:rsid w:val="00F574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BF79D19-EDA4-4BB5-84F5-48CE5269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Mohite</cp:lastModifiedBy>
  <cp:revision>38</cp:revision>
  <dcterms:created xsi:type="dcterms:W3CDTF">2013-12-23T23:15:00Z</dcterms:created>
  <dcterms:modified xsi:type="dcterms:W3CDTF">2026-05-16T17:58:00Z</dcterms:modified>
  <cp:category/>
</cp:coreProperties>
</file>