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jc w:val="center"/>
      </w:pPr>
      <w:r>
        <w:rPr>
          <w:rFonts w:ascii="Arial" w:cs="Arial" w:eastAsia="Arial" w:hAnsi="Arial"/>
          <w:b/>
          <w:bCs/>
          <w:color w:val="888888"/>
          <w:sz w:val="24"/>
          <w:szCs w:val="24"/>
        </w:rPr>
        <w:t xml:space="preserve">NetSuite Architecture Series</w:t>
      </w:r>
    </w:p>
    <w:p>
      <w:pPr>
        <w:spacing w:after="40"/>
        <w:jc w:val="center"/>
      </w:pPr>
      <w:r>
        <w:rPr>
          <w:rFonts w:ascii="Arial" w:cs="Arial" w:eastAsia="Arial" w:hAnsi="Arial"/>
          <w:b/>
          <w:bCs/>
          <w:color w:val="0F6B74"/>
          <w:sz w:val="20"/>
          <w:szCs w:val="20"/>
        </w:rPr>
        <w:t xml:space="preserve">Week 11</w:t>
      </w:r>
    </w:p>
    <w:p>
      <w:pPr>
        <w:spacing w:after="10"/>
        <w:jc w:val="center"/>
      </w:pPr>
      <w:r>
        <w:rPr>
          <w:rFonts w:ascii="Arial" w:cs="Arial" w:eastAsia="Arial" w:hAnsi="Arial"/>
          <w:b/>
          <w:bCs/>
          <w:color w:val="1B3A6B"/>
          <w:sz w:val="56"/>
          <w:szCs w:val="56"/>
        </w:rPr>
        <w:t xml:space="preserve">Transaction Lifecycle &amp;</w:t>
      </w:r>
    </w:p>
    <w:p>
      <w:pPr>
        <w:spacing w:after="40"/>
        <w:jc w:val="center"/>
      </w:pPr>
      <w:r>
        <w:rPr>
          <w:rFonts w:ascii="Arial" w:cs="Arial" w:eastAsia="Arial" w:hAnsi="Arial"/>
          <w:b/>
          <w:bCs/>
          <w:color w:val="1B3A6B"/>
          <w:sz w:val="56"/>
          <w:szCs w:val="56"/>
        </w:rPr>
        <w:t xml:space="preserve">Posting Engine Fundamentals</w:t>
      </w:r>
    </w:p>
    <w:p>
      <w:pPr>
        <w:spacing w:after="60"/>
        <w:jc w:val="center"/>
      </w:pPr>
      <w:r>
        <w:rPr>
          <w:rFonts w:ascii="Arial" w:cs="Arial" w:eastAsia="Arial" w:hAnsi="Arial"/>
          <w:i/>
          <w:iCs/>
          <w:color w:val="0F6B74"/>
          <w:sz w:val="26"/>
          <w:szCs w:val="26"/>
        </w:rPr>
        <w:t xml:space="preserve">From Business Event to Financial Impact</w:t>
      </w:r>
    </w:p>
    <w:p>
      <w:pPr>
        <w:pBdr>
          <w:bottom w:val="single" w:color="D9DCE2" w:sz="4"/>
        </w:pBdr>
        <w:spacing w:after="160"/>
      </w:pPr>
      <w:r>
        <w:t xml:space="preserve"/>
      </w:r>
    </w:p>
    <w:p>
      <w:pPr>
        <w:spacing w:after="40"/>
        <w:jc w:val="center"/>
      </w:pPr>
      <w:r>
        <w:rPr>
          <w:rFonts w:ascii="Arial" w:cs="Arial" w:eastAsia="Arial" w:hAnsi="Arial"/>
          <w:color w:val="555555"/>
          <w:sz w:val="22"/>
          <w:szCs w:val="22"/>
        </w:rPr>
        <w:t xml:space="preserve">Understanding How Transactions Flow, Transform, and Hit the General Ledger</w:t>
      </w:r>
    </w:p>
    <w:p>
      <w:pPr>
        <w:spacing w:after="480"/>
        <w:jc w:val="center"/>
      </w:pPr>
      <w:r>
        <w:rPr>
          <w:rFonts w:ascii="Arial" w:cs="Arial" w:eastAsia="Arial" w:hAnsi="Arial"/>
          <w:i/>
          <w:iCs/>
          <w:color w:val="B8860B"/>
          <w:sz w:val="20"/>
          <w:szCs w:val="20"/>
        </w:rPr>
        <w:t xml:space="preserve">Validated against Oracle NetSuite Official Documentation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5CC" w:sz="1"/>
              <w:left w:val="single" w:color="C0C5CC" w:sz="1"/>
              <w:bottom w:val="single" w:color="C0C5CC" w:sz="1"/>
              <w:right w:val="single" w:color="C0C5CC" w:sz="1"/>
            </w:tcBorders>
            <w:shd w:fill="F2F4F7" w:val="clear"/>
            <w:tcMar>
              <w:top w:type="dxa" w:w="600"/>
              <w:left w:type="dxa" w:w="400"/>
              <w:bottom w:type="dxa" w:w="600"/>
              <w:right w:type="dxa" w:w="400"/>
            </w:tcMar>
          </w:tcPr>
          <w:p>
            <w:pPr>
              <w:jc w:val="center"/>
            </w:pPr>
            <w:r>
              <w:rPr>
                <w:rFonts w:ascii="Arial" w:cs="Arial" w:eastAsia="Arial" w:hAnsi="Arial"/>
                <w:b/>
                <w:bCs/>
                <w:color w:val="AAAAAA"/>
                <w:sz w:val="26"/>
                <w:szCs w:val="26"/>
              </w:rPr>
              <w:t xml:space="preserve">[ INSERT: Transaction Lifecycle Flow Diagram ]</w:t>
            </w:r>
          </w:p>
          <w:p>
            <w:pPr>
              <w:jc w:val="center"/>
            </w:pPr>
            <w:r>
              <w:rPr>
                <w:rFonts w:ascii="Arial" w:cs="Arial" w:eastAsia="Arial" w:hAnsi="Arial"/>
                <w:i/>
                <w:iCs/>
                <w:color w:val="BBBBBB"/>
                <w:sz w:val="20"/>
                <w:szCs w:val="20"/>
              </w:rPr>
              <w:t xml:space="preserve">Initiation  →  Processing  →  Validation  →  Posting Engine  →  GL  →  Reporting</w:t>
            </w:r>
          </w:p>
        </w:tc>
      </w:tr>
    </w:tbl>
    <w:p>
      <w:pPr>
        <w:spacing w:after="20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B3A6B" w:val="clear"/>
        <w:spacing w:after="120" w:before="360"/>
        <w:ind w:left="240" w:right="240"/>
      </w:pPr>
      <w:bookmarkStart w:name="s1" w:id="1"/>
      <w:r>
        <w:rPr>
          <w:rFonts w:ascii="Arial" w:cs="Arial" w:eastAsia="Arial" w:hAnsi="Arial"/>
          <w:b/>
          <w:bCs/>
          <w:color w:val="FFFFFF"/>
          <w:sz w:val="36"/>
          <w:szCs w:val="36"/>
        </w:rPr>
        <w:t xml:space="preserve">1. Introduction</w:t>
      </w:r>
      <w:bookmarkEnd w:id="2"/>
    </w:p>
    <w:p>
      <w:pPr>
        <w:spacing w:after="80"/>
      </w:pPr>
      <w:r>
        <w:t xml:space="preserve"/>
      </w:r>
    </w:p>
    <w:p>
      <w:pPr>
        <w:spacing w:after="120"/>
      </w:pPr>
      <w:r>
        <w:rPr>
          <w:rFonts w:ascii="Arial" w:cs="Arial" w:eastAsia="Arial" w:hAnsi="Arial"/>
          <w:b w:val="false"/>
          <w:bCs w:val="false"/>
          <w:color w:val="1A1A1A"/>
          <w:sz w:val="22"/>
          <w:szCs w:val="22"/>
        </w:rPr>
        <w:t xml:space="preserve">In NetSuite, transactions are not passive records. They are structured financial events that pass through a controlled lifecycle and ultimately generate verified General Ledger (GL) impact. Every transaction—whether a Sales Order, Invoice, Item Receipt, or Journal Entry—follows a defined and enforced flow:</w:t>
      </w:r>
    </w:p>
    <w:p>
      <w:pPr>
        <w:spacing w:after="60"/>
      </w:pPr>
      <w:r>
        <w:t xml:space="preserve"/>
      </w:r>
    </w:p>
    <w:p>
      <w:pPr>
        <w:shd w:fill="F2F4F7" w:val="clear"/>
        <w:spacing w:after="120"/>
        <w:ind w:left="240" w:right="240"/>
        <w:jc w:val="center"/>
      </w:pPr>
      <w:r>
        <w:rPr>
          <w:rFonts w:ascii="Arial" w:cs="Arial" w:eastAsia="Arial" w:hAnsi="Arial"/>
          <w:b/>
          <w:bCs/>
          <w:color w:val="1B3A6B"/>
          <w:sz w:val="22"/>
          <w:szCs w:val="22"/>
        </w:rPr>
        <w:t xml:space="preserve">Initiation  →  Processing  →  Validation  →  Posting Engine Execution  →  Financial Reporting</w:t>
      </w:r>
    </w:p>
    <w:p>
      <w:pPr>
        <w:spacing w:after="60"/>
      </w:pPr>
      <w:r>
        <w:t xml:space="preserve"/>
      </w:r>
    </w:p>
    <w:p>
      <w:pPr>
        <w:spacing w:after="120"/>
      </w:pPr>
      <w:r>
        <w:rPr>
          <w:rFonts w:ascii="Arial" w:cs="Arial" w:eastAsia="Arial" w:hAnsi="Arial"/>
          <w:b w:val="false"/>
          <w:bCs w:val="false"/>
          <w:color w:val="1A1A1A"/>
          <w:sz w:val="22"/>
          <w:szCs w:val="22"/>
        </w:rPr>
        <w:t xml:space="preserve">The Posting Engine is the core system component responsible for translating business activity into accounting entries, applying accounting rules consistently, and maintaining financial integrity across all subsidiaries, currencies, and accounting books.</w:t>
      </w:r>
    </w:p>
    <w:p>
      <w:pPr>
        <w:spacing w:after="120"/>
      </w:pPr>
      <w:r>
        <w:rPr>
          <w:rFonts w:ascii="Arial" w:cs="Arial" w:eastAsia="Arial" w:hAnsi="Arial"/>
          <w:b w:val="false"/>
          <w:bCs w:val="false"/>
          <w:color w:val="1A1A1A"/>
          <w:sz w:val="22"/>
          <w:szCs w:val="22"/>
        </w:rPr>
        <w:t xml:space="preserve">A clear understanding of this lifecycle is the foundation of effective NetSuite architecture. Without it, financial reports become unreliable, debugging becomes guesswork, and configuration decisions propagate errors silently across the system.</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5CC" w:sz="1"/>
              <w:left w:val="single" w:color="C0C5CC" w:sz="1"/>
              <w:bottom w:val="single" w:color="C0C5CC" w:sz="1"/>
              <w:right w:val="single" w:color="C0C5CC" w:sz="1"/>
            </w:tcBorders>
            <w:shd w:fill="F2F4F7" w:val="clear"/>
            <w:tcMar>
              <w:top w:type="dxa" w:w="400"/>
              <w:left w:type="dxa" w:w="400"/>
              <w:bottom w:type="dxa" w:w="400"/>
              <w:right w:type="dxa" w:w="400"/>
            </w:tcMar>
          </w:tcPr>
          <w:p>
            <w:pPr>
              <w:jc w:val="center"/>
            </w:pPr>
            <w:r>
              <w:rPr>
                <w:rFonts w:ascii="Arial" w:cs="Arial" w:eastAsia="Arial" w:hAnsi="Arial"/>
                <w:b/>
                <w:bCs/>
                <w:color w:val="AAAAAA"/>
                <w:sz w:val="20"/>
                <w:szCs w:val="20"/>
              </w:rPr>
              <w:t xml:space="preserve">[ INSERT: NetSuite Module Interconnection Diagram — showing AR, AP, Inventory, GL layers ]</w:t>
            </w:r>
          </w:p>
        </w:tc>
      </w:tr>
    </w:tbl>
    <w:p>
      <w:pPr>
        <w:spacing w:after="200"/>
      </w:pPr>
      <w:r>
        <w:t xml:space="preserve"/>
      </w:r>
    </w:p>
    <w:p>
      <w:pPr>
        <w:pStyle w:val="Heading1"/>
        <w:shd w:fill="1B3A6B" w:val="clear"/>
        <w:spacing w:after="120" w:before="360"/>
        <w:ind w:left="240" w:right="240"/>
      </w:pPr>
      <w:bookmarkStart w:name="s2" w:id="3"/>
      <w:r>
        <w:rPr>
          <w:rFonts w:ascii="Arial" w:cs="Arial" w:eastAsia="Arial" w:hAnsi="Arial"/>
          <w:b/>
          <w:bCs/>
          <w:color w:val="FFFFFF"/>
          <w:sz w:val="36"/>
          <w:szCs w:val="36"/>
        </w:rPr>
        <w:t xml:space="preserve">2. Why Transaction Lifecycle Matters</w:t>
      </w:r>
      <w:bookmarkEnd w:id="4"/>
    </w:p>
    <w:p>
      <w:pPr>
        <w:spacing w:after="8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2.1  Financial Integrity — Everything Ends in the GL</w:t>
      </w:r>
    </w:p>
    <w:p>
      <w:pPr>
        <w:spacing w:after="120"/>
      </w:pPr>
      <w:r>
        <w:rPr>
          <w:rFonts w:ascii="Arial" w:cs="Arial" w:eastAsia="Arial" w:hAnsi="Arial"/>
          <w:b w:val="false"/>
          <w:bCs w:val="false"/>
          <w:color w:val="1A1A1A"/>
          <w:sz w:val="22"/>
          <w:szCs w:val="22"/>
        </w:rPr>
        <w:t xml:space="preserve">Every posting transaction in NetSuite ultimately impacts the General Ledger. The lifecycle ensures correct timing of financial recognition, accurate account mapping, and compliance with applicable accounting standards (US GAAP, IFRS, ASC 606, IFRS 15).</w:t>
      </w:r>
    </w:p>
    <w:p>
      <w:pPr>
        <w:spacing w:after="120"/>
      </w:pPr>
      <w:r>
        <w:rPr>
          <w:rFonts w:ascii="Arial" w:cs="Arial" w:eastAsia="Arial" w:hAnsi="Arial"/>
          <w:b w:val="false"/>
          <w:bCs w:val="false"/>
          <w:color w:val="1A1A1A"/>
          <w:sz w:val="22"/>
          <w:szCs w:val="22"/>
        </w:rPr>
        <w:t xml:space="preserve">As confirmed by Oracle documentation, the GL is the authoritative record for all financial activity. The GL Impact page—accessible via the Actions menu on any posting transaction—shows the exact debit and credit entries generated, the account names and numbers, the accounting book, subsidiary, and classification segments (Department, Class, Location). This page is the ground truth for audit and reconciliation purposes.</w:t>
      </w:r>
    </w:p>
    <w:p>
      <w:pPr>
        <w:spacing w:after="8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2.2  Data Flow Consistency — Transactions Are Chained</w:t>
      </w:r>
    </w:p>
    <w:p>
      <w:pPr>
        <w:spacing w:after="120"/>
      </w:pPr>
      <w:r>
        <w:rPr>
          <w:rFonts w:ascii="Arial" w:cs="Arial" w:eastAsia="Arial" w:hAnsi="Arial"/>
          <w:b w:val="false"/>
          <w:bCs w:val="false"/>
          <w:color w:val="1A1A1A"/>
          <w:sz w:val="22"/>
          <w:szCs w:val="22"/>
        </w:rPr>
        <w:t xml:space="preserve">Transactions do not exist in isolation. They form chains of dependent records:</w:t>
      </w:r>
    </w:p>
    <w:p>
      <w:pPr>
        <w:shd w:fill="F2F4F7" w:val="clear"/>
        <w:spacing w:after="120"/>
        <w:ind w:left="240" w:right="240"/>
        <w:jc w:val="center"/>
      </w:pPr>
      <w:r>
        <w:rPr>
          <w:rFonts w:ascii="Arial" w:cs="Arial" w:eastAsia="Arial" w:hAnsi="Arial"/>
          <w:b/>
          <w:bCs/>
          <w:color w:val="1B3A6B"/>
          <w:sz w:val="22"/>
          <w:szCs w:val="22"/>
        </w:rPr>
        <w:t xml:space="preserve">Sales Order  →  Item Fulfillment  →  Invoice  →  Customer Payment  →  Bank Deposit</w:t>
      </w:r>
    </w:p>
    <w:p>
      <w:pPr>
        <w:spacing w:after="120"/>
      </w:pPr>
      <w:r>
        <w:rPr>
          <w:rFonts w:ascii="Arial" w:cs="Arial" w:eastAsia="Arial" w:hAnsi="Arial"/>
          <w:b w:val="false"/>
          <w:bCs w:val="false"/>
          <w:color w:val="1A1A1A"/>
          <w:sz w:val="22"/>
          <w:szCs w:val="22"/>
        </w:rPr>
        <w:t xml:space="preserve">Breaking or misconfiguring one stage propagates errors downstream. A misclassified item on an invoice generates a wrong GL entry. That entry then distorts the Trial Balance, which flows into the P&amp;L and Balance Sheet. Reconciliation at month-end then requires manual intervention—exactly what a well-configured NetSuite instance is designed to eliminate.</w:t>
      </w:r>
    </w:p>
    <w:p>
      <w:pPr>
        <w:spacing w:after="8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2.3  Configuration Dependency</w:t>
      </w:r>
    </w:p>
    <w:p>
      <w:pPr>
        <w:spacing w:after="120"/>
      </w:pPr>
      <w:r>
        <w:rPr>
          <w:rFonts w:ascii="Arial" w:cs="Arial" w:eastAsia="Arial" w:hAnsi="Arial"/>
          <w:b w:val="false"/>
          <w:bCs w:val="false"/>
          <w:color w:val="1A1A1A"/>
          <w:sz w:val="22"/>
          <w:szCs w:val="22"/>
        </w:rPr>
        <w:t xml:space="preserve">Transaction behavior is not universal. It depends heavily on:</w:t>
      </w:r>
    </w:p>
    <w:p>
      <w:pPr>
        <w:pStyle w:val="ListParagraph"/>
        <w:numPr>
          <w:ilvl w:val="0"/>
          <w:numId w:val="2"/>
        </w:numPr>
        <w:spacing w:after="80"/>
      </w:pPr>
      <w:r>
        <w:rPr>
          <w:rFonts w:ascii="Arial" w:cs="Arial" w:eastAsia="Arial" w:hAnsi="Arial"/>
          <w:b w:val="false"/>
          <w:bCs w:val="false"/>
          <w:color w:val="1A1A1A"/>
          <w:sz w:val="22"/>
          <w:szCs w:val="22"/>
        </w:rPr>
        <w:t xml:space="preserve">Item type and setup (Inventory Item vs. Service Item vs. Non-Inventory Item)</w:t>
      </w:r>
    </w:p>
    <w:p>
      <w:pPr>
        <w:pStyle w:val="ListParagraph"/>
        <w:numPr>
          <w:ilvl w:val="0"/>
          <w:numId w:val="2"/>
        </w:numPr>
        <w:spacing w:after="80"/>
      </w:pPr>
      <w:r>
        <w:rPr>
          <w:rFonts w:ascii="Arial" w:cs="Arial" w:eastAsia="Arial" w:hAnsi="Arial"/>
          <w:b w:val="false"/>
          <w:bCs w:val="false"/>
          <w:color w:val="1A1A1A"/>
          <w:sz w:val="22"/>
          <w:szCs w:val="22"/>
        </w:rPr>
        <w:t xml:space="preserve">Account mappings configured on item records (Revenue Account, COGS Account, Asset Account)</w:t>
      </w:r>
    </w:p>
    <w:p>
      <w:pPr>
        <w:pStyle w:val="ListParagraph"/>
        <w:numPr>
          <w:ilvl w:val="0"/>
          <w:numId w:val="2"/>
        </w:numPr>
        <w:spacing w:after="80"/>
      </w:pPr>
      <w:r>
        <w:rPr>
          <w:rFonts w:ascii="Arial" w:cs="Arial" w:eastAsia="Arial" w:hAnsi="Arial"/>
          <w:b w:val="false"/>
          <w:bCs w:val="false"/>
          <w:color w:val="1A1A1A"/>
          <w:sz w:val="22"/>
          <w:szCs w:val="22"/>
        </w:rPr>
        <w:t xml:space="preserve">Accounting Preferences (Default Posting Period, Allow Transaction Date Outside Posting Period)</w:t>
      </w:r>
    </w:p>
    <w:p>
      <w:pPr>
        <w:pStyle w:val="ListParagraph"/>
        <w:numPr>
          <w:ilvl w:val="0"/>
          <w:numId w:val="2"/>
        </w:numPr>
        <w:spacing w:after="80"/>
      </w:pPr>
      <w:r>
        <w:rPr>
          <w:rFonts w:ascii="Arial" w:cs="Arial" w:eastAsia="Arial" w:hAnsi="Arial"/>
          <w:b w:val="false"/>
          <w:bCs w:val="false"/>
          <w:color w:val="1A1A1A"/>
          <w:sz w:val="22"/>
          <w:szCs w:val="22"/>
        </w:rPr>
        <w:t xml:space="preserve">Features enabled in the account (Advanced Revenue Management, Multi-Book Accounting, Inventory Management)</w:t>
      </w:r>
    </w:p>
    <w:p>
      <w:pPr>
        <w:pStyle w:val="ListParagraph"/>
        <w:numPr>
          <w:ilvl w:val="0"/>
          <w:numId w:val="2"/>
        </w:numPr>
        <w:spacing w:after="80"/>
      </w:pPr>
      <w:r>
        <w:rPr>
          <w:rFonts w:ascii="Arial" w:cs="Arial" w:eastAsia="Arial" w:hAnsi="Arial"/>
          <w:b w:val="false"/>
          <w:bCs w:val="false"/>
          <w:color w:val="1A1A1A"/>
          <w:sz w:val="22"/>
          <w:szCs w:val="22"/>
        </w:rPr>
        <w:t xml:space="preserve">Subsidiary structure and base currencies in OneWorld accounts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00"/>
        <w:gridCol w:w="7800"/>
      </w:tblGrid>
      <w:tr>
        <w:tc>
          <w:tcPr>
            <w:tcW w:type="dxa" w:w="14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PRINCIPLE</w:t>
            </w:r>
          </w:p>
        </w:tc>
        <w:tc>
          <w:tcPr>
            <w:tcW w:type="dxa" w:w="7800"/>
            <w:tcBorders>
              <w:top w:val="none" w:color="FFFFFF" w:sz="0"/>
              <w:left w:val="none" w:color="FFFFFF" w:sz="0"/>
              <w:bottom w:val="none" w:color="FFFFFF" w:sz="0"/>
              <w:right w:val="none" w:color="FFFFFF" w:sz="0"/>
            </w:tcBorders>
            <w:shd w:fill="F2F4F7" w:val="clear"/>
            <w:tcMar>
              <w:top w:type="dxa" w:w="100"/>
              <w:left w:type="dxa" w:w="200"/>
              <w:bottom w:type="dxa" w:w="100"/>
              <w:right w:type="dxa" w:w="140"/>
            </w:tcMar>
          </w:tcPr>
          <w:p>
            <w:r>
              <w:rPr>
                <w:rFonts w:ascii="Arial" w:cs="Arial" w:eastAsia="Arial" w:hAnsi="Arial"/>
                <w:color w:val="1A1A1A"/>
                <w:sz w:val="20"/>
                <w:szCs w:val="20"/>
              </w:rPr>
              <w:t xml:space="preserve">The same transaction type can produce entirely different GL impact in two different NetSuite configurations. Never assume behavior without verifying the GL Impact page.</w:t>
            </w:r>
          </w:p>
        </w:tc>
      </w:tr>
    </w:tbl>
    <w:p>
      <w:pPr>
        <w:spacing w:after="200"/>
      </w:pPr>
      <w:r>
        <w:t xml:space="preserve"/>
      </w:r>
    </w:p>
    <w:p>
      <w:r>
        <w:br w:type="page"/>
      </w:r>
    </w:p>
    <w:p>
      <w:pPr>
        <w:pStyle w:val="Heading1"/>
        <w:shd w:fill="1B3A6B" w:val="clear"/>
        <w:spacing w:after="120" w:before="360"/>
        <w:ind w:left="240" w:right="240"/>
      </w:pPr>
      <w:bookmarkStart w:name="s3" w:id="5"/>
      <w:r>
        <w:rPr>
          <w:rFonts w:ascii="Arial" w:cs="Arial" w:eastAsia="Arial" w:hAnsi="Arial"/>
          <w:b/>
          <w:bCs/>
          <w:color w:val="FFFFFF"/>
          <w:sz w:val="36"/>
          <w:szCs w:val="36"/>
        </w:rPr>
        <w:t xml:space="preserve">3. Transaction Lifecycle — End-to-End Flow</w:t>
      </w:r>
      <w:bookmarkEnd w:id="6"/>
    </w:p>
    <w:p>
      <w:pPr>
        <w:spacing w:after="80"/>
      </w:pPr>
      <w:r>
        <w:t xml:space="preserve"/>
      </w:r>
    </w:p>
    <w:p>
      <w:pPr>
        <w:spacing w:after="120"/>
      </w:pPr>
      <w:r>
        <w:rPr>
          <w:rFonts w:ascii="Arial" w:cs="Arial" w:eastAsia="Arial" w:hAnsi="Arial"/>
          <w:b w:val="false"/>
          <w:bCs w:val="false"/>
          <w:color w:val="1A1A1A"/>
          <w:sz w:val="22"/>
          <w:szCs w:val="22"/>
        </w:rPr>
        <w:t xml:space="preserve">The following five stages represent the complete lifecycle of a NetSuite transaction from creation to financial reporting. Each stage has defined inputs, outputs, and control points.</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5CC" w:sz="1"/>
              <w:left w:val="single" w:color="C0C5CC" w:sz="1"/>
              <w:bottom w:val="single" w:color="C0C5CC" w:sz="1"/>
              <w:right w:val="single" w:color="C0C5CC" w:sz="1"/>
            </w:tcBorders>
            <w:shd w:fill="F2F4F7" w:val="clear"/>
            <w:tcMar>
              <w:top w:type="dxa" w:w="400"/>
              <w:left w:type="dxa" w:w="400"/>
              <w:bottom w:type="dxa" w:w="400"/>
              <w:right w:type="dxa" w:w="400"/>
            </w:tcMar>
          </w:tcPr>
          <w:p>
            <w:pPr>
              <w:jc w:val="center"/>
            </w:pPr>
            <w:r>
              <w:rPr>
                <w:rFonts w:ascii="Arial" w:cs="Arial" w:eastAsia="Arial" w:hAnsi="Arial"/>
                <w:b/>
                <w:bCs/>
                <w:color w:val="AAAAAA"/>
                <w:sz w:val="20"/>
                <w:szCs w:val="20"/>
              </w:rPr>
              <w:t xml:space="preserve">[ INSERT: 5-Stage Transaction Lifecycle Swimlane Diagram ]</w:t>
            </w:r>
          </w:p>
        </w:tc>
      </w:tr>
    </w:tbl>
    <w:p>
      <w:pPr>
        <w:spacing w:after="160"/>
      </w:pPr>
      <w:r>
        <w:t xml:space="preserve"/>
      </w:r>
    </w:p>
    <w:p>
      <w:pPr>
        <w:pStyle w:val="Heading2"/>
        <w:pBdr>
          <w:bottom w:val="single" w:color="0F6B74" w:sz="4"/>
        </w:pBdr>
        <w:spacing w:after="100" w:before="280"/>
      </w:pPr>
      <w:bookmarkStart w:name="s3-1" w:id="7"/>
      <w:r>
        <w:rPr>
          <w:rFonts w:ascii="Arial" w:cs="Arial" w:eastAsia="Arial" w:hAnsi="Arial"/>
          <w:b/>
          <w:bCs/>
          <w:color w:val="0F6B74"/>
          <w:sz w:val="28"/>
          <w:szCs w:val="28"/>
        </w:rPr>
        <w:t xml:space="preserve">Stage 1 — Transaction Initiation</w:t>
      </w:r>
      <w:bookmarkEnd w:id="8"/>
    </w:p>
    <w:p>
      <w:pPr>
        <w:spacing w:after="120"/>
      </w:pPr>
      <w:r>
        <w:rPr>
          <w:rFonts w:ascii="Arial" w:cs="Arial" w:eastAsia="Arial" w:hAnsi="Arial"/>
          <w:b w:val="false"/>
          <w:bCs w:val="false"/>
          <w:color w:val="1A1A1A"/>
          <w:sz w:val="22"/>
          <w:szCs w:val="22"/>
        </w:rPr>
        <w:t xml:space="preserve">A transaction is created either by a user through the NetSuite UI, or programmatically via SuiteScript, CSV Import, or Web Services. At this stage, the record captures the intent of a business event.</w:t>
      </w:r>
    </w:p>
    <w:p>
      <w:pPr>
        <w:pStyle w:val="ListParagraph"/>
        <w:numPr>
          <w:ilvl w:val="0"/>
          <w:numId w:val="2"/>
        </w:numPr>
        <w:spacing w:after="80"/>
      </w:pPr>
      <w:r>
        <w:rPr>
          <w:rFonts w:ascii="Arial" w:cs="Arial" w:eastAsia="Arial" w:hAnsi="Arial"/>
          <w:b w:val="false"/>
          <w:bCs w:val="false"/>
          <w:color w:val="1A1A1A"/>
          <w:sz w:val="22"/>
          <w:szCs w:val="22"/>
        </w:rPr>
        <w:t xml:space="preserve">Examples: Sales Order (SO), Purchase Order (PO), Estimate, Work Order</w:t>
      </w:r>
    </w:p>
    <w:p>
      <w:pPr>
        <w:pStyle w:val="ListParagraph"/>
        <w:numPr>
          <w:ilvl w:val="0"/>
          <w:numId w:val="2"/>
        </w:numPr>
        <w:spacing w:after="80"/>
      </w:pPr>
      <w:r>
        <w:rPr>
          <w:rFonts w:ascii="Arial" w:cs="Arial" w:eastAsia="Arial" w:hAnsi="Arial"/>
          <w:b w:val="false"/>
          <w:bCs w:val="false"/>
          <w:color w:val="1A1A1A"/>
          <w:sz w:val="22"/>
          <w:szCs w:val="22"/>
        </w:rPr>
        <w:t xml:space="preserve">Sales Orders are non-posting: they do not generate GL entries upon creation. Per Oracle documentation, sales orders are used to track items that need to be fulfilled and shipped; they post nothing to ledger accounts until fulfillment occurs.</w:t>
      </w:r>
    </w:p>
    <w:p>
      <w:pPr>
        <w:pStyle w:val="ListParagraph"/>
        <w:numPr>
          <w:ilvl w:val="0"/>
          <w:numId w:val="2"/>
        </w:numPr>
        <w:spacing w:after="80"/>
      </w:pPr>
      <w:r>
        <w:rPr>
          <w:rFonts w:ascii="Arial" w:cs="Arial" w:eastAsia="Arial" w:hAnsi="Arial"/>
          <w:b w:val="false"/>
          <w:bCs w:val="false"/>
          <w:color w:val="1A1A1A"/>
          <w:sz w:val="22"/>
          <w:szCs w:val="22"/>
        </w:rPr>
        <w:t xml:space="preserve">Journal Entries, by contrast, are posting immediately upon save—they are the most direct form of GL entry in NetSuite.</w:t>
      </w:r>
    </w:p>
    <w:p>
      <w:pPr>
        <w:pStyle w:val="ListParagraph"/>
        <w:numPr>
          <w:ilvl w:val="0"/>
          <w:numId w:val="2"/>
        </w:numPr>
        <w:spacing w:after="80"/>
      </w:pPr>
      <w:r>
        <w:rPr>
          <w:rFonts w:ascii="Arial" w:cs="Arial" w:eastAsia="Arial" w:hAnsi="Arial"/>
          <w:b w:val="false"/>
          <w:bCs w:val="false"/>
          <w:color w:val="1A1A1A"/>
          <w:sz w:val="22"/>
          <w:szCs w:val="22"/>
        </w:rPr>
        <w:t xml:space="preserve">Transaction date is captured here, but posting period is determined later—and can differ from the transaction date based on accounting preferences.</w:t>
      </w:r>
    </w:p>
    <w:p>
      <w:pPr>
        <w:spacing w:after="100"/>
      </w:pPr>
      <w:r>
        <w:t xml:space="preserve"/>
      </w:r>
    </w:p>
    <w:p>
      <w:pPr>
        <w:pStyle w:val="Heading2"/>
        <w:pBdr>
          <w:bottom w:val="single" w:color="0F6B74" w:sz="4"/>
        </w:pBdr>
        <w:spacing w:after="100" w:before="280"/>
      </w:pPr>
      <w:bookmarkStart w:name="s3-2" w:id="9"/>
      <w:r>
        <w:rPr>
          <w:rFonts w:ascii="Arial" w:cs="Arial" w:eastAsia="Arial" w:hAnsi="Arial"/>
          <w:b/>
          <w:bCs/>
          <w:color w:val="0F6B74"/>
          <w:sz w:val="28"/>
          <w:szCs w:val="28"/>
        </w:rPr>
        <w:t xml:space="preserve">Stage 2 — Transaction Processing</w:t>
      </w:r>
      <w:bookmarkEnd w:id="10"/>
    </w:p>
    <w:p>
      <w:pPr>
        <w:spacing w:after="120"/>
      </w:pPr>
      <w:r>
        <w:rPr>
          <w:rFonts w:ascii="Arial" w:cs="Arial" w:eastAsia="Arial" w:hAnsi="Arial"/>
          <w:b w:val="false"/>
          <w:bCs w:val="false"/>
          <w:color w:val="1A1A1A"/>
          <w:sz w:val="22"/>
          <w:szCs w:val="22"/>
        </w:rPr>
        <w:t xml:space="preserve">The transaction moves through its operational workflow. This includes approvals, fulfillment actions, billing steps, and any configured workflow automation.</w:t>
      </w:r>
    </w:p>
    <w:p>
      <w:pPr>
        <w:pStyle w:val="ListParagraph"/>
        <w:numPr>
          <w:ilvl w:val="0"/>
          <w:numId w:val="2"/>
        </w:numPr>
        <w:spacing w:after="80"/>
      </w:pPr>
      <w:r>
        <w:rPr>
          <w:rFonts w:ascii="Arial" w:cs="Arial" w:eastAsia="Arial" w:hAnsi="Arial"/>
          <w:b w:val="false"/>
          <w:bCs w:val="false"/>
          <w:color w:val="1A1A1A"/>
          <w:sz w:val="22"/>
          <w:szCs w:val="22"/>
        </w:rPr>
        <w:t xml:space="preserve">Sales Order approval → triggers Item Fulfillment eligibility</w:t>
      </w:r>
    </w:p>
    <w:p>
      <w:pPr>
        <w:pStyle w:val="ListParagraph"/>
        <w:numPr>
          <w:ilvl w:val="0"/>
          <w:numId w:val="2"/>
        </w:numPr>
        <w:spacing w:after="80"/>
      </w:pPr>
      <w:r>
        <w:rPr>
          <w:rFonts w:ascii="Arial" w:cs="Arial" w:eastAsia="Arial" w:hAnsi="Arial"/>
          <w:b w:val="false"/>
          <w:bCs w:val="false"/>
          <w:color w:val="1A1A1A"/>
          <w:sz w:val="22"/>
          <w:szCs w:val="22"/>
        </w:rPr>
        <w:t xml:space="preserve">Item Fulfillment → removes items from inventory (posts to COGS and Inventory Asset accounts)</w:t>
      </w:r>
    </w:p>
    <w:p>
      <w:pPr>
        <w:pStyle w:val="ListParagraph"/>
        <w:numPr>
          <w:ilvl w:val="0"/>
          <w:numId w:val="2"/>
        </w:numPr>
        <w:spacing w:after="80"/>
      </w:pPr>
      <w:r>
        <w:rPr>
          <w:rFonts w:ascii="Arial" w:cs="Arial" w:eastAsia="Arial" w:hAnsi="Arial"/>
          <w:b w:val="false"/>
          <w:bCs w:val="false"/>
          <w:color w:val="1A1A1A"/>
          <w:sz w:val="22"/>
          <w:szCs w:val="22"/>
        </w:rPr>
        <w:t xml:space="preserve">Invoice creation from fulfilled Sales Order → triggers AR and Revenue recognition</w:t>
      </w:r>
    </w:p>
    <w:p>
      <w:pPr>
        <w:pStyle w:val="ListParagraph"/>
        <w:numPr>
          <w:ilvl w:val="0"/>
          <w:numId w:val="2"/>
        </w:numPr>
        <w:spacing w:after="80"/>
      </w:pPr>
      <w:r>
        <w:rPr>
          <w:rFonts w:ascii="Arial" w:cs="Arial" w:eastAsia="Arial" w:hAnsi="Arial"/>
          <w:b w:val="false"/>
          <w:bCs w:val="false"/>
          <w:color w:val="1A1A1A"/>
          <w:sz w:val="22"/>
          <w:szCs w:val="22"/>
        </w:rPr>
        <w:t xml:space="preserve">Purchase Order approval → triggers Item Receipt eligibility</w:t>
      </w:r>
    </w:p>
    <w:p>
      <w:pPr>
        <w:spacing w:after="120"/>
      </w:pPr>
      <w:r>
        <w:rPr>
          <w:rFonts w:ascii="Arial" w:cs="Arial" w:eastAsia="Arial" w:hAnsi="Arial"/>
          <w:b w:val="false"/>
          <w:bCs w:val="false"/>
          <w:color w:val="1A1A1A"/>
          <w:sz w:val="22"/>
          <w:szCs w:val="22"/>
        </w:rPr>
        <w:t xml:space="preserve">Processing may involve SuiteFlow workflows, approval routing, and intercompany adjustments in OneWorld environments. Each step may or may not generate GL impact depending on the transaction type.</w:t>
      </w:r>
    </w:p>
    <w:p>
      <w:pPr>
        <w:spacing w:after="100"/>
      </w:pPr>
      <w:r>
        <w:t xml:space="preserve"/>
      </w:r>
    </w:p>
    <w:p>
      <w:pPr>
        <w:pStyle w:val="Heading2"/>
        <w:pBdr>
          <w:bottom w:val="single" w:color="0F6B74" w:sz="4"/>
        </w:pBdr>
        <w:spacing w:after="100" w:before="280"/>
      </w:pPr>
      <w:bookmarkStart w:name="s3-3" w:id="11"/>
      <w:r>
        <w:rPr>
          <w:rFonts w:ascii="Arial" w:cs="Arial" w:eastAsia="Arial" w:hAnsi="Arial"/>
          <w:b/>
          <w:bCs/>
          <w:color w:val="0F6B74"/>
          <w:sz w:val="28"/>
          <w:szCs w:val="28"/>
        </w:rPr>
        <w:t xml:space="preserve">Stage 3 — Validation Layer</w:t>
      </w:r>
      <w:bookmarkEnd w:id="12"/>
    </w:p>
    <w:p>
      <w:pPr>
        <w:spacing w:after="120"/>
      </w:pPr>
      <w:r>
        <w:rPr>
          <w:rFonts w:ascii="Arial" w:cs="Arial" w:eastAsia="Arial" w:hAnsi="Arial"/>
          <w:b w:val="false"/>
          <w:bCs w:val="false"/>
          <w:color w:val="1A1A1A"/>
          <w:sz w:val="22"/>
          <w:szCs w:val="22"/>
        </w:rPr>
        <w:t xml:space="preserve">Before any GL impact is generated, NetSuite enforces a validation layer. This is the system's control gate. If validation fails, the transaction cannot be posted.</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Validation Check</w:t>
            </w:r>
          </w:p>
        </w:tc>
        <w:tc>
          <w:tcPr>
            <w:tcW w:type="dxa" w:w="576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System Behavior on Failure</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Mandatory fields</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Save blocked; user prompted to complete required fields</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Accounting period open/locked</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Posting period redirected to current open period or blocked entirely</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Subsidiary &amp; currency rules</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Error displayed; transaction cannot save</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Item / account mapping</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Transaction saves but may post to default/fallback accounts</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Period restrictions (Override needed)</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Users without Override Period Restrictions permission are blocked from locked periods</w:t>
            </w:r>
          </w:p>
        </w:tc>
      </w:tr>
    </w:tbl>
    <w:p>
      <w:pPr>
        <w:spacing w:after="120"/>
      </w:pPr>
      <w:r>
        <w:t xml:space="preserve"/>
      </w:r>
    </w:p>
    <w:p>
      <w:pPr>
        <w:spacing w:after="120"/>
      </w:pPr>
      <w:r>
        <w:rPr>
          <w:rFonts w:ascii="Arial" w:cs="Arial" w:eastAsia="Arial" w:hAnsi="Arial"/>
          <w:b w:val="false"/>
          <w:bCs w:val="false"/>
          <w:color w:val="1A1A1A"/>
          <w:sz w:val="22"/>
          <w:szCs w:val="22"/>
        </w:rPr>
        <w:t xml:space="preserve">Per Oracle documentation (Setup &gt; Accounting &gt; Manage GL &gt; Manage Accounting Periods), when a period is locked, the system automatically redirects the Posting Period to the current open period—but only if the accounting preference 'Allow Transaction Date Outside of Posting Period' is set to Disallow or Warn. Users with the Override Period Restrictions permission can bypass this and post to a locked (but not closed) period.</w:t>
      </w:r>
    </w:p>
    <w:p>
      <w:pPr>
        <w:spacing w:after="100"/>
      </w:pPr>
      <w:r>
        <w:t xml:space="preserve"/>
      </w:r>
    </w:p>
    <w:p>
      <w:pPr>
        <w:pStyle w:val="Heading2"/>
        <w:pBdr>
          <w:bottom w:val="single" w:color="0F6B74" w:sz="4"/>
        </w:pBdr>
        <w:spacing w:after="100" w:before="280"/>
      </w:pPr>
      <w:bookmarkStart w:name="s3-4" w:id="13"/>
      <w:r>
        <w:rPr>
          <w:rFonts w:ascii="Arial" w:cs="Arial" w:eastAsia="Arial" w:hAnsi="Arial"/>
          <w:b/>
          <w:bCs/>
          <w:color w:val="0F6B74"/>
          <w:sz w:val="28"/>
          <w:szCs w:val="28"/>
        </w:rPr>
        <w:t xml:space="preserve">Stage 4 — Posting Engine Execution</w:t>
      </w:r>
      <w:bookmarkEnd w:id="14"/>
    </w:p>
    <w:p>
      <w:pPr>
        <w:spacing w:after="120"/>
      </w:pPr>
      <w:r>
        <w:rPr>
          <w:rFonts w:ascii="Arial" w:cs="Arial" w:eastAsia="Arial" w:hAnsi="Arial"/>
          <w:b w:val="false"/>
          <w:bCs w:val="false"/>
          <w:color w:val="1A1A1A"/>
          <w:sz w:val="22"/>
          <w:szCs w:val="22"/>
        </w:rPr>
        <w:t xml:space="preserve">This is where the financial translation occurs. The Posting Engine reads the validated transaction data, applies configured accounting rules, and generates balanced debit/credit entries in the General Ledger.</w:t>
      </w:r>
    </w:p>
    <w:p>
      <w:pPr>
        <w:pStyle w:val="ListParagraph"/>
        <w:numPr>
          <w:ilvl w:val="0"/>
          <w:numId w:val="2"/>
        </w:numPr>
        <w:spacing w:after="80"/>
      </w:pPr>
      <w:r>
        <w:rPr>
          <w:rFonts w:ascii="Arial" w:cs="Arial" w:eastAsia="Arial" w:hAnsi="Arial"/>
          <w:b w:val="false"/>
          <w:bCs w:val="false"/>
          <w:color w:val="1A1A1A"/>
          <w:sz w:val="22"/>
          <w:szCs w:val="22"/>
        </w:rPr>
        <w:t xml:space="preserve">Each posting transaction generates a GL Impact record accessible via the Actions &gt; GL Impact menu</w:t>
      </w:r>
    </w:p>
    <w:p>
      <w:pPr>
        <w:pStyle w:val="ListParagraph"/>
        <w:numPr>
          <w:ilvl w:val="0"/>
          <w:numId w:val="2"/>
        </w:numPr>
        <w:spacing w:after="80"/>
      </w:pPr>
      <w:r>
        <w:rPr>
          <w:rFonts w:ascii="Arial" w:cs="Arial" w:eastAsia="Arial" w:hAnsi="Arial"/>
          <w:b w:val="false"/>
          <w:bCs w:val="false"/>
          <w:color w:val="1A1A1A"/>
          <w:sz w:val="22"/>
          <w:szCs w:val="22"/>
        </w:rPr>
        <w:t xml:space="preserve">The GL Impact page displays: Accounting Book, Account name and number, Debit/Credit amounts, Memo, Name (customer/vendor), Subsidiary, and segment classifications</w:t>
      </w:r>
    </w:p>
    <w:p>
      <w:pPr>
        <w:pStyle w:val="ListParagraph"/>
        <w:numPr>
          <w:ilvl w:val="0"/>
          <w:numId w:val="2"/>
        </w:numPr>
        <w:spacing w:after="80"/>
      </w:pPr>
      <w:r>
        <w:rPr>
          <w:rFonts w:ascii="Arial" w:cs="Arial" w:eastAsia="Arial" w:hAnsi="Arial"/>
          <w:b w:val="false"/>
          <w:bCs w:val="false"/>
          <w:color w:val="1A1A1A"/>
          <w:sz w:val="22"/>
          <w:szCs w:val="22"/>
        </w:rPr>
        <w:t xml:space="preserve">If a Custom GL Lines plug-in (SuiteGL) is in use, a message on the GL Impact page will indicate that the GL impact may change if execution is scheduled or in progress</w:t>
      </w:r>
    </w:p>
    <w:p>
      <w:pPr>
        <w:pStyle w:val="ListParagraph"/>
        <w:numPr>
          <w:ilvl w:val="0"/>
          <w:numId w:val="2"/>
        </w:numPr>
        <w:spacing w:after="80"/>
      </w:pPr>
      <w:r>
        <w:rPr>
          <w:rFonts w:ascii="Arial" w:cs="Arial" w:eastAsia="Arial" w:hAnsi="Arial"/>
          <w:b w:val="false"/>
          <w:bCs w:val="false"/>
          <w:color w:val="1A1A1A"/>
          <w:sz w:val="22"/>
          <w:szCs w:val="22"/>
        </w:rPr>
        <w:t xml:space="preserve">In Multi-Book Accounting, the GL Impact page includes an Accounting Book filter to view impact per book</w:t>
      </w:r>
    </w:p>
    <w:p>
      <w:pPr>
        <w:spacing w:after="100"/>
      </w:pPr>
      <w:r>
        <w:t xml:space="preserve"/>
      </w:r>
    </w:p>
    <w:p>
      <w:pPr>
        <w:pStyle w:val="Heading2"/>
        <w:pBdr>
          <w:bottom w:val="single" w:color="0F6B74" w:sz="4"/>
        </w:pBdr>
        <w:spacing w:after="100" w:before="280"/>
      </w:pPr>
      <w:bookmarkStart w:name="s3-5" w:id="15"/>
      <w:r>
        <w:rPr>
          <w:rFonts w:ascii="Arial" w:cs="Arial" w:eastAsia="Arial" w:hAnsi="Arial"/>
          <w:b/>
          <w:bCs/>
          <w:color w:val="0F6B74"/>
          <w:sz w:val="28"/>
          <w:szCs w:val="28"/>
        </w:rPr>
        <w:t xml:space="preserve">Stage 5 — Financial Reporting</w:t>
      </w:r>
      <w:bookmarkEnd w:id="16"/>
    </w:p>
    <w:p>
      <w:pPr>
        <w:spacing w:after="120"/>
      </w:pPr>
      <w:r>
        <w:rPr>
          <w:rFonts w:ascii="Arial" w:cs="Arial" w:eastAsia="Arial" w:hAnsi="Arial"/>
          <w:b w:val="false"/>
          <w:bCs w:val="false"/>
          <w:color w:val="1A1A1A"/>
          <w:sz w:val="22"/>
          <w:szCs w:val="22"/>
        </w:rPr>
        <w:t xml:space="preserve">Once posted to the General Ledger, transaction data flows into all financial reports: Trial Balance, Income Statement (P&amp;L), Balance Sheet, Cash Flow Statement, and any custom saved searches or reports built on GL-level data.</w:t>
      </w:r>
    </w:p>
    <w:p>
      <w:pPr>
        <w:pStyle w:val="ListParagraph"/>
        <w:numPr>
          <w:ilvl w:val="0"/>
          <w:numId w:val="2"/>
        </w:numPr>
        <w:spacing w:after="80"/>
      </w:pPr>
      <w:r>
        <w:rPr>
          <w:rFonts w:ascii="Arial" w:cs="Arial" w:eastAsia="Arial" w:hAnsi="Arial"/>
          <w:b w:val="false"/>
          <w:bCs w:val="false"/>
          <w:color w:val="1A1A1A"/>
          <w:sz w:val="22"/>
          <w:szCs w:val="22"/>
        </w:rPr>
        <w:t xml:space="preserve">At this stage, errors are expensive to correct. Changing a GL-impacting field in a closed period requires reopening the period, which cascades to all subsequent closed periods.</w:t>
      </w:r>
    </w:p>
    <w:p>
      <w:pPr>
        <w:pStyle w:val="ListParagraph"/>
        <w:numPr>
          <w:ilvl w:val="0"/>
          <w:numId w:val="2"/>
        </w:numPr>
        <w:spacing w:after="80"/>
      </w:pPr>
      <w:r>
        <w:rPr>
          <w:rFonts w:ascii="Arial" w:cs="Arial" w:eastAsia="Arial" w:hAnsi="Arial"/>
          <w:b w:val="false"/>
          <w:bCs w:val="false"/>
          <w:color w:val="1A1A1A"/>
          <w:sz w:val="22"/>
          <w:szCs w:val="22"/>
        </w:rPr>
        <w:t xml:space="preserve">Per Oracle documentation, no one can make GL-impacting changes to posting transactions in a closed period. The period must be reopened before such changes can be posted.</w:t>
      </w:r>
    </w:p>
    <w:p>
      <w:pPr>
        <w:pStyle w:val="ListParagraph"/>
        <w:numPr>
          <w:ilvl w:val="0"/>
          <w:numId w:val="2"/>
        </w:numPr>
        <w:spacing w:after="80"/>
      </w:pPr>
      <w:r>
        <w:rPr>
          <w:rFonts w:ascii="Arial" w:cs="Arial" w:eastAsia="Arial" w:hAnsi="Arial"/>
          <w:b w:val="false"/>
          <w:bCs w:val="false"/>
          <w:color w:val="1A1A1A"/>
          <w:sz w:val="22"/>
          <w:szCs w:val="22"/>
        </w:rPr>
        <w:t xml:space="preserve">GL Audit Numbering (if enabled) tracks every change with a sequential number, making the audit trail complete and gapless.</w:t>
      </w:r>
    </w:p>
    <w:p>
      <w:pPr>
        <w:spacing w:after="200"/>
      </w:pPr>
      <w:r>
        <w:t xml:space="preserve"/>
      </w:r>
    </w:p>
    <w:p>
      <w:r>
        <w:br w:type="page"/>
      </w:r>
    </w:p>
    <w:p>
      <w:pPr>
        <w:pStyle w:val="Heading1"/>
        <w:shd w:fill="1B3A6B" w:val="clear"/>
        <w:spacing w:after="120" w:before="360"/>
        <w:ind w:left="240" w:right="240"/>
      </w:pPr>
      <w:bookmarkStart w:name="s4" w:id="17"/>
      <w:r>
        <w:rPr>
          <w:rFonts w:ascii="Arial" w:cs="Arial" w:eastAsia="Arial" w:hAnsi="Arial"/>
          <w:b/>
          <w:bCs/>
          <w:color w:val="FFFFFF"/>
          <w:sz w:val="36"/>
          <w:szCs w:val="36"/>
        </w:rPr>
        <w:t xml:space="preserve">4. Posting Engine — Deep Dive</w:t>
      </w:r>
      <w:bookmarkEnd w:id="18"/>
    </w:p>
    <w:p>
      <w:pPr>
        <w:spacing w:after="8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4.1  What Is the Posting Engine?</w:t>
      </w:r>
    </w:p>
    <w:p>
      <w:pPr>
        <w:spacing w:after="120"/>
      </w:pPr>
      <w:r>
        <w:rPr>
          <w:rFonts w:ascii="Arial" w:cs="Arial" w:eastAsia="Arial" w:hAnsi="Arial"/>
          <w:b w:val="false"/>
          <w:bCs w:val="false"/>
          <w:color w:val="1A1A1A"/>
          <w:sz w:val="22"/>
          <w:szCs w:val="22"/>
        </w:rPr>
        <w:t xml:space="preserve">The NetSuite Posting Engine is the internal accounting processor that converts validated transaction data into balanced journal entries (debits and credits) in the General Ledger. It is rule-driven, configuration-dependent, and operates automatically without manual intervention on every posting transaction save event.</w:t>
      </w:r>
    </w:p>
    <w:p>
      <w:pPr>
        <w:spacing w:after="120"/>
      </w:pPr>
      <w:r>
        <w:rPr>
          <w:rFonts w:ascii="Arial" w:cs="Arial" w:eastAsia="Arial" w:hAnsi="Arial"/>
          <w:b w:val="false"/>
          <w:bCs w:val="false"/>
          <w:color w:val="1A1A1A"/>
          <w:sz w:val="22"/>
          <w:szCs w:val="22"/>
        </w:rPr>
        <w:t xml:space="preserve">It is not a single visible component—it is the result of accounting rules applied through item configuration, accounting preferences, and optionally SuiteGL custom plug-ins.</w:t>
      </w:r>
    </w:p>
    <w:p>
      <w:pPr>
        <w:spacing w:after="8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4.2  Core Responsibilities of the Posting Engine</w:t>
      </w:r>
    </w:p>
    <w:p>
      <w:pPr>
        <w:spacing w:after="40"/>
      </w:pPr>
      <w:r>
        <w:t xml:space="preserve"/>
      </w:r>
    </w:p>
    <w:p>
      <w:pPr>
        <w:pStyle w:val="Heading3"/>
        <w:spacing w:after="80" w:before="200"/>
      </w:pPr>
      <w:r>
        <w:rPr>
          <w:rFonts w:ascii="Arial" w:cs="Arial" w:eastAsia="Arial" w:hAnsi="Arial"/>
          <w:b/>
          <w:bCs/>
          <w:color w:val="1B3A6B"/>
          <w:sz w:val="24"/>
          <w:szCs w:val="24"/>
        </w:rPr>
        <w:t xml:space="preserve">Account Determination</w:t>
      </w:r>
    </w:p>
    <w:p>
      <w:pPr>
        <w:spacing w:after="120"/>
      </w:pPr>
      <w:r>
        <w:rPr>
          <w:rFonts w:ascii="Arial" w:cs="Arial" w:eastAsia="Arial" w:hAnsi="Arial"/>
          <w:b w:val="false"/>
          <w:bCs w:val="false"/>
          <w:color w:val="1A1A1A"/>
          <w:sz w:val="22"/>
          <w:szCs w:val="22"/>
        </w:rPr>
        <w:t xml:space="preserve">The Posting Engine identifies which GL accounts to debit and credit based on the following priority cascade:</w:t>
      </w:r>
    </w:p>
    <w:p>
      <w:pPr>
        <w:pStyle w:val="ListParagraph"/>
        <w:numPr>
          <w:ilvl w:val="0"/>
          <w:numId w:val="3"/>
        </w:numPr>
        <w:spacing w:after="80"/>
      </w:pPr>
      <w:r>
        <w:rPr>
          <w:rFonts w:ascii="Arial" w:cs="Arial" w:eastAsia="Arial" w:hAnsi="Arial"/>
          <w:color w:val="1A1A1A"/>
          <w:sz w:val="22"/>
          <w:szCs w:val="22"/>
        </w:rPr>
        <w:t xml:space="preserve">Item record — Revenue Account, COGS Account, Asset Account, Deferred Revenue Account</w:t>
      </w:r>
    </w:p>
    <w:p>
      <w:pPr>
        <w:pStyle w:val="ListParagraph"/>
        <w:numPr>
          <w:ilvl w:val="0"/>
          <w:numId w:val="3"/>
        </w:numPr>
        <w:spacing w:after="80"/>
      </w:pPr>
      <w:r>
        <w:rPr>
          <w:rFonts w:ascii="Arial" w:cs="Arial" w:eastAsia="Arial" w:hAnsi="Arial"/>
          <w:color w:val="1A1A1A"/>
          <w:sz w:val="22"/>
          <w:szCs w:val="22"/>
        </w:rPr>
        <w:t xml:space="preserve">Transaction type defaults — hardcoded system rules for AR, AP, Undeposited Funds, etc.</w:t>
      </w:r>
    </w:p>
    <w:p>
      <w:pPr>
        <w:pStyle w:val="ListParagraph"/>
        <w:numPr>
          <w:ilvl w:val="0"/>
          <w:numId w:val="3"/>
        </w:numPr>
        <w:spacing w:after="80"/>
      </w:pPr>
      <w:r>
        <w:rPr>
          <w:rFonts w:ascii="Arial" w:cs="Arial" w:eastAsia="Arial" w:hAnsi="Arial"/>
          <w:color w:val="1A1A1A"/>
          <w:sz w:val="22"/>
          <w:szCs w:val="22"/>
        </w:rPr>
        <w:t xml:space="preserve">Accounting Preferences — Default Deferred Revenue Account, Default Posting Period</w:t>
      </w:r>
    </w:p>
    <w:p>
      <w:pPr>
        <w:pStyle w:val="ListParagraph"/>
        <w:numPr>
          <w:ilvl w:val="0"/>
          <w:numId w:val="3"/>
        </w:numPr>
        <w:spacing w:after="80"/>
      </w:pPr>
      <w:r>
        <w:rPr>
          <w:rFonts w:ascii="Arial" w:cs="Arial" w:eastAsia="Arial" w:hAnsi="Arial"/>
          <w:color w:val="1A1A1A"/>
          <w:sz w:val="22"/>
          <w:szCs w:val="22"/>
        </w:rPr>
        <w:t xml:space="preserve">Chart of Accounts Mapping — overrides in Multi-Book Accounting for secondary books</w:t>
      </w:r>
    </w:p>
    <w:p>
      <w:pPr>
        <w:pStyle w:val="ListParagraph"/>
        <w:numPr>
          <w:ilvl w:val="0"/>
          <w:numId w:val="3"/>
        </w:numPr>
        <w:spacing w:after="80"/>
      </w:pPr>
      <w:r>
        <w:rPr>
          <w:rFonts w:ascii="Arial" w:cs="Arial" w:eastAsia="Arial" w:hAnsi="Arial"/>
          <w:color w:val="1A1A1A"/>
          <w:sz w:val="22"/>
          <w:szCs w:val="22"/>
        </w:rPr>
        <w:t xml:space="preserve">Custom GL Lines Plug-in (SuiteGL) — developer-defined overrides at line level</w:t>
      </w:r>
    </w:p>
    <w:p>
      <w:pPr>
        <w:spacing w:after="80"/>
      </w:pPr>
      <w:r>
        <w:t xml:space="preserve"/>
      </w:r>
    </w:p>
    <w:p>
      <w:pPr>
        <w:pStyle w:val="Heading3"/>
        <w:spacing w:after="80" w:before="200"/>
      </w:pPr>
      <w:r>
        <w:rPr>
          <w:rFonts w:ascii="Arial" w:cs="Arial" w:eastAsia="Arial" w:hAnsi="Arial"/>
          <w:b/>
          <w:bCs/>
          <w:color w:val="1B3A6B"/>
          <w:sz w:val="24"/>
          <w:szCs w:val="24"/>
        </w:rPr>
        <w:t xml:space="preserve">Debit / Credit Logic</w:t>
      </w:r>
    </w:p>
    <w:p>
      <w:pPr>
        <w:spacing w:after="120"/>
      </w:pPr>
      <w:r>
        <w:rPr>
          <w:rFonts w:ascii="Arial" w:cs="Arial" w:eastAsia="Arial" w:hAnsi="Arial"/>
          <w:b w:val="false"/>
          <w:bCs w:val="false"/>
          <w:color w:val="1A1A1A"/>
          <w:sz w:val="22"/>
          <w:szCs w:val="22"/>
        </w:rPr>
        <w:t xml:space="preserve">The Posting Engine enforces double-entry accounting on every posting transaction. Every entry must balance. If custom GL lines or plug-ins create an imbalance, the system generates an error and blocks posting.</w:t>
      </w:r>
    </w:p>
    <w:p>
      <w:pPr>
        <w:spacing w:after="120"/>
      </w:pPr>
      <w:r>
        <w:rPr>
          <w:rFonts w:ascii="Arial" w:cs="Arial" w:eastAsia="Arial" w:hAnsi="Arial"/>
          <w:b w:val="false"/>
          <w:bCs w:val="false"/>
          <w:color w:val="1A1A1A"/>
          <w:sz w:val="22"/>
          <w:szCs w:val="22"/>
        </w:rPr>
        <w:t xml:space="preserve">Per Oracle documentation, NetSuite ensures adherence to double-entry accounting principles and balances data across all segment combinations automatically.</w:t>
      </w:r>
    </w:p>
    <w:p>
      <w:pPr>
        <w:spacing w:after="80"/>
      </w:pPr>
      <w:r>
        <w:t xml:space="preserve"/>
      </w:r>
    </w:p>
    <w:p>
      <w:pPr>
        <w:pStyle w:val="Heading3"/>
        <w:spacing w:after="80" w:before="200"/>
      </w:pPr>
      <w:r>
        <w:rPr>
          <w:rFonts w:ascii="Arial" w:cs="Arial" w:eastAsia="Arial" w:hAnsi="Arial"/>
          <w:b/>
          <w:bCs/>
          <w:color w:val="1B3A6B"/>
          <w:sz w:val="24"/>
          <w:szCs w:val="24"/>
        </w:rPr>
        <w:t xml:space="preserve">Timing of Posting</w:t>
      </w:r>
    </w:p>
    <w:p>
      <w:pPr>
        <w:spacing w:after="120"/>
      </w:pPr>
      <w:r>
        <w:rPr>
          <w:rFonts w:ascii="Arial" w:cs="Arial" w:eastAsia="Arial" w:hAnsi="Arial"/>
          <w:b w:val="false"/>
          <w:bCs w:val="false"/>
          <w:color w:val="1A1A1A"/>
          <w:sz w:val="22"/>
          <w:szCs w:val="22"/>
        </w:rPr>
        <w:t xml:space="preserve">Not all posting happens at transaction save time. NetSuite supports two posting timing models:</w:t>
      </w:r>
    </w:p>
    <w:p>
      <w:pPr>
        <w:spacing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rPr>
          <w:tblHeader/>
        </w:trPr>
        <w:tc>
          <w:tcPr>
            <w:tcW w:type="dxa" w:w="3066"/>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Timing Model</w:t>
            </w:r>
          </w:p>
        </w:tc>
        <w:tc>
          <w:tcPr>
            <w:tcW w:type="dxa" w:w="3066"/>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Trigger</w:t>
            </w:r>
          </w:p>
        </w:tc>
        <w:tc>
          <w:tcPr>
            <w:tcW w:type="dxa" w:w="3066"/>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Example Transactions</w:t>
            </w:r>
          </w:p>
        </w:tc>
      </w:tr>
      <w:tr>
        <w:tc>
          <w:tcPr>
            <w:tcW w:type="dxa" w:w="3066"/>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Immediate Posting</w:t>
            </w:r>
          </w:p>
        </w:tc>
        <w:tc>
          <w:tcPr>
            <w:tcW w:type="dxa" w:w="3066"/>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On transaction save</w:t>
            </w:r>
          </w:p>
        </w:tc>
        <w:tc>
          <w:tcPr>
            <w:tcW w:type="dxa" w:w="3066"/>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Invoice, Bill, Item Receipt, Journal Entry, Cash Sale</w:t>
            </w:r>
          </w:p>
        </w:tc>
      </w:tr>
      <w:tr>
        <w:tc>
          <w:tcPr>
            <w:tcW w:type="dxa" w:w="3066"/>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Deferred Posting</w:t>
            </w:r>
          </w:p>
        </w:tc>
        <w:tc>
          <w:tcPr>
            <w:tcW w:type="dxa" w:w="3066"/>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Revenue recognition schedule batch job</w:t>
            </w:r>
          </w:p>
        </w:tc>
        <w:tc>
          <w:tcPr>
            <w:tcW w:type="dxa" w:w="3066"/>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ARM Revenue Recognition Plans, Amortization Schedules</w:t>
            </w:r>
          </w:p>
        </w:tc>
      </w:tr>
      <w:tr>
        <w:tc>
          <w:tcPr>
            <w:tcW w:type="dxa" w:w="3066"/>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Period-End Posting</w:t>
            </w:r>
          </w:p>
        </w:tc>
        <w:tc>
          <w:tcPr>
            <w:tcW w:type="dxa" w:w="3066"/>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Manual run of period close tasks</w:t>
            </w:r>
          </w:p>
        </w:tc>
        <w:tc>
          <w:tcPr>
            <w:tcW w:type="dxa" w:w="3066"/>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FX Revaluation, Consolidated Exchange Rate recalculation, Intercompany Adjustments</w:t>
            </w:r>
          </w:p>
        </w:tc>
      </w:tr>
    </w:tbl>
    <w:p>
      <w:pPr>
        <w:spacing w:after="120"/>
      </w:pPr>
      <w:r>
        <w:t xml:space="preserve"/>
      </w:r>
    </w:p>
    <w:p>
      <w:pPr>
        <w:spacing w:after="120"/>
      </w:pPr>
      <w:r>
        <w:rPr>
          <w:rFonts w:ascii="Arial" w:cs="Arial" w:eastAsia="Arial" w:hAnsi="Arial"/>
          <w:b w:val="false"/>
          <w:bCs w:val="false"/>
          <w:color w:val="1A1A1A"/>
          <w:sz w:val="22"/>
          <w:szCs w:val="22"/>
        </w:rPr>
        <w:t xml:space="preserve">For Advanced Revenue Management (ARM), Oracle documentation confirms that revenue recognition plans control the timing of when revenue is posted. Each revenue element can have forecast plans and actual plans; only the actual plans control GL posting. You must explicitly generate revenue recognition journal entries to move amounts from the Deferred Revenue account to the Revenue account.</w:t>
      </w:r>
    </w:p>
    <w:p>
      <w:pPr>
        <w:spacing w:after="80"/>
      </w:pPr>
      <w:r>
        <w:t xml:space="preserve"/>
      </w:r>
    </w:p>
    <w:p>
      <w:pPr>
        <w:pStyle w:val="Heading3"/>
        <w:spacing w:after="80" w:before="200"/>
      </w:pPr>
      <w:r>
        <w:rPr>
          <w:rFonts w:ascii="Arial" w:cs="Arial" w:eastAsia="Arial" w:hAnsi="Arial"/>
          <w:b/>
          <w:bCs/>
          <w:color w:val="1B3A6B"/>
          <w:sz w:val="24"/>
          <w:szCs w:val="24"/>
        </w:rPr>
        <w:t xml:space="preserve">Multi-Book Handling</w:t>
      </w:r>
    </w:p>
    <w:p>
      <w:pPr>
        <w:spacing w:after="120"/>
      </w:pPr>
      <w:r>
        <w:rPr>
          <w:rFonts w:ascii="Arial" w:cs="Arial" w:eastAsia="Arial" w:hAnsi="Arial"/>
          <w:b w:val="false"/>
          <w:bCs w:val="false"/>
          <w:color w:val="1A1A1A"/>
          <w:sz w:val="22"/>
          <w:szCs w:val="22"/>
        </w:rPr>
        <w:t xml:space="preserve">When Multi-Book Accounting is enabled (available only in NetSuite OneWorld), the Posting Engine generates GL entries simultaneously across all active accounting books for every book-generic transaction. Key behaviors per Oracle documentation:</w:t>
      </w:r>
    </w:p>
    <w:p>
      <w:pPr>
        <w:pStyle w:val="ListParagraph"/>
        <w:numPr>
          <w:ilvl w:val="0"/>
          <w:numId w:val="2"/>
        </w:numPr>
        <w:spacing w:after="80"/>
      </w:pPr>
      <w:r>
        <w:rPr>
          <w:rFonts w:ascii="Arial" w:cs="Arial" w:eastAsia="Arial" w:hAnsi="Arial"/>
          <w:b w:val="false"/>
          <w:bCs w:val="false"/>
          <w:color w:val="1A1A1A"/>
          <w:sz w:val="22"/>
          <w:szCs w:val="22"/>
        </w:rPr>
        <w:t xml:space="preserve">Book-generic transactions post to all active accounting books automatically. Users who lack permission to a secondary book still trigger posting to that book using default or previously saved values.</w:t>
      </w:r>
    </w:p>
    <w:p>
      <w:pPr>
        <w:pStyle w:val="ListParagraph"/>
        <w:numPr>
          <w:ilvl w:val="0"/>
          <w:numId w:val="2"/>
        </w:numPr>
        <w:spacing w:after="80"/>
      </w:pPr>
      <w:r>
        <w:rPr>
          <w:rFonts w:ascii="Arial" w:cs="Arial" w:eastAsia="Arial" w:hAnsi="Arial"/>
          <w:b w:val="false"/>
          <w:bCs w:val="false"/>
          <w:color w:val="1A1A1A"/>
          <w:sz w:val="22"/>
          <w:szCs w:val="22"/>
        </w:rPr>
        <w:t xml:space="preserve">Book-specific transactions (e.g., adjustment-only journal entries) post to a single designated book only.</w:t>
      </w:r>
    </w:p>
    <w:p>
      <w:pPr>
        <w:pStyle w:val="ListParagraph"/>
        <w:numPr>
          <w:ilvl w:val="0"/>
          <w:numId w:val="2"/>
        </w:numPr>
        <w:spacing w:after="80"/>
      </w:pPr>
      <w:r>
        <w:rPr>
          <w:rFonts w:ascii="Arial" w:cs="Arial" w:eastAsia="Arial" w:hAnsi="Arial"/>
          <w:b w:val="false"/>
          <w:bCs w:val="false"/>
          <w:color w:val="1A1A1A"/>
          <w:sz w:val="22"/>
          <w:szCs w:val="22"/>
        </w:rPr>
        <w:t xml:space="preserve">Chart of Accounts Mapping can route the same business transaction to different accounts in different books, enabling parallel reporting under different accounting standards (US GAAP in primary book, IFRS in secondary book).</w:t>
      </w:r>
    </w:p>
    <w:p>
      <w:pPr>
        <w:pStyle w:val="ListParagraph"/>
        <w:numPr>
          <w:ilvl w:val="0"/>
          <w:numId w:val="2"/>
        </w:numPr>
        <w:spacing w:after="80"/>
      </w:pPr>
      <w:r>
        <w:rPr>
          <w:rFonts w:ascii="Arial" w:cs="Arial" w:eastAsia="Arial" w:hAnsi="Arial"/>
          <w:b w:val="false"/>
          <w:bCs w:val="false"/>
          <w:color w:val="1A1A1A"/>
          <w:sz w:val="22"/>
          <w:szCs w:val="22"/>
        </w:rPr>
        <w:t xml:space="preserve">Each accounting book can have its own period close status. Closing one book's period does not affect another book's period.</w:t>
      </w:r>
    </w:p>
    <w:p>
      <w:pPr>
        <w:pStyle w:val="ListParagraph"/>
        <w:numPr>
          <w:ilvl w:val="0"/>
          <w:numId w:val="2"/>
        </w:numPr>
        <w:spacing w:after="80"/>
      </w:pPr>
      <w:r>
        <w:rPr>
          <w:rFonts w:ascii="Arial" w:cs="Arial" w:eastAsia="Arial" w:hAnsi="Arial"/>
          <w:b w:val="false"/>
          <w:bCs w:val="false"/>
          <w:color w:val="1A1A1A"/>
          <w:sz w:val="22"/>
          <w:szCs w:val="22"/>
        </w:rPr>
        <w:t xml:space="preserve">The GL Impact page includes an Accounting Book filter, allowing review of impact per book independently.</w:t>
      </w:r>
    </w:p>
    <w:p>
      <w:pPr>
        <w:spacing w:after="200"/>
      </w:pPr>
      <w:r>
        <w:t xml:space="preserve"/>
      </w:r>
    </w:p>
    <w:p>
      <w:r>
        <w:br w:type="page"/>
      </w:r>
    </w:p>
    <w:p>
      <w:pPr>
        <w:pStyle w:val="Heading1"/>
        <w:shd w:fill="1B3A6B" w:val="clear"/>
        <w:spacing w:after="120" w:before="360"/>
        <w:ind w:left="240" w:right="240"/>
      </w:pPr>
      <w:bookmarkStart w:name="s5" w:id="19"/>
      <w:r>
        <w:rPr>
          <w:rFonts w:ascii="Arial" w:cs="Arial" w:eastAsia="Arial" w:hAnsi="Arial"/>
          <w:b/>
          <w:bCs/>
          <w:color w:val="FFFFFF"/>
          <w:sz w:val="36"/>
          <w:szCs w:val="36"/>
        </w:rPr>
        <w:t xml:space="preserve">5. Posting vs. Non-Posting Transactions</w:t>
      </w:r>
      <w:bookmarkEnd w:id="20"/>
    </w:p>
    <w:p>
      <w:pPr>
        <w:spacing w:after="80"/>
      </w:pPr>
      <w:r>
        <w:t xml:space="preserve"/>
      </w:r>
    </w:p>
    <w:p>
      <w:pPr>
        <w:spacing w:after="120"/>
      </w:pPr>
      <w:r>
        <w:rPr>
          <w:rFonts w:ascii="Arial" w:cs="Arial" w:eastAsia="Arial" w:hAnsi="Arial"/>
          <w:b w:val="false"/>
          <w:bCs w:val="false"/>
          <w:color w:val="1A1A1A"/>
          <w:sz w:val="22"/>
          <w:szCs w:val="22"/>
        </w:rPr>
        <w:t xml:space="preserve">This is one of the most operationally important distinctions in NetSuite. Misunderstanding it leads to incorrect revenue recognition assumptions and flawed financial analysis.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00"/>
      </w:tblGrid>
      <w:tr>
        <w:trPr>
          <w:tblHeader/>
        </w:trPr>
        <w:tc>
          <w:tcPr>
            <w:tcW w:type="dxa" w:w="18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Attribute</w:t>
            </w:r>
          </w:p>
        </w:tc>
        <w:tc>
          <w:tcPr>
            <w:tcW w:type="dxa" w:w="37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Posting Transactions</w:t>
            </w:r>
          </w:p>
        </w:tc>
        <w:tc>
          <w:tcPr>
            <w:tcW w:type="dxa" w:w="37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Non-Posting Transactions</w:t>
            </w:r>
          </w:p>
        </w:tc>
      </w:tr>
      <w:tr>
        <w:tc>
          <w:tcPr>
            <w:tcW w:type="dxa" w:w="18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GL Impact</w:t>
            </w:r>
          </w:p>
        </w:tc>
        <w:tc>
          <w:tcPr>
            <w:tcW w:type="dxa" w:w="37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Yes — debits and credits generated</w:t>
            </w:r>
          </w:p>
        </w:tc>
        <w:tc>
          <w:tcPr>
            <w:tcW w:type="dxa" w:w="37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No — non-posting registers only</w:t>
            </w:r>
          </w:p>
        </w:tc>
      </w:tr>
      <w:tr>
        <w:tc>
          <w:tcPr>
            <w:tcW w:type="dxa" w:w="18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Financial reports</w:t>
            </w:r>
          </w:p>
        </w:tc>
        <w:tc>
          <w:tcPr>
            <w:tcW w:type="dxa" w:w="37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Affects Trial Balance, P&amp;L, Balance Sheet</w:t>
            </w:r>
          </w:p>
        </w:tc>
        <w:tc>
          <w:tcPr>
            <w:tcW w:type="dxa" w:w="37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Does not affect financial reports</w:t>
            </w:r>
          </w:p>
        </w:tc>
      </w:tr>
      <w:tr>
        <w:tc>
          <w:tcPr>
            <w:tcW w:type="dxa" w:w="18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Posting Period</w:t>
            </w:r>
          </w:p>
        </w:tc>
        <w:tc>
          <w:tcPr>
            <w:tcW w:type="dxa" w:w="37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Required; must be an open period</w:t>
            </w:r>
          </w:p>
        </w:tc>
        <w:tc>
          <w:tcPr>
            <w:tcW w:type="dxa" w:w="37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Not required</w:t>
            </w:r>
          </w:p>
        </w:tc>
      </w:tr>
      <w:tr>
        <w:tc>
          <w:tcPr>
            <w:tcW w:type="dxa" w:w="18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Period locks apply</w:t>
            </w:r>
          </w:p>
        </w:tc>
        <w:tc>
          <w:tcPr>
            <w:tcW w:type="dxa" w:w="37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Yes — blocked in locked/closed periods</w:t>
            </w:r>
          </w:p>
        </w:tc>
        <w:tc>
          <w:tcPr>
            <w:tcW w:type="dxa" w:w="37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 — can be entered regardless</w:t>
            </w:r>
          </w:p>
        </w:tc>
      </w:tr>
      <w:tr>
        <w:tc>
          <w:tcPr>
            <w:tcW w:type="dxa" w:w="18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Examples</w:t>
            </w:r>
          </w:p>
        </w:tc>
        <w:tc>
          <w:tcPr>
            <w:tcW w:type="dxa" w:w="37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Invoice, Bill, Item Receipt, Item Fulfillment (if inventory), Customer Payment, Journal Entry, Cash Sale, Credit Memo</w:t>
            </w:r>
          </w:p>
        </w:tc>
        <w:tc>
          <w:tcPr>
            <w:tcW w:type="dxa" w:w="37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Sales Order, Purchase Order, Estimate, Return Authorization (prior to RMA receipt), Opportunity</w:t>
            </w:r>
          </w:p>
        </w:tc>
      </w:tr>
    </w:tbl>
    <w:p>
      <w:pPr>
        <w:spacing w:after="120"/>
      </w:pPr>
      <w:r>
        <w:t xml:space="preserve"/>
      </w:r>
    </w:p>
    <w:p>
      <w:pPr>
        <w:spacing w:after="120"/>
      </w:pPr>
      <w:r>
        <w:rPr>
          <w:rFonts w:ascii="Arial" w:cs="Arial" w:eastAsia="Arial" w:hAnsi="Arial"/>
          <w:b w:val="false"/>
          <w:bCs w:val="false"/>
          <w:color w:val="1A1A1A"/>
          <w:sz w:val="22"/>
          <w:szCs w:val="22"/>
        </w:rPr>
        <w:t xml:space="preserve">The Oracle Help Center explicitly states: 'Sales orders are non-posting transactions. They don't post an amount to your ledger accounts.' After fulfillment, however, the costs and asset values of items post to the ledger. This is the correct timing of operational vs. financial events.</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00"/>
        <w:gridCol w:w="7800"/>
      </w:tblGrid>
      <w:tr>
        <w:tc>
          <w:tcPr>
            <w:tcW w:type="dxa" w:w="14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CRITICAL RULE</w:t>
            </w:r>
          </w:p>
        </w:tc>
        <w:tc>
          <w:tcPr>
            <w:tcW w:type="dxa" w:w="7800"/>
            <w:tcBorders>
              <w:top w:val="none" w:color="FFFFFF" w:sz="0"/>
              <w:left w:val="none" w:color="FFFFFF" w:sz="0"/>
              <w:bottom w:val="none" w:color="FFFFFF" w:sz="0"/>
              <w:right w:val="none" w:color="FFFFFF" w:sz="0"/>
            </w:tcBorders>
            <w:shd w:fill="F2F4F7" w:val="clear"/>
            <w:tcMar>
              <w:top w:type="dxa" w:w="100"/>
              <w:left w:type="dxa" w:w="200"/>
              <w:bottom w:type="dxa" w:w="100"/>
              <w:right w:type="dxa" w:w="140"/>
            </w:tcMar>
          </w:tcPr>
          <w:p>
            <w:r>
              <w:rPr>
                <w:rFonts w:ascii="Arial" w:cs="Arial" w:eastAsia="Arial" w:hAnsi="Arial"/>
                <w:color w:val="1A1A1A"/>
                <w:sz w:val="20"/>
                <w:szCs w:val="20"/>
              </w:rPr>
              <w:t xml:space="preserve">An approved Sales Order does NOT increase revenue. Revenue is recognized only when an Invoice or Cash Sale is created—and even then, only if ARM is not deferring it to a later period. Never state otherwise in a financial review.</w:t>
            </w:r>
          </w:p>
        </w:tc>
      </w:tr>
    </w:tbl>
    <w:p>
      <w:pPr>
        <w:spacing w:after="200"/>
      </w:pPr>
      <w:r>
        <w:t xml:space="preserve"/>
      </w:r>
    </w:p>
    <w:p>
      <w:r>
        <w:br w:type="page"/>
      </w:r>
    </w:p>
    <w:p>
      <w:pPr>
        <w:pStyle w:val="Heading1"/>
        <w:shd w:fill="1B3A6B" w:val="clear"/>
        <w:spacing w:after="120" w:before="360"/>
        <w:ind w:left="240" w:right="240"/>
      </w:pPr>
      <w:bookmarkStart w:name="s6" w:id="21"/>
      <w:r>
        <w:rPr>
          <w:rFonts w:ascii="Arial" w:cs="Arial" w:eastAsia="Arial" w:hAnsi="Arial"/>
          <w:b/>
          <w:bCs/>
          <w:color w:val="FFFFFF"/>
          <w:sz w:val="36"/>
          <w:szCs w:val="36"/>
        </w:rPr>
        <w:t xml:space="preserve">6. GL Impact Determination</w:t>
      </w:r>
      <w:bookmarkEnd w:id="22"/>
    </w:p>
    <w:p>
      <w:pPr>
        <w:spacing w:after="80"/>
      </w:pPr>
      <w:r>
        <w:t xml:space="preserve"/>
      </w:r>
    </w:p>
    <w:p>
      <w:pPr>
        <w:spacing w:after="120"/>
      </w:pPr>
      <w:r>
        <w:rPr>
          <w:rFonts w:ascii="Arial" w:cs="Arial" w:eastAsia="Arial" w:hAnsi="Arial"/>
          <w:b w:val="false"/>
          <w:bCs w:val="false"/>
          <w:color w:val="1A1A1A"/>
          <w:sz w:val="22"/>
          <w:szCs w:val="22"/>
        </w:rPr>
        <w:t xml:space="preserve">Understanding what drives a specific GL entry requires tracing the accounting logic from the transaction back through its configuration. The following table maps common transaction types to their standard GL impact, validated against Oracle's official documentation.</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000"/>
      </w:tblGrid>
      <w:tr>
        <w:trPr>
          <w:tblHeader/>
        </w:trPr>
        <w:tc>
          <w:tcPr>
            <w:tcW w:type="dxa" w:w="28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Transaction Type</w:t>
            </w:r>
          </w:p>
        </w:tc>
        <w:tc>
          <w:tcPr>
            <w:tcW w:type="dxa" w:w="22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Debit Account</w:t>
            </w:r>
          </w:p>
        </w:tc>
        <w:tc>
          <w:tcPr>
            <w:tcW w:type="dxa" w:w="22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Credit Account</w:t>
            </w:r>
          </w:p>
        </w:tc>
        <w:tc>
          <w:tcPr>
            <w:tcW w:type="dxa" w:w="20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Posting?</w:t>
            </w:r>
          </w:p>
        </w:tc>
      </w:tr>
      <w:tr>
        <w:tc>
          <w:tcPr>
            <w:tcW w:type="dxa" w:w="28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Invoice (standard)</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Accounts Receivable</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Revenue / Income</w:t>
            </w:r>
          </w:p>
        </w:tc>
        <w:tc>
          <w:tcPr>
            <w:tcW w:type="dxa" w:w="20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Yes</w:t>
            </w:r>
          </w:p>
        </w:tc>
      </w:tr>
      <w:tr>
        <w:tc>
          <w:tcPr>
            <w:tcW w:type="dxa" w:w="28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Invoice (inventory item)</w:t>
            </w:r>
          </w:p>
        </w:tc>
        <w:tc>
          <w:tcPr>
            <w:tcW w:type="dxa" w:w="2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COGS (additional entry)</w:t>
            </w:r>
          </w:p>
        </w:tc>
        <w:tc>
          <w:tcPr>
            <w:tcW w:type="dxa" w:w="2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Inventory Asset (additional entry)</w:t>
            </w:r>
          </w:p>
        </w:tc>
        <w:tc>
          <w:tcPr>
            <w:tcW w:type="dxa" w:w="20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Yes</w:t>
            </w:r>
          </w:p>
        </w:tc>
      </w:tr>
      <w:tr>
        <w:tc>
          <w:tcPr>
            <w:tcW w:type="dxa" w:w="28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Item Fulfillment</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COGS</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Inventory Asset</w:t>
            </w:r>
          </w:p>
        </w:tc>
        <w:tc>
          <w:tcPr>
            <w:tcW w:type="dxa" w:w="20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Yes</w:t>
            </w:r>
          </w:p>
        </w:tc>
      </w:tr>
      <w:tr>
        <w:tc>
          <w:tcPr>
            <w:tcW w:type="dxa" w:w="28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Customer Payment</w:t>
            </w:r>
          </w:p>
        </w:tc>
        <w:tc>
          <w:tcPr>
            <w:tcW w:type="dxa" w:w="2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Undeposited Funds</w:t>
            </w:r>
          </w:p>
        </w:tc>
        <w:tc>
          <w:tcPr>
            <w:tcW w:type="dxa" w:w="2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Accounts Receivable</w:t>
            </w:r>
          </w:p>
        </w:tc>
        <w:tc>
          <w:tcPr>
            <w:tcW w:type="dxa" w:w="20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Yes</w:t>
            </w:r>
          </w:p>
        </w:tc>
      </w:tr>
      <w:tr>
        <w:tc>
          <w:tcPr>
            <w:tcW w:type="dxa" w:w="28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Bank Deposit</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Bank / Checking Account</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Undeposited Funds</w:t>
            </w:r>
          </w:p>
        </w:tc>
        <w:tc>
          <w:tcPr>
            <w:tcW w:type="dxa" w:w="20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Yes</w:t>
            </w:r>
          </w:p>
        </w:tc>
      </w:tr>
      <w:tr>
        <w:tc>
          <w:tcPr>
            <w:tcW w:type="dxa" w:w="28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Vendor Bill</w:t>
            </w:r>
          </w:p>
        </w:tc>
        <w:tc>
          <w:tcPr>
            <w:tcW w:type="dxa" w:w="2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Expense Account</w:t>
            </w:r>
          </w:p>
        </w:tc>
        <w:tc>
          <w:tcPr>
            <w:tcW w:type="dxa" w:w="2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Accounts Payable</w:t>
            </w:r>
          </w:p>
        </w:tc>
        <w:tc>
          <w:tcPr>
            <w:tcW w:type="dxa" w:w="20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Yes</w:t>
            </w:r>
          </w:p>
        </w:tc>
      </w:tr>
      <w:tr>
        <w:tc>
          <w:tcPr>
            <w:tcW w:type="dxa" w:w="28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Item Receipt</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Inventory Asset</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Accounts Payable / Accrued Liability</w:t>
            </w:r>
          </w:p>
        </w:tc>
        <w:tc>
          <w:tcPr>
            <w:tcW w:type="dxa" w:w="20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Yes</w:t>
            </w:r>
          </w:p>
        </w:tc>
      </w:tr>
      <w:tr>
        <w:tc>
          <w:tcPr>
            <w:tcW w:type="dxa" w:w="28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Journal Entry</w:t>
            </w:r>
          </w:p>
        </w:tc>
        <w:tc>
          <w:tcPr>
            <w:tcW w:type="dxa" w:w="2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User-specified</w:t>
            </w:r>
          </w:p>
        </w:tc>
        <w:tc>
          <w:tcPr>
            <w:tcW w:type="dxa" w:w="2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User-specified</w:t>
            </w:r>
          </w:p>
        </w:tc>
        <w:tc>
          <w:tcPr>
            <w:tcW w:type="dxa" w:w="20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Yes</w:t>
            </w:r>
          </w:p>
        </w:tc>
      </w:tr>
      <w:tr>
        <w:tc>
          <w:tcPr>
            <w:tcW w:type="dxa" w:w="28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Sales Order</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N/A (non-posting register)</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N/A (non-posting register)</w:t>
            </w:r>
          </w:p>
        </w:tc>
        <w:tc>
          <w:tcPr>
            <w:tcW w:type="dxa" w:w="20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No</w:t>
            </w:r>
          </w:p>
        </w:tc>
      </w:tr>
      <w:tr>
        <w:tc>
          <w:tcPr>
            <w:tcW w:type="dxa" w:w="28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Purchase Order</w:t>
            </w:r>
          </w:p>
        </w:tc>
        <w:tc>
          <w:tcPr>
            <w:tcW w:type="dxa" w:w="2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N/A (non-posting register)</w:t>
            </w:r>
          </w:p>
        </w:tc>
        <w:tc>
          <w:tcPr>
            <w:tcW w:type="dxa" w:w="2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N/A (non-posting register)</w:t>
            </w:r>
          </w:p>
        </w:tc>
        <w:tc>
          <w:tcPr>
            <w:tcW w:type="dxa" w:w="20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No</w:t>
            </w:r>
          </w:p>
        </w:tc>
      </w:tr>
      <w:tr>
        <w:tc>
          <w:tcPr>
            <w:tcW w:type="dxa" w:w="28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Credit Memo (customer)</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Revenue / Income</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Accounts Receivable</w:t>
            </w:r>
          </w:p>
        </w:tc>
        <w:tc>
          <w:tcPr>
            <w:tcW w:type="dxa" w:w="20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Yes</w:t>
            </w:r>
          </w:p>
        </w:tc>
      </w:tr>
      <w:tr>
        <w:tc>
          <w:tcPr>
            <w:tcW w:type="dxa" w:w="28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Write Check</w:t>
            </w:r>
          </w:p>
        </w:tc>
        <w:tc>
          <w:tcPr>
            <w:tcW w:type="dxa" w:w="2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Expense Account (user-selected)</w:t>
            </w:r>
          </w:p>
        </w:tc>
        <w:tc>
          <w:tcPr>
            <w:tcW w:type="dxa" w:w="2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Bank / Checking Account</w:t>
            </w:r>
          </w:p>
        </w:tc>
        <w:tc>
          <w:tcPr>
            <w:tcW w:type="dxa" w:w="20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Yes</w:t>
            </w:r>
          </w:p>
        </w:tc>
      </w:tr>
      <w:tr>
        <w:tc>
          <w:tcPr>
            <w:tcW w:type="dxa" w:w="28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Revenue Recognition JE (ARM)</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Deferred Revenue</w:t>
            </w:r>
          </w:p>
        </w:tc>
        <w:tc>
          <w:tcPr>
            <w:tcW w:type="dxa" w:w="2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Revenue / Income</w:t>
            </w:r>
          </w:p>
        </w:tc>
        <w:tc>
          <w:tcPr>
            <w:tcW w:type="dxa" w:w="20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Yes</w:t>
            </w:r>
          </w:p>
        </w:tc>
      </w:tr>
    </w:tbl>
    <w:p>
      <w:pPr>
        <w:spacing w:after="12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6.1  Item-Driven Accounting</w:t>
      </w:r>
    </w:p>
    <w:p>
      <w:pPr>
        <w:spacing w:after="120"/>
      </w:pPr>
      <w:r>
        <w:rPr>
          <w:rFonts w:ascii="Arial" w:cs="Arial" w:eastAsia="Arial" w:hAnsi="Arial"/>
          <w:b w:val="false"/>
          <w:bCs w:val="false"/>
          <w:color w:val="1A1A1A"/>
          <w:sz w:val="22"/>
          <w:szCs w:val="22"/>
        </w:rPr>
        <w:t xml:space="preserve">The item type is the primary determinant of GL account selection. Oracle documentation confirms this through the costing method and item type interaction:</w:t>
      </w:r>
    </w:p>
    <w:p>
      <w:pPr>
        <w:pStyle w:val="ListParagraph"/>
        <w:numPr>
          <w:ilvl w:val="0"/>
          <w:numId w:val="2"/>
        </w:numPr>
        <w:spacing w:after="80"/>
      </w:pPr>
      <w:r>
        <w:rPr>
          <w:rFonts w:ascii="Arial" w:cs="Arial" w:eastAsia="Arial" w:hAnsi="Arial"/>
          <w:b w:val="false"/>
          <w:bCs w:val="false"/>
          <w:color w:val="1A1A1A"/>
          <w:sz w:val="22"/>
          <w:szCs w:val="22"/>
        </w:rPr>
        <w:t xml:space="preserve">Inventory Items use Average Costing by default. COGS is calculated as total units available during a period divided by beginning inventory cost plus cost of additions. When an inventory item is sold, the GL shows an increase in COGS and a decrease in the Inventory Asset account.</w:t>
      </w:r>
    </w:p>
    <w:p>
      <w:pPr>
        <w:pStyle w:val="ListParagraph"/>
        <w:numPr>
          <w:ilvl w:val="0"/>
          <w:numId w:val="2"/>
        </w:numPr>
        <w:spacing w:after="80"/>
      </w:pPr>
      <w:r>
        <w:rPr>
          <w:rFonts w:ascii="Arial" w:cs="Arial" w:eastAsia="Arial" w:hAnsi="Arial"/>
          <w:b w:val="false"/>
          <w:bCs w:val="false"/>
          <w:color w:val="1A1A1A"/>
          <w:sz w:val="22"/>
          <w:szCs w:val="22"/>
        </w:rPr>
        <w:t xml:space="preserve">Service Items post revenue directly to the configured Revenue Account without any inventory or COGS movement.</w:t>
      </w:r>
    </w:p>
    <w:p>
      <w:pPr>
        <w:pStyle w:val="ListParagraph"/>
        <w:numPr>
          <w:ilvl w:val="0"/>
          <w:numId w:val="2"/>
        </w:numPr>
        <w:spacing w:after="80"/>
      </w:pPr>
      <w:r>
        <w:rPr>
          <w:rFonts w:ascii="Arial" w:cs="Arial" w:eastAsia="Arial" w:hAnsi="Arial"/>
          <w:b w:val="false"/>
          <w:bCs w:val="false"/>
          <w:color w:val="1A1A1A"/>
          <w:sz w:val="22"/>
          <w:szCs w:val="22"/>
        </w:rPr>
        <w:t xml:space="preserve">Non-Inventory Items (for resale) behave like inventory items but without quantity tracking.</w:t>
      </w:r>
    </w:p>
    <w:p>
      <w:pPr>
        <w:pStyle w:val="ListParagraph"/>
        <w:numPr>
          <w:ilvl w:val="0"/>
          <w:numId w:val="2"/>
        </w:numPr>
        <w:spacing w:after="80"/>
      </w:pPr>
      <w:r>
        <w:rPr>
          <w:rFonts w:ascii="Arial" w:cs="Arial" w:eastAsia="Arial" w:hAnsi="Arial"/>
          <w:b w:val="false"/>
          <w:bCs w:val="false"/>
          <w:color w:val="1A1A1A"/>
          <w:sz w:val="22"/>
          <w:szCs w:val="22"/>
        </w:rPr>
        <w:t xml:space="preserve">Non-Inventory Items (for consumption) post directly to an expense account.</w:t>
      </w:r>
    </w:p>
    <w:p>
      <w:pPr>
        <w:spacing w:after="8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6.2  Deferred Revenue and ARM</w:t>
      </w:r>
    </w:p>
    <w:p>
      <w:pPr>
        <w:spacing w:after="120"/>
      </w:pPr>
      <w:r>
        <w:rPr>
          <w:rFonts w:ascii="Arial" w:cs="Arial" w:eastAsia="Arial" w:hAnsi="Arial"/>
          <w:b w:val="false"/>
          <w:bCs w:val="false"/>
          <w:color w:val="1A1A1A"/>
          <w:sz w:val="22"/>
          <w:szCs w:val="22"/>
        </w:rPr>
        <w:t xml:space="preserve">When Advanced Revenue Management (ARM) is enabled and an item is configured with a Deferred Revenue Account and a Revenue Recognition Rule, the posting sequence changes:</w:t>
      </w:r>
    </w:p>
    <w:p>
      <w:pPr>
        <w:pStyle w:val="ListParagraph"/>
        <w:numPr>
          <w:ilvl w:val="0"/>
          <w:numId w:val="2"/>
        </w:numPr>
        <w:spacing w:after="80"/>
      </w:pPr>
      <w:r>
        <w:rPr>
          <w:rFonts w:ascii="Arial" w:cs="Arial" w:eastAsia="Arial" w:hAnsi="Arial"/>
          <w:b w:val="false"/>
          <w:bCs w:val="false"/>
          <w:color w:val="1A1A1A"/>
          <w:sz w:val="22"/>
          <w:szCs w:val="22"/>
        </w:rPr>
        <w:t xml:space="preserve">At billing (Invoice creation): Debit Accounts Receivable, Credit Deferred Revenue — revenue is not yet earned</w:t>
      </w:r>
    </w:p>
    <w:p>
      <w:pPr>
        <w:pStyle w:val="ListParagraph"/>
        <w:numPr>
          <w:ilvl w:val="0"/>
          <w:numId w:val="2"/>
        </w:numPr>
        <w:spacing w:after="80"/>
      </w:pPr>
      <w:r>
        <w:rPr>
          <w:rFonts w:ascii="Arial" w:cs="Arial" w:eastAsia="Arial" w:hAnsi="Arial"/>
          <w:b w:val="false"/>
          <w:bCs w:val="false"/>
          <w:color w:val="1A1A1A"/>
          <w:sz w:val="22"/>
          <w:szCs w:val="22"/>
        </w:rPr>
        <w:t xml:space="preserve">Revenue recognition plan executes (per schedule): Debit Deferred Revenue, Credit Revenue Account — revenue is earned and moved</w:t>
      </w:r>
    </w:p>
    <w:p>
      <w:pPr>
        <w:pStyle w:val="ListParagraph"/>
        <w:numPr>
          <w:ilvl w:val="0"/>
          <w:numId w:val="2"/>
        </w:numPr>
        <w:spacing w:after="80"/>
      </w:pPr>
      <w:r>
        <w:rPr>
          <w:rFonts w:ascii="Arial" w:cs="Arial" w:eastAsia="Arial" w:hAnsi="Arial"/>
          <w:b w:val="false"/>
          <w:bCs w:val="false"/>
          <w:color w:val="1A1A1A"/>
          <w:sz w:val="22"/>
          <w:szCs w:val="22"/>
        </w:rPr>
        <w:t xml:space="preserve">Per Oracle documentation, revenue plans indicate the posting periods in which revenue should be recognized and the amounts per period. Actual revenue recognition journal entries must be generated to post to the GL.</w:t>
      </w:r>
    </w:p>
    <w:p>
      <w:pPr>
        <w:pStyle w:val="ListParagraph"/>
        <w:numPr>
          <w:ilvl w:val="0"/>
          <w:numId w:val="2"/>
        </w:numPr>
        <w:spacing w:after="80"/>
      </w:pPr>
      <w:r>
        <w:rPr>
          <w:rFonts w:ascii="Arial" w:cs="Arial" w:eastAsia="Arial" w:hAnsi="Arial"/>
          <w:b w:val="false"/>
          <w:bCs w:val="false"/>
          <w:color w:val="1A1A1A"/>
          <w:sz w:val="22"/>
          <w:szCs w:val="22"/>
        </w:rPr>
        <w:t xml:space="preserve">The 'Create Revenue Recognition Journals in GL' accounting preference controls whether recognition and reclassification journal entries post automatically or require manual generation.</w:t>
      </w:r>
    </w:p>
    <w:p>
      <w:pPr>
        <w:spacing w:after="200"/>
      </w:pPr>
      <w:r>
        <w:t xml:space="preserve"/>
      </w:r>
    </w:p>
    <w:p>
      <w:r>
        <w:br w:type="page"/>
      </w:r>
    </w:p>
    <w:p>
      <w:pPr>
        <w:pStyle w:val="Heading1"/>
        <w:shd w:fill="1B3A6B" w:val="clear"/>
        <w:spacing w:after="120" w:before="360"/>
        <w:ind w:left="240" w:right="240"/>
      </w:pPr>
      <w:bookmarkStart w:name="s7" w:id="23"/>
      <w:r>
        <w:rPr>
          <w:rFonts w:ascii="Arial" w:cs="Arial" w:eastAsia="Arial" w:hAnsi="Arial"/>
          <w:b/>
          <w:bCs/>
          <w:color w:val="FFFFFF"/>
          <w:sz w:val="36"/>
          <w:szCs w:val="36"/>
        </w:rPr>
        <w:t xml:space="preserve">7. Accounting Period Control &amp; Posting Rules</w:t>
      </w:r>
      <w:bookmarkEnd w:id="24"/>
    </w:p>
    <w:p>
      <w:pPr>
        <w:spacing w:after="80"/>
      </w:pPr>
      <w:r>
        <w:t xml:space="preserve"/>
      </w:r>
    </w:p>
    <w:p>
      <w:pPr>
        <w:spacing w:after="120"/>
      </w:pPr>
      <w:r>
        <w:rPr>
          <w:rFonts w:ascii="Arial" w:cs="Arial" w:eastAsia="Arial" w:hAnsi="Arial"/>
          <w:b w:val="false"/>
          <w:bCs w:val="false"/>
          <w:color w:val="1A1A1A"/>
          <w:sz w:val="22"/>
          <w:szCs w:val="22"/>
        </w:rPr>
        <w:t xml:space="preserve">Accounting periods are the control gates that govern when transactions can post to the GL. Period management is one of the most administratively critical functions in NetSuite. Errors here affect audit trails, historical reporting, and financial statement accuracy.</w:t>
      </w:r>
    </w:p>
    <w:p>
      <w:pPr>
        <w:spacing w:after="6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7.1  Period States</w:t>
      </w:r>
    </w:p>
    <w:p>
      <w:pPr>
        <w:spacing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000"/>
      </w:tblGrid>
      <w:tr>
        <w:trPr>
          <w:tblHeader/>
        </w:trPr>
        <w:tc>
          <w:tcPr>
            <w:tcW w:type="dxa" w:w="20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Period State</w:t>
            </w:r>
          </w:p>
        </w:tc>
        <w:tc>
          <w:tcPr>
            <w:tcW w:type="dxa" w:w="42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Meaning</w:t>
            </w:r>
          </w:p>
        </w:tc>
        <w:tc>
          <w:tcPr>
            <w:tcW w:type="dxa" w:w="30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GL Posting Allowed?</w:t>
            </w:r>
          </w:p>
        </w:tc>
      </w:tr>
      <w:tr>
        <w:tc>
          <w:tcPr>
            <w:tcW w:type="dxa" w:w="20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Open</w:t>
            </w:r>
          </w:p>
        </w:tc>
        <w:tc>
          <w:tcPr>
            <w:tcW w:type="dxa" w:w="4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Period is active and available for posting</w:t>
            </w:r>
          </w:p>
        </w:tc>
        <w:tc>
          <w:tcPr>
            <w:tcW w:type="dxa" w:w="30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Yes — all users</w:t>
            </w:r>
          </w:p>
        </w:tc>
      </w:tr>
      <w:tr>
        <w:tc>
          <w:tcPr>
            <w:tcW w:type="dxa" w:w="20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Locked (Module)</w:t>
            </w:r>
          </w:p>
        </w:tc>
        <w:tc>
          <w:tcPr>
            <w:tcW w:type="dxa" w:w="4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A/R, A/P, or Payroll locked individually; review and adjustment phase</w:t>
            </w:r>
          </w:p>
        </w:tc>
        <w:tc>
          <w:tcPr>
            <w:tcW w:type="dxa" w:w="30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Yes — with Override Period Restrictions permission only</w:t>
            </w:r>
          </w:p>
        </w:tc>
      </w:tr>
      <w:tr>
        <w:tc>
          <w:tcPr>
            <w:tcW w:type="dxa" w:w="20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Locked (All)</w:t>
            </w:r>
          </w:p>
        </w:tc>
        <w:tc>
          <w:tcPr>
            <w:tcW w:type="dxa" w:w="4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All transaction types locked for the period</w:t>
            </w:r>
          </w:p>
        </w:tc>
        <w:tc>
          <w:tcPr>
            <w:tcW w:type="dxa" w:w="30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Yes — with Override Period Restrictions permission only</w:t>
            </w:r>
          </w:p>
        </w:tc>
      </w:tr>
      <w:tr>
        <w:tc>
          <w:tcPr>
            <w:tcW w:type="dxa" w:w="20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Closed</w:t>
            </w:r>
          </w:p>
        </w:tc>
        <w:tc>
          <w:tcPr>
            <w:tcW w:type="dxa" w:w="4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Final state; period close checklist completed</w:t>
            </w:r>
          </w:p>
        </w:tc>
        <w:tc>
          <w:tcPr>
            <w:tcW w:type="dxa" w:w="30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No — period must be reopened first; no exceptions except non-GL changes with Allow Non-G/L Changes permission</w:t>
            </w:r>
          </w:p>
        </w:tc>
      </w:tr>
    </w:tbl>
    <w:p>
      <w:pPr>
        <w:spacing w:after="12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7.2  Period Close Sequence</w:t>
      </w:r>
    </w:p>
    <w:p>
      <w:pPr>
        <w:spacing w:after="120"/>
      </w:pPr>
      <w:r>
        <w:rPr>
          <w:rFonts w:ascii="Arial" w:cs="Arial" w:eastAsia="Arial" w:hAnsi="Arial"/>
          <w:b w:val="false"/>
          <w:bCs w:val="false"/>
          <w:color w:val="1A1A1A"/>
          <w:sz w:val="22"/>
          <w:szCs w:val="22"/>
        </w:rPr>
        <w:t xml:space="preserve">The Oracle-documented period close sequence follows the Period Close Checklist (Setup &gt; Accounting &gt; Manage GL &gt; Manage Accounting Periods &gt; Checklist icon):</w:t>
      </w:r>
    </w:p>
    <w:p>
      <w:pPr>
        <w:pStyle w:val="ListParagraph"/>
        <w:numPr>
          <w:ilvl w:val="0"/>
          <w:numId w:val="3"/>
        </w:numPr>
        <w:spacing w:after="80"/>
      </w:pPr>
      <w:r>
        <w:rPr>
          <w:rFonts w:ascii="Arial" w:cs="Arial" w:eastAsia="Arial" w:hAnsi="Arial"/>
          <w:color w:val="1A1A1A"/>
          <w:sz w:val="22"/>
          <w:szCs w:val="22"/>
        </w:rPr>
        <w:t xml:space="preserve">Revalue Open Foreign Currency Balances</w:t>
      </w:r>
    </w:p>
    <w:p>
      <w:pPr>
        <w:pStyle w:val="ListParagraph"/>
        <w:numPr>
          <w:ilvl w:val="0"/>
          <w:numId w:val="3"/>
        </w:numPr>
        <w:spacing w:after="80"/>
      </w:pPr>
      <w:r>
        <w:rPr>
          <w:rFonts w:ascii="Arial" w:cs="Arial" w:eastAsia="Arial" w:hAnsi="Arial"/>
          <w:color w:val="1A1A1A"/>
          <w:sz w:val="22"/>
          <w:szCs w:val="22"/>
        </w:rPr>
        <w:t xml:space="preserve">Create Intercompany Adjustments (OneWorld)</w:t>
      </w:r>
    </w:p>
    <w:p>
      <w:pPr>
        <w:pStyle w:val="ListParagraph"/>
        <w:numPr>
          <w:ilvl w:val="0"/>
          <w:numId w:val="3"/>
        </w:numPr>
        <w:spacing w:after="80"/>
      </w:pPr>
      <w:r>
        <w:rPr>
          <w:rFonts w:ascii="Arial" w:cs="Arial" w:eastAsia="Arial" w:hAnsi="Arial"/>
          <w:color w:val="1A1A1A"/>
          <w:sz w:val="22"/>
          <w:szCs w:val="22"/>
        </w:rPr>
        <w:t xml:space="preserve">Calculate Consolidated Exchange Rates (OneWorld)</w:t>
      </w:r>
    </w:p>
    <w:p>
      <w:pPr>
        <w:pStyle w:val="ListParagraph"/>
        <w:numPr>
          <w:ilvl w:val="0"/>
          <w:numId w:val="3"/>
        </w:numPr>
        <w:spacing w:after="80"/>
      </w:pPr>
      <w:r>
        <w:rPr>
          <w:rFonts w:ascii="Arial" w:cs="Arial" w:eastAsia="Arial" w:hAnsi="Arial"/>
          <w:color w:val="1A1A1A"/>
          <w:sz w:val="22"/>
          <w:szCs w:val="22"/>
        </w:rPr>
        <w:t xml:space="preserve">Recognize Revenue (if ARM enabled)</w:t>
      </w:r>
    </w:p>
    <w:p>
      <w:pPr>
        <w:pStyle w:val="ListParagraph"/>
        <w:numPr>
          <w:ilvl w:val="0"/>
          <w:numId w:val="3"/>
        </w:numPr>
        <w:spacing w:after="80"/>
      </w:pPr>
      <w:r>
        <w:rPr>
          <w:rFonts w:ascii="Arial" w:cs="Arial" w:eastAsia="Arial" w:hAnsi="Arial"/>
          <w:color w:val="1A1A1A"/>
          <w:sz w:val="22"/>
          <w:szCs w:val="22"/>
        </w:rPr>
        <w:t xml:space="preserve">Reclassify Revenue (unbilled receivables, if ARM enabled)</w:t>
      </w:r>
    </w:p>
    <w:p>
      <w:pPr>
        <w:pStyle w:val="ListParagraph"/>
        <w:numPr>
          <w:ilvl w:val="0"/>
          <w:numId w:val="3"/>
        </w:numPr>
        <w:spacing w:after="80"/>
      </w:pPr>
      <w:r>
        <w:rPr>
          <w:rFonts w:ascii="Arial" w:cs="Arial" w:eastAsia="Arial" w:hAnsi="Arial"/>
          <w:color w:val="1A1A1A"/>
          <w:sz w:val="22"/>
          <w:szCs w:val="22"/>
        </w:rPr>
        <w:t xml:space="preserve">Lock A/R — prevents AR-impacting transaction changes</w:t>
      </w:r>
    </w:p>
    <w:p>
      <w:pPr>
        <w:pStyle w:val="ListParagraph"/>
        <w:numPr>
          <w:ilvl w:val="0"/>
          <w:numId w:val="3"/>
        </w:numPr>
        <w:spacing w:after="80"/>
      </w:pPr>
      <w:r>
        <w:rPr>
          <w:rFonts w:ascii="Arial" w:cs="Arial" w:eastAsia="Arial" w:hAnsi="Arial"/>
          <w:color w:val="1A1A1A"/>
          <w:sz w:val="22"/>
          <w:szCs w:val="22"/>
        </w:rPr>
        <w:t xml:space="preserve">Lock A/P — prevents AP-impacting transaction changes</w:t>
      </w:r>
    </w:p>
    <w:p>
      <w:pPr>
        <w:pStyle w:val="ListParagraph"/>
        <w:numPr>
          <w:ilvl w:val="0"/>
          <w:numId w:val="3"/>
        </w:numPr>
        <w:spacing w:after="80"/>
      </w:pPr>
      <w:r>
        <w:rPr>
          <w:rFonts w:ascii="Arial" w:cs="Arial" w:eastAsia="Arial" w:hAnsi="Arial"/>
          <w:color w:val="1A1A1A"/>
          <w:sz w:val="22"/>
          <w:szCs w:val="22"/>
        </w:rPr>
        <w:t xml:space="preserve">Lock Payroll — prevents payroll transaction changes (if Payroll enabled)</w:t>
      </w:r>
    </w:p>
    <w:p>
      <w:pPr>
        <w:pStyle w:val="ListParagraph"/>
        <w:numPr>
          <w:ilvl w:val="0"/>
          <w:numId w:val="3"/>
        </w:numPr>
        <w:spacing w:after="80"/>
      </w:pPr>
      <w:r>
        <w:rPr>
          <w:rFonts w:ascii="Arial" w:cs="Arial" w:eastAsia="Arial" w:hAnsi="Arial"/>
          <w:color w:val="1A1A1A"/>
          <w:sz w:val="22"/>
          <w:szCs w:val="22"/>
        </w:rPr>
        <w:t xml:space="preserve">Lock All — locks all remaining transaction types</w:t>
      </w:r>
    </w:p>
    <w:p>
      <w:pPr>
        <w:pStyle w:val="ListParagraph"/>
        <w:numPr>
          <w:ilvl w:val="0"/>
          <w:numId w:val="3"/>
        </w:numPr>
        <w:spacing w:after="80"/>
      </w:pPr>
      <w:r>
        <w:rPr>
          <w:rFonts w:ascii="Arial" w:cs="Arial" w:eastAsia="Arial" w:hAnsi="Arial"/>
          <w:color w:val="1A1A1A"/>
          <w:sz w:val="22"/>
          <w:szCs w:val="22"/>
        </w:rPr>
        <w:t xml:space="preserve">Assign GL Audit Numbers (if GL Audit Numbering feature enabled)</w:t>
      </w:r>
    </w:p>
    <w:p>
      <w:pPr>
        <w:pStyle w:val="ListParagraph"/>
        <w:numPr>
          <w:ilvl w:val="0"/>
          <w:numId w:val="3"/>
        </w:numPr>
        <w:spacing w:after="80"/>
      </w:pPr>
      <w:r>
        <w:rPr>
          <w:rFonts w:ascii="Arial" w:cs="Arial" w:eastAsia="Arial" w:hAnsi="Arial"/>
          <w:color w:val="1A1A1A"/>
          <w:sz w:val="22"/>
          <w:szCs w:val="22"/>
        </w:rPr>
        <w:t xml:space="preserve">Close Period — status changes from Open to Closed</w:t>
      </w:r>
    </w:p>
    <w:p>
      <w:pPr>
        <w:spacing w:after="8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7.3  Accounting Period Window</w:t>
      </w:r>
    </w:p>
    <w:p>
      <w:pPr>
        <w:spacing w:after="120"/>
      </w:pPr>
      <w:r>
        <w:rPr>
          <w:rFonts w:ascii="Arial" w:cs="Arial" w:eastAsia="Arial" w:hAnsi="Arial"/>
          <w:b w:val="false"/>
          <w:bCs w:val="false"/>
          <w:color w:val="1A1A1A"/>
          <w:sz w:val="22"/>
          <w:szCs w:val="22"/>
        </w:rPr>
        <w:t xml:space="preserve">Oracle documentation describes the Accounting Period Window as a preference (Setup &gt; Accounting &gt; Accounting Preferences) that maintains a minimum number of unlocked current and future periods. Key behaviors:</w:t>
      </w:r>
    </w:p>
    <w:p>
      <w:pPr>
        <w:pStyle w:val="ListParagraph"/>
        <w:numPr>
          <w:ilvl w:val="0"/>
          <w:numId w:val="2"/>
        </w:numPr>
        <w:spacing w:after="80"/>
      </w:pPr>
      <w:r>
        <w:rPr>
          <w:rFonts w:ascii="Arial" w:cs="Arial" w:eastAsia="Arial" w:hAnsi="Arial"/>
          <w:b w:val="false"/>
          <w:bCs w:val="false"/>
          <w:color w:val="1A1A1A"/>
          <w:sz w:val="22"/>
          <w:szCs w:val="22"/>
        </w:rPr>
        <w:t xml:space="preserve">When you close a period, NetSuite automatically unlocks the next future period to maintain the window size — preventing 'period starvation'.</w:t>
      </w:r>
    </w:p>
    <w:p>
      <w:pPr>
        <w:pStyle w:val="ListParagraph"/>
        <w:numPr>
          <w:ilvl w:val="0"/>
          <w:numId w:val="2"/>
        </w:numPr>
        <w:spacing w:after="80"/>
      </w:pPr>
      <w:r>
        <w:rPr>
          <w:rFonts w:ascii="Arial" w:cs="Arial" w:eastAsia="Arial" w:hAnsi="Arial"/>
          <w:b w:val="false"/>
          <w:bCs w:val="false"/>
          <w:color w:val="1A1A1A"/>
          <w:sz w:val="22"/>
          <w:szCs w:val="22"/>
        </w:rPr>
        <w:t xml:space="preserve">The window size is configurable from 1 to 1,000 periods.</w:t>
      </w:r>
    </w:p>
    <w:p>
      <w:pPr>
        <w:pStyle w:val="ListParagraph"/>
        <w:numPr>
          <w:ilvl w:val="0"/>
          <w:numId w:val="2"/>
        </w:numPr>
        <w:spacing w:after="80"/>
      </w:pPr>
      <w:r>
        <w:rPr>
          <w:rFonts w:ascii="Arial" w:cs="Arial" w:eastAsia="Arial" w:hAnsi="Arial"/>
          <w:b w:val="false"/>
          <w:bCs w:val="false"/>
          <w:color w:val="1A1A1A"/>
          <w:sz w:val="22"/>
          <w:szCs w:val="22"/>
        </w:rPr>
        <w:t xml:space="preserve">Future periods outside the window are locked by default, preventing accidental entries in future periods.</w:t>
      </w:r>
    </w:p>
    <w:p>
      <w:pPr>
        <w:pStyle w:val="ListParagraph"/>
        <w:numPr>
          <w:ilvl w:val="0"/>
          <w:numId w:val="2"/>
        </w:numPr>
        <w:spacing w:after="80"/>
      </w:pPr>
      <w:r>
        <w:rPr>
          <w:rFonts w:ascii="Arial" w:cs="Arial" w:eastAsia="Arial" w:hAnsi="Arial"/>
          <w:b w:val="false"/>
          <w:bCs w:val="false"/>
          <w:color w:val="1A1A1A"/>
          <w:sz w:val="22"/>
          <w:szCs w:val="22"/>
        </w:rPr>
        <w:t xml:space="preserve">Users with Override Period Restrictions permission can post in locked periods but never in closed periods.</w:t>
      </w:r>
    </w:p>
    <w:p>
      <w:pPr>
        <w:spacing w:after="8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7.4  Backdating and the Allow Transaction Date Outside Posting Period Preference</w:t>
      </w:r>
    </w:p>
    <w:p>
      <w:pPr>
        <w:spacing w:after="120"/>
      </w:pPr>
      <w:r>
        <w:rPr>
          <w:rFonts w:ascii="Arial" w:cs="Arial" w:eastAsia="Arial" w:hAnsi="Arial"/>
          <w:b w:val="false"/>
          <w:bCs w:val="false"/>
          <w:color w:val="1A1A1A"/>
          <w:sz w:val="22"/>
          <w:szCs w:val="22"/>
        </w:rPr>
        <w:t xml:space="preserve">When a user enters a transaction date that falls in a locked or closed period, NetSuite behavior is governed by the accounting preference 'Allow Transaction Date Outside of Posting Period':</w:t>
      </w:r>
    </w:p>
    <w:p>
      <w:pPr>
        <w:pStyle w:val="ListParagraph"/>
        <w:numPr>
          <w:ilvl w:val="0"/>
          <w:numId w:val="2"/>
        </w:numPr>
        <w:spacing w:after="80"/>
      </w:pPr>
      <w:r>
        <w:rPr>
          <w:rFonts w:ascii="Arial" w:cs="Arial" w:eastAsia="Arial" w:hAnsi="Arial"/>
          <w:b w:val="false"/>
          <w:bCs w:val="false"/>
          <w:color w:val="1A1A1A"/>
          <w:sz w:val="22"/>
          <w:szCs w:val="22"/>
        </w:rPr>
        <w:t xml:space="preserve">Disallow: The Posting Period is automatically set to the current open period. The transaction date and posting period will differ.</w:t>
      </w:r>
    </w:p>
    <w:p>
      <w:pPr>
        <w:pStyle w:val="ListParagraph"/>
        <w:numPr>
          <w:ilvl w:val="0"/>
          <w:numId w:val="2"/>
        </w:numPr>
        <w:spacing w:after="80"/>
      </w:pPr>
      <w:r>
        <w:rPr>
          <w:rFonts w:ascii="Arial" w:cs="Arial" w:eastAsia="Arial" w:hAnsi="Arial"/>
          <w:b w:val="false"/>
          <w:bCs w:val="false"/>
          <w:color w:val="1A1A1A"/>
          <w:sz w:val="22"/>
          <w:szCs w:val="22"/>
        </w:rPr>
        <w:t xml:space="preserve">Warn: User receives a warning but can proceed; posting period may be adjusted.</w:t>
      </w:r>
    </w:p>
    <w:p>
      <w:pPr>
        <w:pStyle w:val="ListParagraph"/>
        <w:numPr>
          <w:ilvl w:val="0"/>
          <w:numId w:val="2"/>
        </w:numPr>
        <w:spacing w:after="80"/>
      </w:pPr>
      <w:r>
        <w:rPr>
          <w:rFonts w:ascii="Arial" w:cs="Arial" w:eastAsia="Arial" w:hAnsi="Arial"/>
          <w:b w:val="false"/>
          <w:bCs w:val="false"/>
          <w:color w:val="1A1A1A"/>
          <w:sz w:val="22"/>
          <w:szCs w:val="22"/>
        </w:rPr>
        <w:t xml:space="preserve">Allow: No restriction; transaction date and posting period can be in different periods.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00"/>
        <w:gridCol w:w="7800"/>
      </w:tblGrid>
      <w:tr>
        <w:tc>
          <w:tcPr>
            <w:tcW w:type="dxa" w:w="14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AUDIT RISK</w:t>
            </w:r>
          </w:p>
        </w:tc>
        <w:tc>
          <w:tcPr>
            <w:tcW w:type="dxa" w:w="7800"/>
            <w:tcBorders>
              <w:top w:val="none" w:color="FFFFFF" w:sz="0"/>
              <w:left w:val="none" w:color="FFFFFF" w:sz="0"/>
              <w:bottom w:val="none" w:color="FFFFFF" w:sz="0"/>
              <w:right w:val="none" w:color="FFFFFF" w:sz="0"/>
            </w:tcBorders>
            <w:shd w:fill="F2F4F7" w:val="clear"/>
            <w:tcMar>
              <w:top w:type="dxa" w:w="100"/>
              <w:left w:type="dxa" w:w="200"/>
              <w:bottom w:type="dxa" w:w="100"/>
              <w:right w:type="dxa" w:w="140"/>
            </w:tcMar>
          </w:tcPr>
          <w:p>
            <w:r>
              <w:rPr>
                <w:rFonts w:ascii="Arial" w:cs="Arial" w:eastAsia="Arial" w:hAnsi="Arial"/>
                <w:color w:val="1A1A1A"/>
                <w:sz w:val="20"/>
                <w:szCs w:val="20"/>
              </w:rPr>
              <w:t xml:space="preserve">Allowing the transaction date to differ from the posting period silently misaligns operational records from financial records. This creates reconciliation complexity during audits and can distort period-based financial analysis.</w:t>
            </w:r>
          </w:p>
        </w:tc>
      </w:tr>
    </w:tbl>
    <w:p>
      <w:pPr>
        <w:spacing w:after="200"/>
      </w:pPr>
      <w:r>
        <w:t xml:space="preserve"/>
      </w:r>
    </w:p>
    <w:p>
      <w:r>
        <w:br w:type="page"/>
      </w:r>
    </w:p>
    <w:p>
      <w:pPr>
        <w:pStyle w:val="Heading1"/>
        <w:shd w:fill="1B3A6B" w:val="clear"/>
        <w:spacing w:after="120" w:before="360"/>
        <w:ind w:left="240" w:right="240"/>
      </w:pPr>
      <w:bookmarkStart w:name="s8" w:id="25"/>
      <w:r>
        <w:rPr>
          <w:rFonts w:ascii="Arial" w:cs="Arial" w:eastAsia="Arial" w:hAnsi="Arial"/>
          <w:b/>
          <w:bCs/>
          <w:color w:val="FFFFFF"/>
          <w:sz w:val="36"/>
          <w:szCs w:val="36"/>
        </w:rPr>
        <w:t xml:space="preserve">8. Architectural Perspective</w:t>
      </w:r>
      <w:bookmarkEnd w:id="26"/>
    </w:p>
    <w:p>
      <w:pPr>
        <w:spacing w:after="80"/>
      </w:pPr>
      <w:r>
        <w:t xml:space="preserve"/>
      </w:r>
    </w:p>
    <w:p>
      <w:pPr>
        <w:spacing w:after="120"/>
      </w:pPr>
      <w:r>
        <w:rPr>
          <w:rFonts w:ascii="Arial" w:cs="Arial" w:eastAsia="Arial" w:hAnsi="Arial"/>
          <w:b w:val="false"/>
          <w:bCs w:val="false"/>
          <w:color w:val="1A1A1A"/>
          <w:sz w:val="22"/>
          <w:szCs w:val="22"/>
        </w:rPr>
        <w:t xml:space="preserve">This section bridges operational knowledge with system design thinking. Understanding the architecture allows you to design configurations that are consistent, auditable, and maintainable — rather than setups that work by accident.</w:t>
      </w:r>
    </w:p>
    <w:p>
      <w:pPr>
        <w:spacing w:after="8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8.1  Data Flow Architecture</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5CC" w:sz="1"/>
              <w:left w:val="single" w:color="C0C5CC" w:sz="1"/>
              <w:bottom w:val="single" w:color="C0C5CC" w:sz="1"/>
              <w:right w:val="single" w:color="C0C5CC" w:sz="1"/>
            </w:tcBorders>
            <w:shd w:fill="F2F4F7" w:val="clear"/>
            <w:tcMar>
              <w:top w:type="dxa" w:w="400"/>
              <w:left w:type="dxa" w:w="400"/>
              <w:bottom w:type="dxa" w:w="400"/>
              <w:right w:type="dxa" w:w="400"/>
            </w:tcMar>
          </w:tcPr>
          <w:p>
            <w:pPr>
              <w:jc w:val="center"/>
            </w:pPr>
            <w:r>
              <w:rPr>
                <w:rFonts w:ascii="Arial" w:cs="Arial" w:eastAsia="Arial" w:hAnsi="Arial"/>
                <w:b/>
                <w:bCs/>
                <w:color w:val="AAAAAA"/>
                <w:sz w:val="20"/>
                <w:szCs w:val="20"/>
              </w:rPr>
              <w:t xml:space="preserve">[ INSERT: NetSuite Data Flow Architecture Diagram — Transaction → Validation → Posting Engine → Multi-Book GL → Reports ]</w:t>
            </w:r>
          </w:p>
        </w:tc>
      </w:tr>
    </w:tbl>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Layer</w:t>
            </w:r>
          </w:p>
        </w:tc>
        <w:tc>
          <w:tcPr>
            <w:tcW w:type="dxa" w:w="32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Component</w:t>
            </w:r>
          </w:p>
        </w:tc>
        <w:tc>
          <w:tcPr>
            <w:tcW w:type="dxa" w:w="36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What It Does</w:t>
            </w:r>
          </w:p>
        </w:tc>
      </w:tr>
      <w:tr>
        <w:tc>
          <w:tcPr>
            <w:tcW w:type="dxa" w:w="24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Transaction Level</w:t>
            </w:r>
          </w:p>
        </w:tc>
        <w:tc>
          <w:tcPr>
            <w:tcW w:type="dxa" w:w="3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Forms, Workflows, SuiteScript</w:t>
            </w:r>
          </w:p>
        </w:tc>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Captures business data; enforces field-level validation</w:t>
            </w:r>
          </w:p>
        </w:tc>
      </w:tr>
      <w:tr>
        <w:tc>
          <w:tcPr>
            <w:tcW w:type="dxa" w:w="24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Validation Layer</w:t>
            </w:r>
          </w:p>
        </w:tc>
        <w:tc>
          <w:tcPr>
            <w:tcW w:type="dxa" w:w="3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Period rules, Currency rules, Mandatory fields</w:t>
            </w:r>
          </w:p>
        </w:tc>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Controls what can be saved and when</w:t>
            </w:r>
          </w:p>
        </w:tc>
      </w:tr>
      <w:tr>
        <w:tc>
          <w:tcPr>
            <w:tcW w:type="dxa" w:w="24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Posting Engine</w:t>
            </w:r>
          </w:p>
        </w:tc>
        <w:tc>
          <w:tcPr>
            <w:tcW w:type="dxa" w:w="3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Accounting rules, Item config, SuiteGL plug-ins</w:t>
            </w:r>
          </w:p>
        </w:tc>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Translates transactions into balanced GL entries</w:t>
            </w:r>
          </w:p>
        </w:tc>
      </w:tr>
      <w:tr>
        <w:tc>
          <w:tcPr>
            <w:tcW w:type="dxa" w:w="24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GL Layer</w:t>
            </w:r>
          </w:p>
        </w:tc>
        <w:tc>
          <w:tcPr>
            <w:tcW w:type="dxa" w:w="32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Primary &amp; Secondary Accounting Books</w:t>
            </w:r>
          </w:p>
        </w:tc>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Stores debits, credits, account balances per book</w:t>
            </w:r>
          </w:p>
        </w:tc>
      </w:tr>
      <w:tr>
        <w:tc>
          <w:tcPr>
            <w:tcW w:type="dxa" w:w="24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Reporting Layer</w:t>
            </w:r>
          </w:p>
        </w:tc>
        <w:tc>
          <w:tcPr>
            <w:tcW w:type="dxa" w:w="32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Saved Searches, Financial Reports, Analytics</w:t>
            </w:r>
          </w:p>
        </w:tc>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19"/>
                <w:szCs w:val="19"/>
              </w:rPr>
              <w:t xml:space="preserve">Surfaces financial data for decision-making</w:t>
            </w:r>
          </w:p>
        </w:tc>
      </w:tr>
    </w:tbl>
    <w:p>
      <w:pPr>
        <w:spacing w:after="12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8.2  GL Impact Locking</w:t>
      </w:r>
    </w:p>
    <w:p>
      <w:pPr>
        <w:spacing w:after="120"/>
      </w:pPr>
      <w:r>
        <w:rPr>
          <w:rFonts w:ascii="Arial" w:cs="Arial" w:eastAsia="Arial" w:hAnsi="Arial"/>
          <w:b w:val="false"/>
          <w:bCs w:val="false"/>
          <w:color w:val="1A1A1A"/>
          <w:sz w:val="22"/>
          <w:szCs w:val="22"/>
        </w:rPr>
        <w:t xml:space="preserve">For accounts in jurisdictions requiring immutable GL records, Oracle provides the GL Impact Locking feature (requires GL Audit Numbering). When enabled:</w:t>
      </w:r>
    </w:p>
    <w:p>
      <w:pPr>
        <w:pStyle w:val="ListParagraph"/>
        <w:numPr>
          <w:ilvl w:val="0"/>
          <w:numId w:val="2"/>
        </w:numPr>
        <w:spacing w:after="80"/>
      </w:pPr>
      <w:r>
        <w:rPr>
          <w:rFonts w:ascii="Arial" w:cs="Arial" w:eastAsia="Arial" w:hAnsi="Arial"/>
          <w:b w:val="false"/>
          <w:bCs w:val="false"/>
          <w:color w:val="1A1A1A"/>
          <w:sz w:val="22"/>
          <w:szCs w:val="22"/>
        </w:rPr>
        <w:t xml:space="preserve">Any GL-impacting change to an approved, numbered transaction automatically creates two new system transactions: a GL Impact Adjustment Copy (preserving the original GL entries with the original audit number) and a GL Impact Adjustment Reversal (reversing the original entries).</w:t>
      </w:r>
    </w:p>
    <w:p>
      <w:pPr>
        <w:pStyle w:val="ListParagraph"/>
        <w:numPr>
          <w:ilvl w:val="0"/>
          <w:numId w:val="2"/>
        </w:numPr>
        <w:spacing w:after="80"/>
      </w:pPr>
      <w:r>
        <w:rPr>
          <w:rFonts w:ascii="Arial" w:cs="Arial" w:eastAsia="Arial" w:hAnsi="Arial"/>
          <w:b w:val="false"/>
          <w:bCs w:val="false"/>
          <w:color w:val="1A1A1A"/>
          <w:sz w:val="22"/>
          <w:szCs w:val="22"/>
        </w:rPr>
        <w:t xml:space="preserve">These transactions appear on the GL Impact subtab of the original transaction, providing a complete, tamper-evident audit trail.</w:t>
      </w:r>
    </w:p>
    <w:p>
      <w:pPr>
        <w:pStyle w:val="ListParagraph"/>
        <w:numPr>
          <w:ilvl w:val="0"/>
          <w:numId w:val="2"/>
        </w:numPr>
        <w:spacing w:after="80"/>
      </w:pPr>
      <w:r>
        <w:rPr>
          <w:rFonts w:ascii="Arial" w:cs="Arial" w:eastAsia="Arial" w:hAnsi="Arial"/>
          <w:b w:val="false"/>
          <w:bCs w:val="false"/>
          <w:color w:val="1A1A1A"/>
          <w:sz w:val="22"/>
          <w:szCs w:val="22"/>
        </w:rPr>
        <w:t xml:space="preserve">This feature is enabled per request via a NetSuite support case and applies per company or per subsidiary in OneWorld.</w:t>
      </w:r>
    </w:p>
    <w:p>
      <w:pPr>
        <w:spacing w:after="8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8.3  SuiteGL — Custom GL Lines</w:t>
      </w:r>
    </w:p>
    <w:p>
      <w:pPr>
        <w:spacing w:after="120"/>
      </w:pPr>
      <w:r>
        <w:rPr>
          <w:rFonts w:ascii="Arial" w:cs="Arial" w:eastAsia="Arial" w:hAnsi="Arial"/>
          <w:b w:val="false"/>
          <w:bCs w:val="false"/>
          <w:color w:val="1A1A1A"/>
          <w:sz w:val="22"/>
          <w:szCs w:val="22"/>
        </w:rPr>
        <w:t xml:space="preserve">SuiteGL is NetSuite's framework for customizing GL behavior at the transaction line level. It includes:</w:t>
      </w:r>
    </w:p>
    <w:p>
      <w:pPr>
        <w:pStyle w:val="ListParagraph"/>
        <w:numPr>
          <w:ilvl w:val="0"/>
          <w:numId w:val="2"/>
        </w:numPr>
        <w:spacing w:after="80"/>
      </w:pPr>
      <w:r>
        <w:rPr>
          <w:rFonts w:ascii="Arial" w:cs="Arial" w:eastAsia="Arial" w:hAnsi="Arial"/>
          <w:b w:val="false"/>
          <w:bCs w:val="false"/>
          <w:color w:val="1A1A1A"/>
          <w:sz w:val="22"/>
          <w:szCs w:val="22"/>
        </w:rPr>
        <w:t xml:space="preserve">Custom GL Lines Plug-in: Allows developers to add, modify, or remove GL lines generated by the Posting Engine using SuiteScript. Available for standard and custom transaction types.</w:t>
      </w:r>
    </w:p>
    <w:p>
      <w:pPr>
        <w:pStyle w:val="ListParagraph"/>
        <w:numPr>
          <w:ilvl w:val="0"/>
          <w:numId w:val="2"/>
        </w:numPr>
        <w:spacing w:after="80"/>
      </w:pPr>
      <w:r>
        <w:rPr>
          <w:rFonts w:ascii="Arial" w:cs="Arial" w:eastAsia="Arial" w:hAnsi="Arial"/>
          <w:b w:val="false"/>
          <w:bCs w:val="false"/>
          <w:color w:val="1A1A1A"/>
          <w:sz w:val="22"/>
          <w:szCs w:val="22"/>
        </w:rPr>
        <w:t xml:space="preserve">Custom Transaction Types: Enables creation of new transaction types with unique GL posting logic.</w:t>
      </w:r>
    </w:p>
    <w:p>
      <w:pPr>
        <w:pStyle w:val="ListParagraph"/>
        <w:numPr>
          <w:ilvl w:val="0"/>
          <w:numId w:val="2"/>
        </w:numPr>
        <w:spacing w:after="80"/>
      </w:pPr>
      <w:r>
        <w:rPr>
          <w:rFonts w:ascii="Arial" w:cs="Arial" w:eastAsia="Arial" w:hAnsi="Arial"/>
          <w:b w:val="false"/>
          <w:bCs w:val="false"/>
          <w:color w:val="1A1A1A"/>
          <w:sz w:val="22"/>
          <w:szCs w:val="22"/>
        </w:rPr>
        <w:t xml:space="preserve">Custom Segments: Allows definition of classification dimensions beyond standard subsidiary, class, department, and location — enabling multidimensional GL analysis.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00"/>
        <w:gridCol w:w="7800"/>
      </w:tblGrid>
      <w:tr>
        <w:tc>
          <w:tcPr>
            <w:tcW w:type="dxa" w:w="14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ARCHITECT INSIGHT</w:t>
            </w:r>
          </w:p>
        </w:tc>
        <w:tc>
          <w:tcPr>
            <w:tcW w:type="dxa" w:w="7800"/>
            <w:tcBorders>
              <w:top w:val="none" w:color="FFFFFF" w:sz="0"/>
              <w:left w:val="none" w:color="FFFFFF" w:sz="0"/>
              <w:bottom w:val="none" w:color="FFFFFF" w:sz="0"/>
              <w:right w:val="none" w:color="FFFFFF" w:sz="0"/>
            </w:tcBorders>
            <w:shd w:fill="F2F4F7" w:val="clear"/>
            <w:tcMar>
              <w:top w:type="dxa" w:w="100"/>
              <w:left w:type="dxa" w:w="200"/>
              <w:bottom w:type="dxa" w:w="100"/>
              <w:right w:type="dxa" w:w="140"/>
            </w:tcMar>
          </w:tcPr>
          <w:p>
            <w:r>
              <w:rPr>
                <w:rFonts w:ascii="Arial" w:cs="Arial" w:eastAsia="Arial" w:hAnsi="Arial"/>
                <w:color w:val="1A1A1A"/>
                <w:sz w:val="20"/>
                <w:szCs w:val="20"/>
              </w:rPr>
              <w:t xml:space="preserve">The Posting Engine is not a monolith. Its output is the sum of: Item configuration + Accounting Preferences + Period state + Multi-Book rules + SuiteGL overrides. Changing any one of these changes GL behavior system-wide. Always test configuration changes in Sandbox before production.</w:t>
            </w:r>
          </w:p>
        </w:tc>
      </w:tr>
    </w:tbl>
    <w:p>
      <w:pPr>
        <w:spacing w:after="200"/>
      </w:pPr>
      <w:r>
        <w:t xml:space="preserve"/>
      </w:r>
    </w:p>
    <w:p>
      <w:r>
        <w:br w:type="page"/>
      </w:r>
    </w:p>
    <w:p>
      <w:pPr>
        <w:pStyle w:val="Heading1"/>
        <w:shd w:fill="1B3A6B" w:val="clear"/>
        <w:spacing w:after="120" w:before="360"/>
        <w:ind w:left="240" w:right="240"/>
      </w:pPr>
      <w:bookmarkStart w:name="s9" w:id="27"/>
      <w:r>
        <w:rPr>
          <w:rFonts w:ascii="Arial" w:cs="Arial" w:eastAsia="Arial" w:hAnsi="Arial"/>
          <w:b/>
          <w:bCs/>
          <w:color w:val="FFFFFF"/>
          <w:sz w:val="36"/>
          <w:szCs w:val="36"/>
        </w:rPr>
        <w:t xml:space="preserve">9. Real-World Scenarios &amp; Failure Modes</w:t>
      </w:r>
      <w:bookmarkEnd w:id="28"/>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5CC" w:sz="1"/>
              <w:left w:val="single" w:color="C0C5CC" w:sz="1"/>
              <w:bottom w:val="single" w:color="C0C5CC" w:sz="1"/>
              <w:right w:val="single" w:color="C0C5CC" w:sz="1"/>
            </w:tcBorders>
            <w:shd w:fill="F2F4F7" w:val="clear"/>
            <w:tcMar>
              <w:top w:type="dxa" w:w="300"/>
              <w:left w:type="dxa" w:w="400"/>
              <w:bottom w:type="dxa" w:w="300"/>
              <w:right w:type="dxa" w:w="400"/>
            </w:tcMar>
          </w:tcPr>
          <w:p>
            <w:pPr>
              <w:jc w:val="center"/>
            </w:pPr>
            <w:r>
              <w:rPr>
                <w:rFonts w:ascii="Arial" w:cs="Arial" w:eastAsia="Arial" w:hAnsi="Arial"/>
                <w:b/>
                <w:bCs/>
                <w:color w:val="AAAAAA"/>
                <w:sz w:val="20"/>
                <w:szCs w:val="20"/>
              </w:rPr>
              <w:t xml:space="preserve">[ INSERT: Failure Mode Decision Tree / Root Cause Diagram ]</w:t>
            </w:r>
          </w:p>
        </w:tc>
      </w:tr>
    </w:tbl>
    <w:p>
      <w:pPr>
        <w:spacing w:after="12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Scenario 1 — Revenue Recognized Too Early</w:t>
      </w:r>
    </w:p>
    <w:p>
      <w:pPr>
        <w:spacing w:after="120"/>
      </w:pPr>
      <w:r>
        <w:rPr>
          <w:rFonts w:ascii="Arial" w:cs="Arial" w:eastAsia="Arial" w:hAnsi="Arial"/>
          <w:b w:val="false"/>
          <w:bCs w:val="false"/>
          <w:color w:val="1A1A1A"/>
          <w:sz w:val="22"/>
          <w:szCs w:val="22"/>
        </w:rPr>
        <w:t xml:space="preserve">Situation: Invoice is created upon Sales Order approval, before physical delivery. Item is configured without a Deferred Revenue Account and without an ARM Revenue Recognition Rule.</w:t>
      </w:r>
    </w:p>
    <w:p>
      <w:pPr>
        <w:pStyle w:val="ListParagraph"/>
        <w:numPr>
          <w:ilvl w:val="0"/>
          <w:numId w:val="2"/>
        </w:numPr>
        <w:spacing w:after="80"/>
      </w:pPr>
      <w:r>
        <w:rPr>
          <w:rFonts w:ascii="Arial" w:cs="Arial" w:eastAsia="Arial" w:hAnsi="Arial"/>
          <w:b w:val="false"/>
          <w:bCs w:val="false"/>
          <w:color w:val="1A1A1A"/>
          <w:sz w:val="22"/>
          <w:szCs w:val="22"/>
        </w:rPr>
        <w:t xml:space="preserve">System behavior: Revenue posts immediately upon Invoice save. Accounts Receivable is debited; Revenue is credited. The sale is financially recognized before the performance obligation is fulfilled.</w:t>
      </w:r>
    </w:p>
    <w:p>
      <w:pPr>
        <w:pStyle w:val="ListParagraph"/>
        <w:numPr>
          <w:ilvl w:val="0"/>
          <w:numId w:val="2"/>
        </w:numPr>
        <w:spacing w:after="80"/>
      </w:pPr>
      <w:r>
        <w:rPr>
          <w:rFonts w:ascii="Arial" w:cs="Arial" w:eastAsia="Arial" w:hAnsi="Arial"/>
          <w:b w:val="false"/>
          <w:bCs w:val="false"/>
          <w:color w:val="1A1A1A"/>
          <w:sz w:val="22"/>
          <w:szCs w:val="22"/>
        </w:rPr>
        <w:t xml:space="preserve">Business risk: Revenue overstatement in the current period. Violation of ASC 606 / IFRS 15 if the obligation spans multiple periods.</w:t>
      </w:r>
    </w:p>
    <w:p>
      <w:pPr>
        <w:pStyle w:val="ListParagraph"/>
        <w:numPr>
          <w:ilvl w:val="0"/>
          <w:numId w:val="2"/>
        </w:numPr>
        <w:spacing w:after="80"/>
      </w:pPr>
      <w:r>
        <w:rPr>
          <w:rFonts w:ascii="Arial" w:cs="Arial" w:eastAsia="Arial" w:hAnsi="Arial"/>
          <w:b w:val="false"/>
          <w:bCs w:val="false"/>
          <w:color w:val="1A1A1A"/>
          <w:sz w:val="22"/>
          <w:szCs w:val="22"/>
        </w:rPr>
        <w:t xml:space="preserve">Correct configuration: Assign an ARM Revenue Recognition Rule to the item. Set the trigger to 'Fulfillment' or a milestone/time-based schedule. ARM will defer revenue to the Deferred Revenue account until the plan executes.</w:t>
      </w:r>
    </w:p>
    <w:p>
      <w:pPr>
        <w:spacing w:after="8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Scenario 2 — Incorrect GL Account Mapping</w:t>
      </w:r>
    </w:p>
    <w:p>
      <w:pPr>
        <w:spacing w:after="120"/>
      </w:pPr>
      <w:r>
        <w:rPr>
          <w:rFonts w:ascii="Arial" w:cs="Arial" w:eastAsia="Arial" w:hAnsi="Arial"/>
          <w:b w:val="false"/>
          <w:bCs w:val="false"/>
          <w:color w:val="1A1A1A"/>
          <w:sz w:val="22"/>
          <w:szCs w:val="22"/>
        </w:rPr>
        <w:t xml:space="preserve">Situation: A new service item is created, and the Revenue Account field is left blank or mapped to an incorrect account (e.g., mapped to an expense account by mistake).</w:t>
      </w:r>
    </w:p>
    <w:p>
      <w:pPr>
        <w:pStyle w:val="ListParagraph"/>
        <w:numPr>
          <w:ilvl w:val="0"/>
          <w:numId w:val="2"/>
        </w:numPr>
        <w:spacing w:after="80"/>
      </w:pPr>
      <w:r>
        <w:rPr>
          <w:rFonts w:ascii="Arial" w:cs="Arial" w:eastAsia="Arial" w:hAnsi="Arial"/>
          <w:b w:val="false"/>
          <w:bCs w:val="false"/>
          <w:color w:val="1A1A1A"/>
          <w:sz w:val="22"/>
          <w:szCs w:val="22"/>
        </w:rPr>
        <w:t xml:space="preserve">System behavior: Invoices for this item post revenue to the wrong account. No error is displayed — NetSuite will post to whatever account is configured.</w:t>
      </w:r>
    </w:p>
    <w:p>
      <w:pPr>
        <w:pStyle w:val="ListParagraph"/>
        <w:numPr>
          <w:ilvl w:val="0"/>
          <w:numId w:val="2"/>
        </w:numPr>
        <w:spacing w:after="80"/>
      </w:pPr>
      <w:r>
        <w:rPr>
          <w:rFonts w:ascii="Arial" w:cs="Arial" w:eastAsia="Arial" w:hAnsi="Arial"/>
          <w:b w:val="false"/>
          <w:bCs w:val="false"/>
          <w:color w:val="1A1A1A"/>
          <w:sz w:val="22"/>
          <w:szCs w:val="22"/>
        </w:rPr>
        <w:t xml:space="preserve">Business risk: Income is misclassified. P&amp;L is distorted. The error accumulates over every transaction using that item.</w:t>
      </w:r>
    </w:p>
    <w:p>
      <w:pPr>
        <w:pStyle w:val="ListParagraph"/>
        <w:numPr>
          <w:ilvl w:val="0"/>
          <w:numId w:val="2"/>
        </w:numPr>
        <w:spacing w:after="80"/>
      </w:pPr>
      <w:r>
        <w:rPr>
          <w:rFonts w:ascii="Arial" w:cs="Arial" w:eastAsia="Arial" w:hAnsi="Arial"/>
          <w:b w:val="false"/>
          <w:bCs w:val="false"/>
          <w:color w:val="1A1A1A"/>
          <w:sz w:val="22"/>
          <w:szCs w:val="22"/>
        </w:rPr>
        <w:t xml:space="preserve">Correct approach: Audit item-account mappings regularly. Use a saved search on Item records filtered by Item Type, showing the Revenue Account and COGS Account fields. Verify against the Chart of Accounts.</w:t>
      </w:r>
    </w:p>
    <w:p>
      <w:pPr>
        <w:spacing w:after="8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Scenario 3 — Backdated Posting to a Closed Period</w:t>
      </w:r>
    </w:p>
    <w:p>
      <w:pPr>
        <w:spacing w:after="120"/>
      </w:pPr>
      <w:r>
        <w:rPr>
          <w:rFonts w:ascii="Arial" w:cs="Arial" w:eastAsia="Arial" w:hAnsi="Arial"/>
          <w:b w:val="false"/>
          <w:bCs w:val="false"/>
          <w:color w:val="1A1A1A"/>
          <w:sz w:val="22"/>
          <w:szCs w:val="22"/>
        </w:rPr>
        <w:t xml:space="preserve">Situation: A transaction is entered with a transaction date from a prior closed period. The accounting preference 'Allow Transaction Date Outside of Posting Period' is set to Allow.</w:t>
      </w:r>
    </w:p>
    <w:p>
      <w:pPr>
        <w:pStyle w:val="ListParagraph"/>
        <w:numPr>
          <w:ilvl w:val="0"/>
          <w:numId w:val="2"/>
        </w:numPr>
        <w:spacing w:after="80"/>
      </w:pPr>
      <w:r>
        <w:rPr>
          <w:rFonts w:ascii="Arial" w:cs="Arial" w:eastAsia="Arial" w:hAnsi="Arial"/>
          <w:b w:val="false"/>
          <w:bCs w:val="false"/>
          <w:color w:val="1A1A1A"/>
          <w:sz w:val="22"/>
          <w:szCs w:val="22"/>
        </w:rPr>
        <w:t xml:space="preserve">System behavior: The transaction date records the historical date, but the Posting Period is set to the current open period. The GL entry posts to the current period, not the historical one.</w:t>
      </w:r>
    </w:p>
    <w:p>
      <w:pPr>
        <w:pStyle w:val="ListParagraph"/>
        <w:numPr>
          <w:ilvl w:val="0"/>
          <w:numId w:val="2"/>
        </w:numPr>
        <w:spacing w:after="80"/>
      </w:pPr>
      <w:r>
        <w:rPr>
          <w:rFonts w:ascii="Arial" w:cs="Arial" w:eastAsia="Arial" w:hAnsi="Arial"/>
          <w:b w:val="false"/>
          <w:bCs w:val="false"/>
          <w:color w:val="1A1A1A"/>
          <w:sz w:val="22"/>
          <w:szCs w:val="22"/>
        </w:rPr>
        <w:t xml:space="preserve">Business risk: Historical financial statements appear unaffected, but the operational transaction date and the financial posting date are misaligned. This creates confusion during audits and period-over-period comparisons.</w:t>
      </w:r>
    </w:p>
    <w:p>
      <w:pPr>
        <w:pStyle w:val="ListParagraph"/>
        <w:numPr>
          <w:ilvl w:val="0"/>
          <w:numId w:val="2"/>
        </w:numPr>
        <w:spacing w:after="80"/>
      </w:pPr>
      <w:r>
        <w:rPr>
          <w:rFonts w:ascii="Arial" w:cs="Arial" w:eastAsia="Arial" w:hAnsi="Arial"/>
          <w:b w:val="false"/>
          <w:bCs w:val="false"/>
          <w:color w:val="1A1A1A"/>
          <w:sz w:val="22"/>
          <w:szCs w:val="22"/>
        </w:rPr>
        <w:t xml:space="preserve">Correct approach: Set the preference to Disallow. When a historical transaction must be corrected, reopen the specific period, post the correction, and immediately re-close using Quick Close.</w:t>
      </w:r>
    </w:p>
    <w:p>
      <w:pPr>
        <w:spacing w:after="80"/>
      </w:pPr>
      <w:r>
        <w:t xml:space="preserve"/>
      </w:r>
    </w:p>
    <w:p>
      <w:pPr>
        <w:pStyle w:val="Heading2"/>
        <w:pBdr>
          <w:bottom w:val="single" w:color="0F6B74" w:sz="4"/>
        </w:pBdr>
        <w:spacing w:after="100" w:before="280"/>
      </w:pPr>
      <w:r>
        <w:rPr>
          <w:rFonts w:ascii="Arial" w:cs="Arial" w:eastAsia="Arial" w:hAnsi="Arial"/>
          <w:b/>
          <w:bCs/>
          <w:color w:val="0F6B74"/>
          <w:sz w:val="28"/>
          <w:szCs w:val="28"/>
        </w:rPr>
        <w:t xml:space="preserve">Scenario 4 — Multi-Book Posting Failure</w:t>
      </w:r>
    </w:p>
    <w:p>
      <w:pPr>
        <w:spacing w:after="120"/>
      </w:pPr>
      <w:r>
        <w:rPr>
          <w:rFonts w:ascii="Arial" w:cs="Arial" w:eastAsia="Arial" w:hAnsi="Arial"/>
          <w:b w:val="false"/>
          <w:bCs w:val="false"/>
          <w:color w:val="1A1A1A"/>
          <w:sz w:val="22"/>
          <w:szCs w:val="22"/>
        </w:rPr>
        <w:t xml:space="preserve">Situation: A secondary accounting book exists but is in Inactive status. A new Invoice is saved.</w:t>
      </w:r>
    </w:p>
    <w:p>
      <w:pPr>
        <w:pStyle w:val="ListParagraph"/>
        <w:numPr>
          <w:ilvl w:val="0"/>
          <w:numId w:val="2"/>
        </w:numPr>
        <w:spacing w:after="80"/>
      </w:pPr>
      <w:r>
        <w:rPr>
          <w:rFonts w:ascii="Arial" w:cs="Arial" w:eastAsia="Arial" w:hAnsi="Arial"/>
          <w:b w:val="false"/>
          <w:bCs w:val="false"/>
          <w:color w:val="1A1A1A"/>
          <w:sz w:val="22"/>
          <w:szCs w:val="22"/>
        </w:rPr>
        <w:t xml:space="preserve">System behavior per Oracle documentation: 'The general ledger impact of newly created transactions are not populated in inactive accounting books.' The primary book posts correctly, but the secondary book has a gap.</w:t>
      </w:r>
    </w:p>
    <w:p>
      <w:pPr>
        <w:pStyle w:val="ListParagraph"/>
        <w:numPr>
          <w:ilvl w:val="0"/>
          <w:numId w:val="2"/>
        </w:numPr>
        <w:spacing w:after="80"/>
      </w:pPr>
      <w:r>
        <w:rPr>
          <w:rFonts w:ascii="Arial" w:cs="Arial" w:eastAsia="Arial" w:hAnsi="Arial"/>
          <w:b w:val="false"/>
          <w:bCs w:val="false"/>
          <w:color w:val="1A1A1A"/>
          <w:sz w:val="22"/>
          <w:szCs w:val="22"/>
        </w:rPr>
        <w:t xml:space="preserve">Business risk: Secondary book financials are incomplete. Consolidated reports in the secondary book (if consolidation is enabled) will be incorrect.</w:t>
      </w:r>
    </w:p>
    <w:p>
      <w:pPr>
        <w:pStyle w:val="ListParagraph"/>
        <w:numPr>
          <w:ilvl w:val="0"/>
          <w:numId w:val="2"/>
        </w:numPr>
        <w:spacing w:after="80"/>
      </w:pPr>
      <w:r>
        <w:rPr>
          <w:rFonts w:ascii="Arial" w:cs="Arial" w:eastAsia="Arial" w:hAnsi="Arial"/>
          <w:b w:val="false"/>
          <w:bCs w:val="false"/>
          <w:color w:val="1A1A1A"/>
          <w:sz w:val="22"/>
          <w:szCs w:val="22"/>
        </w:rPr>
        <w:t xml:space="preserve">Correct approach: Monitor accounting book status via Setup &gt; Accounting &gt; Accounting Books. Ensure secondary books are Active for all subsidiaries that should participate in posting.</w:t>
      </w:r>
    </w:p>
    <w:p>
      <w:pPr>
        <w:spacing w:after="200"/>
      </w:pPr>
      <w:r>
        <w:t xml:space="preserve"/>
      </w:r>
    </w:p>
    <w:p>
      <w:r>
        <w:br w:type="page"/>
      </w:r>
    </w:p>
    <w:p>
      <w:pPr>
        <w:pStyle w:val="Heading1"/>
        <w:shd w:fill="1B3A6B" w:val="clear"/>
        <w:spacing w:after="120" w:before="360"/>
        <w:ind w:left="240" w:right="240"/>
      </w:pPr>
      <w:bookmarkStart w:name="s10" w:id="29"/>
      <w:r>
        <w:rPr>
          <w:rFonts w:ascii="Arial" w:cs="Arial" w:eastAsia="Arial" w:hAnsi="Arial"/>
          <w:b/>
          <w:bCs/>
          <w:color w:val="FFFFFF"/>
          <w:sz w:val="36"/>
          <w:szCs w:val="36"/>
        </w:rPr>
        <w:t xml:space="preserve">10. Best Practices</w:t>
      </w:r>
      <w:bookmarkEnd w:id="30"/>
    </w:p>
    <w:p>
      <w:pPr>
        <w:spacing w:after="80"/>
      </w:pPr>
      <w:r>
        <w:t xml:space="preserve"/>
      </w:r>
    </w:p>
    <w:p>
      <w:pPr>
        <w:spacing w:after="120"/>
      </w:pPr>
      <w:r>
        <w:rPr>
          <w:rFonts w:ascii="Arial" w:cs="Arial" w:eastAsia="Arial" w:hAnsi="Arial"/>
          <w:b w:val="false"/>
          <w:bCs w:val="false"/>
          <w:color w:val="1A1A1A"/>
          <w:sz w:val="22"/>
          <w:szCs w:val="22"/>
        </w:rPr>
        <w:t xml:space="preserve">These best practices are derived from Oracle's official NetSuite documentation, period-close checklists, and the behavioral rules described in the NetSuite Help Center.</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
        <w:gridCol w:w="8740"/>
      </w:tblGrid>
      <w:tr>
        <w:tc>
          <w:tcPr>
            <w:tcW w:type="dxa" w:w="46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01</w:t>
            </w:r>
          </w:p>
        </w:tc>
        <w:tc>
          <w:tcPr>
            <w:tcW w:type="dxa" w:w="8740"/>
            <w:tcBorders>
              <w:top w:val="none" w:color="FFFFFF" w:sz="0"/>
              <w:left w:val="none" w:color="FFFFFF" w:sz="0"/>
              <w:bottom w:val="none" w:color="FFFFFF" w:sz="0"/>
              <w:right w:val="none" w:color="FFFFFF" w:sz="0"/>
            </w:tcBorders>
            <w:shd w:fill="F2F4F7" w:val="clear"/>
            <w:tcMar>
              <w:top w:type="dxa" w:w="120"/>
              <w:left w:type="dxa" w:w="200"/>
              <w:bottom w:type="dxa" w:w="120"/>
              <w:right w:type="dxa" w:w="120"/>
            </w:tcMar>
          </w:tcPr>
          <w:p>
            <w:r>
              <w:rPr>
                <w:rFonts w:ascii="Arial" w:cs="Arial" w:eastAsia="Arial" w:hAnsi="Arial"/>
                <w:color w:val="1A1A1A"/>
                <w:sz w:val="20"/>
                <w:szCs w:val="20"/>
              </w:rPr>
              <w:t xml:space="preserve">Know which transactions post and which do not. Never assume a Sales Order or Purchase Order has financial impact — verify on the GL Impact page.</w:t>
            </w:r>
          </w:p>
        </w:tc>
      </w:tr>
      <w:tr>
        <w:tc>
          <w:tcPr>
            <w:tcW w:type="dxa" w:w="46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02</w:t>
            </w:r>
          </w:p>
        </w:tc>
        <w:tc>
          <w:tcPr>
            <w:tcW w:type="dxa" w:w="8740"/>
            <w:tcBorders>
              <w:top w:val="none" w:color="FFFFFF" w:sz="0"/>
              <w:left w:val="none" w:color="FFFFFF" w:sz="0"/>
              <w:bottom w:val="none" w:color="FFFFFF" w:sz="0"/>
              <w:right w:val="none" w:color="FFFFFF" w:sz="0"/>
            </w:tcBorders>
            <w:shd w:fill="FFFFFF" w:val="clear"/>
            <w:tcMar>
              <w:top w:type="dxa" w:w="120"/>
              <w:left w:type="dxa" w:w="200"/>
              <w:bottom w:type="dxa" w:w="120"/>
              <w:right w:type="dxa" w:w="120"/>
            </w:tcMar>
          </w:tcPr>
          <w:p>
            <w:r>
              <w:rPr>
                <w:rFonts w:ascii="Arial" w:cs="Arial" w:eastAsia="Arial" w:hAnsi="Arial"/>
                <w:color w:val="1A1A1A"/>
                <w:sz w:val="20"/>
                <w:szCs w:val="20"/>
              </w:rPr>
              <w:t xml:space="preserve">Audit item-account mappings before go-live and after any item configuration change. Use saved searches to report all items with their Revenue, COGS, Asset, and Deferred Revenue accounts.</w:t>
            </w:r>
          </w:p>
        </w:tc>
      </w:tr>
      <w:tr>
        <w:tc>
          <w:tcPr>
            <w:tcW w:type="dxa" w:w="46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03</w:t>
            </w:r>
          </w:p>
        </w:tc>
        <w:tc>
          <w:tcPr>
            <w:tcW w:type="dxa" w:w="8740"/>
            <w:tcBorders>
              <w:top w:val="none" w:color="FFFFFF" w:sz="0"/>
              <w:left w:val="none" w:color="FFFFFF" w:sz="0"/>
              <w:bottom w:val="none" w:color="FFFFFF" w:sz="0"/>
              <w:right w:val="none" w:color="FFFFFF" w:sz="0"/>
            </w:tcBorders>
            <w:shd w:fill="F2F4F7" w:val="clear"/>
            <w:tcMar>
              <w:top w:type="dxa" w:w="120"/>
              <w:left w:type="dxa" w:w="200"/>
              <w:bottom w:type="dxa" w:w="120"/>
              <w:right w:type="dxa" w:w="120"/>
            </w:tcMar>
          </w:tcPr>
          <w:p>
            <w:r>
              <w:rPr>
                <w:rFonts w:ascii="Arial" w:cs="Arial" w:eastAsia="Arial" w:hAnsi="Arial"/>
                <w:color w:val="1A1A1A"/>
                <w:sz w:val="20"/>
                <w:szCs w:val="20"/>
              </w:rPr>
              <w:t xml:space="preserve">Set 'Allow Transaction Date Outside of Posting Period' to Disallow in production environments. This prevents silent misalignment between operational dates and financial posting periods.</w:t>
            </w:r>
          </w:p>
        </w:tc>
      </w:tr>
      <w:tr>
        <w:tc>
          <w:tcPr>
            <w:tcW w:type="dxa" w:w="46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04</w:t>
            </w:r>
          </w:p>
        </w:tc>
        <w:tc>
          <w:tcPr>
            <w:tcW w:type="dxa" w:w="8740"/>
            <w:tcBorders>
              <w:top w:val="none" w:color="FFFFFF" w:sz="0"/>
              <w:left w:val="none" w:color="FFFFFF" w:sz="0"/>
              <w:bottom w:val="none" w:color="FFFFFF" w:sz="0"/>
              <w:right w:val="none" w:color="FFFFFF" w:sz="0"/>
            </w:tcBorders>
            <w:shd w:fill="FFFFFF" w:val="clear"/>
            <w:tcMar>
              <w:top w:type="dxa" w:w="120"/>
              <w:left w:type="dxa" w:w="200"/>
              <w:bottom w:type="dxa" w:w="120"/>
              <w:right w:type="dxa" w:w="120"/>
            </w:tcMar>
          </w:tcPr>
          <w:p>
            <w:r>
              <w:rPr>
                <w:rFonts w:ascii="Arial" w:cs="Arial" w:eastAsia="Arial" w:hAnsi="Arial"/>
                <w:color w:val="1A1A1A"/>
                <w:sz w:val="20"/>
                <w:szCs w:val="20"/>
              </w:rPr>
              <w:t xml:space="preserve">Enable the Accounting Period Window and set a minimum window size appropriate for your close cycle. This automates period availability management and prevents period starvation.</w:t>
            </w:r>
          </w:p>
        </w:tc>
      </w:tr>
      <w:tr>
        <w:tc>
          <w:tcPr>
            <w:tcW w:type="dxa" w:w="46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05</w:t>
            </w:r>
          </w:p>
        </w:tc>
        <w:tc>
          <w:tcPr>
            <w:tcW w:type="dxa" w:w="8740"/>
            <w:tcBorders>
              <w:top w:val="none" w:color="FFFFFF" w:sz="0"/>
              <w:left w:val="none" w:color="FFFFFF" w:sz="0"/>
              <w:bottom w:val="none" w:color="FFFFFF" w:sz="0"/>
              <w:right w:val="none" w:color="FFFFFF" w:sz="0"/>
            </w:tcBorders>
            <w:shd w:fill="F2F4F7" w:val="clear"/>
            <w:tcMar>
              <w:top w:type="dxa" w:w="120"/>
              <w:left w:type="dxa" w:w="200"/>
              <w:bottom w:type="dxa" w:w="120"/>
              <w:right w:type="dxa" w:w="120"/>
            </w:tcMar>
          </w:tcPr>
          <w:p>
            <w:r>
              <w:rPr>
                <w:rFonts w:ascii="Arial" w:cs="Arial" w:eastAsia="Arial" w:hAnsi="Arial"/>
                <w:color w:val="1A1A1A"/>
                <w:sz w:val="20"/>
                <w:szCs w:val="20"/>
              </w:rPr>
              <w:t xml:space="preserve">Restrict the Override Period Restrictions permission to administrators and senior accountants only. Accidental use of this permission can corrupt historical financial data.</w:t>
            </w:r>
          </w:p>
        </w:tc>
      </w:tr>
      <w:tr>
        <w:tc>
          <w:tcPr>
            <w:tcW w:type="dxa" w:w="46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06</w:t>
            </w:r>
          </w:p>
        </w:tc>
        <w:tc>
          <w:tcPr>
            <w:tcW w:type="dxa" w:w="8740"/>
            <w:tcBorders>
              <w:top w:val="none" w:color="FFFFFF" w:sz="0"/>
              <w:left w:val="none" w:color="FFFFFF" w:sz="0"/>
              <w:bottom w:val="none" w:color="FFFFFF" w:sz="0"/>
              <w:right w:val="none" w:color="FFFFFF" w:sz="0"/>
            </w:tcBorders>
            <w:shd w:fill="FFFFFF" w:val="clear"/>
            <w:tcMar>
              <w:top w:type="dxa" w:w="120"/>
              <w:left w:type="dxa" w:w="200"/>
              <w:bottom w:type="dxa" w:w="120"/>
              <w:right w:type="dxa" w:w="120"/>
            </w:tcMar>
          </w:tcPr>
          <w:p>
            <w:r>
              <w:rPr>
                <w:rFonts w:ascii="Arial" w:cs="Arial" w:eastAsia="Arial" w:hAnsi="Arial"/>
                <w:color w:val="1A1A1A"/>
                <w:sz w:val="20"/>
                <w:szCs w:val="20"/>
              </w:rPr>
              <w:t xml:space="preserve">If using ARM, verify that revenue recognition journals are generated before period close. Use the Period Close Checklist task 'Recognize Revenue' to ensure this step is not skipped.</w:t>
            </w:r>
          </w:p>
        </w:tc>
      </w:tr>
      <w:tr>
        <w:tc>
          <w:tcPr>
            <w:tcW w:type="dxa" w:w="46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07</w:t>
            </w:r>
          </w:p>
        </w:tc>
        <w:tc>
          <w:tcPr>
            <w:tcW w:type="dxa" w:w="8740"/>
            <w:tcBorders>
              <w:top w:val="none" w:color="FFFFFF" w:sz="0"/>
              <w:left w:val="none" w:color="FFFFFF" w:sz="0"/>
              <w:bottom w:val="none" w:color="FFFFFF" w:sz="0"/>
              <w:right w:val="none" w:color="FFFFFF" w:sz="0"/>
            </w:tcBorders>
            <w:shd w:fill="F2F4F7" w:val="clear"/>
            <w:tcMar>
              <w:top w:type="dxa" w:w="120"/>
              <w:left w:type="dxa" w:w="200"/>
              <w:bottom w:type="dxa" w:w="120"/>
              <w:right w:type="dxa" w:w="120"/>
            </w:tcMar>
          </w:tcPr>
          <w:p>
            <w:r>
              <w:rPr>
                <w:rFonts w:ascii="Arial" w:cs="Arial" w:eastAsia="Arial" w:hAnsi="Arial"/>
                <w:color w:val="1A1A1A"/>
                <w:sz w:val="20"/>
                <w:szCs w:val="20"/>
              </w:rPr>
              <w:t xml:space="preserve">In Multi-Book Accounting environments, verify accounting book status (Active / Pending / Inactive) before processing high-volume transaction batches.</w:t>
            </w:r>
          </w:p>
        </w:tc>
      </w:tr>
      <w:tr>
        <w:tc>
          <w:tcPr>
            <w:tcW w:type="dxa" w:w="46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08</w:t>
            </w:r>
          </w:p>
        </w:tc>
        <w:tc>
          <w:tcPr>
            <w:tcW w:type="dxa" w:w="8740"/>
            <w:tcBorders>
              <w:top w:val="none" w:color="FFFFFF" w:sz="0"/>
              <w:left w:val="none" w:color="FFFFFF" w:sz="0"/>
              <w:bottom w:val="none" w:color="FFFFFF" w:sz="0"/>
              <w:right w:val="none" w:color="FFFFFF" w:sz="0"/>
            </w:tcBorders>
            <w:shd w:fill="FFFFFF" w:val="clear"/>
            <w:tcMar>
              <w:top w:type="dxa" w:w="120"/>
              <w:left w:type="dxa" w:w="200"/>
              <w:bottom w:type="dxa" w:w="120"/>
              <w:right w:type="dxa" w:w="120"/>
            </w:tcMar>
          </w:tcPr>
          <w:p>
            <w:r>
              <w:rPr>
                <w:rFonts w:ascii="Arial" w:cs="Arial" w:eastAsia="Arial" w:hAnsi="Arial"/>
                <w:color w:val="1A1A1A"/>
                <w:sz w:val="20"/>
                <w:szCs w:val="20"/>
              </w:rPr>
              <w:t xml:space="preserve">Enable GL Audit Numbering if your jurisdiction or internal policy requires tamper-evident financial records. Enable GL Impact Locking for maximum auditability.</w:t>
            </w:r>
          </w:p>
        </w:tc>
      </w:tr>
      <w:tr>
        <w:tc>
          <w:tcPr>
            <w:tcW w:type="dxa" w:w="46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09</w:t>
            </w:r>
          </w:p>
        </w:tc>
        <w:tc>
          <w:tcPr>
            <w:tcW w:type="dxa" w:w="8740"/>
            <w:tcBorders>
              <w:top w:val="none" w:color="FFFFFF" w:sz="0"/>
              <w:left w:val="none" w:color="FFFFFF" w:sz="0"/>
              <w:bottom w:val="none" w:color="FFFFFF" w:sz="0"/>
              <w:right w:val="none" w:color="FFFFFF" w:sz="0"/>
            </w:tcBorders>
            <w:shd w:fill="F2F4F7" w:val="clear"/>
            <w:tcMar>
              <w:top w:type="dxa" w:w="120"/>
              <w:left w:type="dxa" w:w="200"/>
              <w:bottom w:type="dxa" w:w="120"/>
              <w:right w:type="dxa" w:w="120"/>
            </w:tcMar>
          </w:tcPr>
          <w:p>
            <w:r>
              <w:rPr>
                <w:rFonts w:ascii="Arial" w:cs="Arial" w:eastAsia="Arial" w:hAnsi="Arial"/>
                <w:color w:val="1A1A1A"/>
                <w:sz w:val="20"/>
                <w:szCs w:val="20"/>
              </w:rPr>
              <w:t xml:space="preserve">Use the GL Impact page as a diagnostic tool, not just for review. When debugging financial discrepancies, always start by examining the GL Impact of the suspect transaction before looking at configuration.</w:t>
            </w:r>
          </w:p>
        </w:tc>
      </w:tr>
      <w:tr>
        <w:tc>
          <w:tcPr>
            <w:tcW w:type="dxa" w:w="46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10</w:t>
            </w:r>
          </w:p>
        </w:tc>
        <w:tc>
          <w:tcPr>
            <w:tcW w:type="dxa" w:w="8740"/>
            <w:tcBorders>
              <w:top w:val="none" w:color="FFFFFF" w:sz="0"/>
              <w:left w:val="none" w:color="FFFFFF" w:sz="0"/>
              <w:bottom w:val="none" w:color="FFFFFF" w:sz="0"/>
              <w:right w:val="none" w:color="FFFFFF" w:sz="0"/>
            </w:tcBorders>
            <w:shd w:fill="FFFFFF" w:val="clear"/>
            <w:tcMar>
              <w:top w:type="dxa" w:w="120"/>
              <w:left w:type="dxa" w:w="200"/>
              <w:bottom w:type="dxa" w:w="120"/>
              <w:right w:type="dxa" w:w="120"/>
            </w:tcMar>
          </w:tcPr>
          <w:p>
            <w:r>
              <w:rPr>
                <w:rFonts w:ascii="Arial" w:cs="Arial" w:eastAsia="Arial" w:hAnsi="Arial"/>
                <w:color w:val="1A1A1A"/>
                <w:sz w:val="20"/>
                <w:szCs w:val="20"/>
              </w:rPr>
              <w:t xml:space="preserve">Test all configuration changes (item setups, accounting preferences, SuiteGL customizations) in a Sandbox account and verify GL impact before promoting to Production.</w:t>
            </w:r>
          </w:p>
        </w:tc>
      </w:tr>
    </w:tbl>
    <w:p>
      <w:pPr>
        <w:spacing w:after="200"/>
      </w:pPr>
      <w:r>
        <w:t xml:space="preserve"/>
      </w:r>
    </w:p>
    <w:p>
      <w:r>
        <w:br w:type="page"/>
      </w:r>
    </w:p>
    <w:p>
      <w:pPr>
        <w:pStyle w:val="Heading1"/>
        <w:shd w:fill="1B3A6B" w:val="clear"/>
        <w:spacing w:after="120" w:before="360"/>
        <w:ind w:left="240" w:right="240"/>
      </w:pPr>
      <w:bookmarkStart w:name="s11" w:id="31"/>
      <w:r>
        <w:rPr>
          <w:rFonts w:ascii="Arial" w:cs="Arial" w:eastAsia="Arial" w:hAnsi="Arial"/>
          <w:b/>
          <w:bCs/>
          <w:color w:val="FFFFFF"/>
          <w:sz w:val="36"/>
          <w:szCs w:val="36"/>
        </w:rPr>
        <w:t xml:space="preserve">11. Quick Reference Summary</w:t>
      </w:r>
      <w:bookmarkEnd w:id="32"/>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Concept</w:t>
            </w:r>
          </w:p>
        </w:tc>
        <w:tc>
          <w:tcPr>
            <w:tcW w:type="dxa" w:w="576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Quick Definition</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GL Impact</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The debit and credit entries generated by a posting transaction in the General Ledger</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Posting Transaction</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A transaction that directly affects GL balances (Invoice, Bill, Item Receipt, JE, etc.)</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Non-Posting Transaction</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 transaction representing intent only — no GL impact (Sales Order, PO, Estimate)</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Posting Engine</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NetSuite's internal processor that converts transactions into balanced accounting entries using configured rules</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Posting Period</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The accounting period to which the GL impact is attributed; may differ from transaction date</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Accounting Period Window</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Minimum number of open/unlocked periods maintained automatically by NetSuite</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ARM (Advanced Revenue Management)</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NetSuite's ASC 606 / IFRS 15 compliant revenue recognition engine; defers and schedules revenue posting</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Multi-Book Accounting</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OneWorld feature enabling parallel GL books with independent charts of accounts per accounting standard</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GL Impact Locking</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Feature that preserves original GL entries when transactions are modified post-approval; requires GL Audit Numbering</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SuiteGL</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Developer framework for customizing GL line-level behavior via SuiteScript plug-ins</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Override Period Restrictions</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Permission allowing users to post in locked (not closed) periods; administratively sensitive</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Deferred Revenue</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Revenue collected or billed but not yet earned; held in a liability account until recognition criteria are met</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COGS (Cost of Goods Sold)</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Expense account debited when inventory items are fulfilled/invoiced; offset by credit to Inventory Asset</w:t>
            </w:r>
          </w:p>
        </w:tc>
      </w:tr>
    </w:tbl>
    <w:p>
      <w:pPr>
        <w:spacing w:after="200"/>
      </w:pPr>
      <w:r>
        <w:t xml:space="preserve"/>
      </w:r>
    </w:p>
    <w:p>
      <w:r>
        <w:br w:type="page"/>
      </w:r>
    </w:p>
    <w:p>
      <w:pPr>
        <w:pStyle w:val="Heading1"/>
        <w:shd w:fill="1B3A6B" w:val="clear"/>
        <w:spacing w:after="120" w:before="360"/>
        <w:ind w:left="240" w:right="240"/>
      </w:pPr>
      <w:bookmarkStart w:name="s12" w:id="33"/>
      <w:r>
        <w:rPr>
          <w:rFonts w:ascii="Arial" w:cs="Arial" w:eastAsia="Arial" w:hAnsi="Arial"/>
          <w:b/>
          <w:bCs/>
          <w:color w:val="FFFFFF"/>
          <w:sz w:val="36"/>
          <w:szCs w:val="36"/>
        </w:rPr>
        <w:t xml:space="preserve">12. References &amp; Official Sources</w:t>
      </w:r>
      <w:bookmarkEnd w:id="34"/>
    </w:p>
    <w:p>
      <w:pPr>
        <w:spacing w:after="80"/>
      </w:pPr>
      <w:r>
        <w:t xml:space="preserve"/>
      </w:r>
    </w:p>
    <w:p>
      <w:pPr>
        <w:spacing w:after="120"/>
      </w:pPr>
      <w:r>
        <w:rPr>
          <w:rFonts w:ascii="Arial" w:cs="Arial" w:eastAsia="Arial" w:hAnsi="Arial"/>
          <w:b w:val="false"/>
          <w:bCs w:val="false"/>
          <w:color w:val="1A1A1A"/>
          <w:sz w:val="22"/>
          <w:szCs w:val="22"/>
        </w:rPr>
        <w:t xml:space="preserve">All content in this document has been validated against the following Oracle NetSuite official documentation sources: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rPr>
          <w:tblHeader/>
        </w:trPr>
        <w:tc>
          <w:tcPr>
            <w:tcW w:type="dxa" w:w="360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Topic</w:t>
            </w:r>
          </w:p>
        </w:tc>
        <w:tc>
          <w:tcPr>
            <w:tcW w:type="dxa" w:w="5760"/>
            <w:tcBorders>
              <w:top w:val="single" w:color="C0C5CC" w:sz="1"/>
              <w:left w:val="single" w:color="C0C5CC" w:sz="1"/>
              <w:bottom w:val="single" w:color="C0C5CC" w:sz="1"/>
              <w:right w:val="single" w:color="C0C5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Oracle Documentation Reference</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GL Impact Page</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docs.oracle.com — NetSuite Applications Suite: GL Impact Page</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Sales Transaction GL Impact</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docs.oracle.com — NetSuite Applications Suite: Sales Transaction GL Impact</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Customer Transaction GL Impact</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docs.oracle.com — NetSuite Applications Suite: Customer Transaction GL Impact</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Bank Transaction GL Impact</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docs.oracle.com — NetSuite Applications Suite: Bank Transaction GL Impact</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Locking &amp; Unlocking Accounting Periods</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docs.oracle.com — NetSuite Applications Suite: Locking and Unlocking Accounting Periods</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Accounting Period Close</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docs.oracle.com — NetSuite Applications Suite: Accounting Period Close</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Future Accounting Periods</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docs.oracle.com — NetSuite Applications Suite: Rules for Future Accounting Periods</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Advanced Revenue Management</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docs.oracle.com — NetSuite Applications Suite: ARM Essentials and Revenue Allocation</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Multi-Book Accounting Overview</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docs.oracle.com — NetSuite Applications Suite: Multi-Book Accounting Overview</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Multi-Book Accounting Setup</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docs.oracle.com — NetSuite Applications Suite: Using Multi-Book Accounting</w:t>
            </w:r>
          </w:p>
        </w:tc>
      </w:tr>
      <w:tr>
        <w:tc>
          <w:tcPr>
            <w:tcW w:type="dxa" w:w="360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Transaction Edits in Locked Periods</w:t>
            </w:r>
          </w:p>
        </w:tc>
        <w:tc>
          <w:tcPr>
            <w:tcW w:type="dxa" w:w="5760"/>
            <w:tcBorders>
              <w:top w:val="single" w:color="C0C5CC" w:sz="1"/>
              <w:left w:val="single" w:color="C0C5CC" w:sz="1"/>
              <w:bottom w:val="single" w:color="C0C5CC" w:sz="1"/>
              <w:right w:val="single" w:color="C0C5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docs.oracle.com — NetSuite Applications Suite: Transaction Edits in Closed / Locked Periods</w:t>
            </w:r>
          </w:p>
        </w:tc>
      </w:tr>
      <w:tr>
        <w:tc>
          <w:tcPr>
            <w:tcW w:type="dxa" w:w="360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GL Impact Locking</w:t>
            </w:r>
          </w:p>
        </w:tc>
        <w:tc>
          <w:tcPr>
            <w:tcW w:type="dxa" w:w="5760"/>
            <w:tcBorders>
              <w:top w:val="single" w:color="C0C5CC" w:sz="1"/>
              <w:left w:val="single" w:color="C0C5CC" w:sz="1"/>
              <w:bottom w:val="single" w:color="C0C5CC" w:sz="1"/>
              <w:right w:val="single" w:color="C0C5CC" w:sz="1"/>
            </w:tcBorders>
            <w:shd w:fill="F2F4F7" w:val="clear"/>
            <w:tcMar>
              <w:top w:type="dxa" w:w="80"/>
              <w:left w:type="dxa" w:w="160"/>
              <w:bottom w:type="dxa" w:w="80"/>
              <w:right w:type="dxa" w:w="160"/>
            </w:tcMar>
          </w:tcPr>
          <w:p>
            <w:r>
              <w:rPr>
                <w:rFonts w:ascii="Arial" w:cs="Arial" w:eastAsia="Arial" w:hAnsi="Arial"/>
                <w:color w:val="1A1A1A"/>
                <w:sz w:val="20"/>
                <w:szCs w:val="20"/>
              </w:rPr>
              <w:t xml:space="preserve">docs.oracle.com — NetSuite Help (mirror): Using GL Impact Locking</w:t>
            </w:r>
          </w:p>
        </w:tc>
      </w:tr>
    </w:tbl>
    <w:p>
      <w:pPr>
        <w:spacing w:after="160"/>
      </w:pPr>
      <w:r>
        <w:t xml:space="preserve"/>
      </w:r>
    </w:p>
    <w:p>
      <w:pPr>
        <w:pBdr>
          <w:bottom w:val="single" w:color="D9DCE2" w:sz="4"/>
        </w:pBdr>
        <w:spacing w:after="160"/>
      </w:pPr>
      <w:r>
        <w:t xml:space="preserve"/>
      </w:r>
    </w:p>
    <w:p>
      <w:pPr>
        <w:spacing w:after="60" w:before="120"/>
        <w:jc w:val="center"/>
      </w:pPr>
      <w:r>
        <w:rPr>
          <w:rFonts w:ascii="Arial" w:cs="Arial" w:eastAsia="Arial" w:hAnsi="Arial"/>
          <w:i/>
          <w:iCs/>
          <w:color w:val="888888"/>
          <w:sz w:val="18"/>
          <w:szCs w:val="18"/>
        </w:rPr>
        <w:t xml:space="preserve">Document prepared for internal study purposes only. All behavioral descriptions are validated against Oracle NetSuite official documentation as of 2025-2026.</w:t>
      </w:r>
    </w:p>
    <w:p>
      <w:pPr>
        <w:jc w:val="center"/>
      </w:pPr>
      <w:r>
        <w:rPr>
          <w:rFonts w:ascii="Arial" w:cs="Arial" w:eastAsia="Arial" w:hAnsi="Arial"/>
          <w:b/>
          <w:bCs/>
          <w:color w:val="1B3A6B"/>
          <w:sz w:val="18"/>
          <w:szCs w:val="18"/>
        </w:rPr>
        <w:t xml:space="preserve">NetSuite Architecture Weekly Learning Series — Week 11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pPr>
    <w:r>
      <w:rPr>
        <w:rFonts w:ascii="Arial" w:cs="Arial" w:eastAsia="Arial" w:hAnsi="Arial"/>
        <w:i/>
        <w:iCs/>
        <w:color w:val="888888"/>
        <w:sz w:val="16"/>
        <w:szCs w:val="16"/>
      </w:rPr>
      <w:t xml:space="preserve">Source: Oracle NetSuite Help Center (docs.oracle.com/en/cloud/saas/netsuite)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tabs>
        <w:tab w:val="right" w:pos="9026"/>
      </w:tabs>
    </w:pPr>
    <w:r>
      <w:rPr>
        <w:rFonts w:ascii="Arial" w:cs="Arial" w:eastAsia="Arial" w:hAnsi="Arial"/>
        <w:color w:val="666666"/>
        <w:sz w:val="18"/>
        <w:szCs w:val="18"/>
      </w:rPr>
      <w:t xml:space="preserve">NetSuite Architecture Series  |  Week 11: Transaction Lifecycle &amp; Posting Engine</w:t>
    </w:r>
    <w:r>
      <w:rPr>
        <w:rFonts w:ascii="Arial" w:cs="Arial" w:eastAsia="Arial" w:hAnsi="Arial"/>
        <w:sz w:val="18"/>
        <w:szCs w:val="18"/>
      </w:rPr>
      <w:t xml:space="preserve">	</w:t>
    </w:r>
    <w:r>
      <w:rPr>
        <w:rFonts w:ascii="Arial" w:cs="Arial" w:eastAsia="Arial" w:hAnsi="Arial"/>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F6B7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2026-05-02T08:22:34.301Z</dcterms:created>
  <dcterms:modified xsi:type="dcterms:W3CDTF">2026-05-02T08:22:34.303Z</dcterms:modified>
</cp:coreProperties>
</file>

<file path=docProps/custom.xml><?xml version="1.0" encoding="utf-8"?>
<Properties xmlns="http://schemas.openxmlformats.org/officeDocument/2006/custom-properties" xmlns:vt="http://schemas.openxmlformats.org/officeDocument/2006/docPropsVTypes"/>
</file>