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Lab 1: Requirements Table</w:t>
      </w:r>
    </w:p>
    <w:p>
      <w:r>
        <w:rPr>
          <w:b/>
          <w:bCs/>
          <w:sz w:val="22"/>
          <w:szCs w:val="22"/>
        </w:rPr>
        <w:t xml:space="preserve">Problem Statement #20 — Hospital Bed &amp; ICU Allocation Dashboard</w:t>
      </w:r>
    </w:p>
    <w:p>
      <w:r>
        <w:rPr>
          <w:i/>
          <w:iCs/>
          <w:sz w:val="20"/>
          <w:szCs w:val="20"/>
        </w:rPr>
        <w:t xml:space="preserve">Domain: Healthcare &amp; Telemedicine   |   Actors: Triage Nurse, Hospital Administrator, Ambulance Dispatcher</w:t>
      </w:r>
    </w:p>
    <w:p/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200"/>
        <w:gridCol w:w="900"/>
        <w:gridCol w:w="2600"/>
        <w:gridCol w:w="2000"/>
      </w:tblGrid>
      <w:tr>
        <w:trPr>
          <w:tblHeader/>
        </w:trPr>
        <w:tc>
          <w:tcPr>
            <w:tcW w:type="dxa" w:w="9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3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6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20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FR-001</w:t>
            </w:r>
          </w:p>
        </w:tc>
        <w:tc>
          <w:tcPr>
            <w:tcW w:type="dxa" w:w="13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compute triage severity scores from intake vitals and dynamically order the ER bed allocation waitlist.</w:t>
            </w:r>
          </w:p>
        </w:tc>
        <w:tc>
          <w:tcPr>
            <w:tcW w:type="dxa" w:w="9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Higher acuity patient automatically moves ahead of lower acuity patient. Fail: FIFO queue ignores critical emergency.</w:t>
            </w:r>
          </w:p>
        </w:tc>
        <w:tc>
          <w:tcPr>
            <w:tcW w:type="dxa" w:w="20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Ensures the most critical patients receive beds first, reducing preventable harm from delayed care.</w:t>
            </w:r>
          </w:p>
        </w:tc>
      </w:tr>
      <w:tr>
        <w:tc>
          <w:tcPr>
            <w:tcW w:type="dxa" w:w="900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FR-002</w:t>
            </w:r>
          </w:p>
        </w:tc>
        <w:tc>
          <w:tcPr>
            <w:tcW w:type="dxa" w:w="13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display real-time ward occupancy status (Occupied, Cleaning, Available) for all beds to the Triage Nurse and Hospital Administrator.</w:t>
            </w:r>
          </w:p>
        </w:tc>
        <w:tc>
          <w:tcPr>
            <w:tcW w:type="dxa" w:w="9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bed status change is reflected on all dashboard views within 1 second. Fail: Dashboard shows a stale status after a change.</w:t>
            </w:r>
          </w:p>
        </w:tc>
        <w:tc>
          <w:tcPr>
            <w:tcW w:type="dxa" w:w="20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Accurate live visibility is required before any allocation or transfer decision can be made.</w:t>
            </w:r>
          </w:p>
        </w:tc>
      </w:tr>
      <w:tr>
        <w:tc>
          <w:tcPr>
            <w:tcW w:type="dxa" w:w="900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FR-003</w:t>
            </w:r>
          </w:p>
        </w:tc>
        <w:tc>
          <w:tcPr>
            <w:tcW w:type="dxa" w:w="13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the Triage Nurse to initiate an ICU bed transfer request for a patient whose triage score exceeds the ICU threshold.</w:t>
            </w:r>
          </w:p>
        </w:tc>
        <w:tc>
          <w:tcPr>
            <w:tcW w:type="dxa" w:w="9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 transfer request is created with patient ID, source ward, and target ICU bed. Fail: A request is accepted without a validated target bed.</w:t>
            </w:r>
          </w:p>
        </w:tc>
        <w:tc>
          <w:tcPr>
            <w:tcW w:type="dxa" w:w="20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Formalizes and logs the escalation of critical patients into ICU care.</w:t>
            </w:r>
          </w:p>
        </w:tc>
      </w:tr>
      <w:tr>
        <w:tc>
          <w:tcPr>
            <w:tcW w:type="dxa" w:w="900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FR-004</w:t>
            </w:r>
          </w:p>
        </w:tc>
        <w:tc>
          <w:tcPr>
            <w:tcW w:type="dxa" w:w="13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verify ICU bed availability before confirming a transfer request (includes the Verify Bed Availability use case).</w:t>
            </w:r>
          </w:p>
        </w:tc>
        <w:tc>
          <w:tcPr>
            <w:tcW w:type="dxa" w:w="9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Confirmation is blocked when no bed is marked Available. Fail: A transfer is confirmed against a bed marked Occupied.</w:t>
            </w:r>
          </w:p>
        </w:tc>
        <w:tc>
          <w:tcPr>
            <w:tcW w:type="dxa" w:w="20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Prevents double-booking of scarce ICU beds and downstream scheduling conflicts.</w:t>
            </w:r>
          </w:p>
        </w:tc>
      </w:tr>
      <w:tr>
        <w:tc>
          <w:tcPr>
            <w:tcW w:type="dxa" w:w="900"/>
            <w:shd w:fill="DCE6F1" w:val="clear"/>
          </w:tcPr>
          <w:p>
            <w:r>
              <w:rPr>
                <w:b/>
                <w:bCs/>
                <w:sz w:val="18"/>
                <w:szCs w:val="18"/>
              </w:rPr>
              <w:t xml:space="preserve">FR-005</w:t>
            </w:r>
          </w:p>
        </w:tc>
        <w:tc>
          <w:tcPr>
            <w:tcW w:type="dxa" w:w="13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the Ambulance Dispatcher to coordinate an inter-facility transfer, capturing receiving hospital, ambulance ETA, and live transfer status, when no local ICU bed is available (extends Request ICU Bed Transfer).</w:t>
            </w:r>
          </w:p>
        </w:tc>
        <w:tc>
          <w:tcPr>
            <w:tcW w:type="dxa" w:w="9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The workflow logs receiving facility and ETA and updates status to 'In Transit'. Fail: A transfer proceeds without a confirmed receiving facility.</w:t>
            </w:r>
          </w:p>
        </w:tc>
        <w:tc>
          <w:tcPr>
            <w:tcW w:type="dxa" w:w="2000"/>
            <w:shd w:fill="DCE6F1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Extends effective capacity through the hospital network when local ICU beds are exhausted.</w:t>
            </w:r>
          </w:p>
        </w:tc>
      </w:tr>
      <w:tr>
        <w:tc>
          <w:tcPr>
            <w:tcW w:type="dxa" w:w="900"/>
            <w:shd w:fill="FCE4D6" w:val="clear"/>
          </w:tcPr>
          <w:p>
            <w:r>
              <w:rPr>
                <w:b/>
                <w:bCs/>
                <w:sz w:val="18"/>
                <w:szCs w:val="18"/>
              </w:rPr>
              <w:t xml:space="preserve">NFR-001</w:t>
            </w:r>
          </w:p>
        </w:tc>
        <w:tc>
          <w:tcPr>
            <w:tcW w:type="dxa" w:w="1300"/>
            <w:shd w:fill="FCE4D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200"/>
            <w:shd w:fill="FCE4D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Bed status transitions (Occupied, Cleaning, Available) must propagate to all connected ER dashboard clients in under 1 second via WebSockets.</w:t>
            </w:r>
          </w:p>
        </w:tc>
        <w:tc>
          <w:tcPr>
            <w:tcW w:type="dxa" w:w="900"/>
            <w:shd w:fill="FCE4D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FCE4D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2000"/>
            <w:shd w:fill="FCE4D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Sub-second updates prevent staff from acting on outdated bed information during emergencies.</w:t>
            </w:r>
          </w:p>
        </w:tc>
      </w:tr>
      <w:tr>
        <w:tc>
          <w:tcPr>
            <w:tcW w:type="dxa" w:w="900"/>
            <w:shd w:fill="FCE4D6" w:val="clear"/>
          </w:tcPr>
          <w:p>
            <w:r>
              <w:rPr>
                <w:b/>
                <w:bCs/>
                <w:sz w:val="18"/>
                <w:szCs w:val="18"/>
              </w:rPr>
              <w:t xml:space="preserve">NFR-002</w:t>
            </w:r>
          </w:p>
        </w:tc>
        <w:tc>
          <w:tcPr>
            <w:tcW w:type="dxa" w:w="1300"/>
            <w:shd w:fill="FCE4D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200"/>
            <w:shd w:fill="FCE4D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encrypt all patient triage and bed-status data in transit and at rest, and restrict access by role-based authentication.</w:t>
            </w:r>
          </w:p>
        </w:tc>
        <w:tc>
          <w:tcPr>
            <w:tcW w:type="dxa" w:w="900"/>
            <w:shd w:fill="FCE4D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  <w:shd w:fill="FCE4D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Audit confirms TLS 1.2+ in transit and AES-256 at rest, with unauthorized roles denied access. Fail: Any PHI is transmitted, stored unencrypted, or reachable without authentication.</w:t>
            </w:r>
          </w:p>
        </w:tc>
        <w:tc>
          <w:tcPr>
            <w:tcW w:type="dxa" w:w="2000"/>
            <w:shd w:fill="FCE4D6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Protects sensitive patient health information and supports regulatory compliance.</w:t>
            </w:r>
          </w:p>
        </w:tc>
      </w:tr>
    </w:tbl>
    <w:sectPr>
      <w:pgSz w:w="12240" w:h="15840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2026-08-25T06:23:23.058Z</dcterms:created>
  <dcterms:modified xsi:type="dcterms:W3CDTF">2026-08-25T06:23:23.073Z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