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FD" w:rsidRDefault="004E72FD">
      <w:pPr>
        <w:pStyle w:val="Heading1"/>
        <w:spacing w:before="120"/>
        <w:ind w:left="2501"/>
      </w:pPr>
      <w:r>
        <w:pict>
          <v:group id="_x0000_s1030" style="position:absolute;left:0;text-align:left;margin-left:0;margin-top:0;width:595pt;height:841.3pt;z-index:-15816192;mso-position-horizontal-relative:page;mso-position-vertical-relative:page" coordsize="11900,168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width:11900;height:16826">
              <v:imagedata r:id="rId5" o:title=""/>
            </v:shape>
            <v:line id="_x0000_s1039" style="position:absolute" from="400,12474" to="11400,12474" strokeweight="1pt"/>
            <v:shape id="_x0000_s1038" style="position:absolute;left:403;top:4592;width:11097;height:737" coordorigin="403,4593" coordsize="11097,737" o:spt="100" adj="0,,0" path="m11500,5318r-11097,l403,5329r11097,l11500,5318xm11500,4593r-23,l11477,4617r,374l427,4991r,-374l11477,4617r,-24l11477,4593r-11074,l403,4617r,374l403,5015r11097,l11500,4991r,l11500,4593xe" fillcolor="black" stroked="f">
              <v:stroke joinstyle="round"/>
              <v:formulas/>
              <v:path arrowok="t" o:connecttype="segments"/>
            </v:shape>
            <v:shape id="_x0000_s1037" type="#_x0000_t75" style="position:absolute;left:2380;top:3500;width:1500;height:1500">
              <v:imagedata r:id="rId6" o:title=""/>
            </v:shape>
            <v:shape id="_x0000_s1036" type="#_x0000_t75" style="position:absolute;left:5400;top:200;width:1080;height:1485">
              <v:imagedata r:id="rId7" o:title=""/>
            </v:shape>
            <v:shape id="_x0000_s1035" type="#_x0000_t75" style="position:absolute;left:300;top:1000;width:1600;height:256">
              <v:imagedata r:id="rId8" o:title=""/>
            </v:shape>
            <v:shape id="_x0000_s1034" type="#_x0000_t75" style="position:absolute;left:2400;top:13940;width:9500;height:1462">
              <v:imagedata r:id="rId9" o:title=""/>
            </v:shape>
            <v:shape id="_x0000_s1033" type="#_x0000_t75" style="position:absolute;left:5000;top:14140;width:1350;height:1365">
              <v:imagedata r:id="rId10" o:title=""/>
            </v:shape>
            <v:shape id="_x0000_s1032" type="#_x0000_t75" style="position:absolute;left:1000;top:14240;width:1650;height:1650">
              <v:imagedata r:id="rId11" o:title=""/>
            </v:shape>
            <v:line id="_x0000_s1031" style="position:absolute" from="1603,15251" to="1900,15214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.05pt;margin-top:186.75pt;width:6.45pt;height:66.35pt;z-index:15730176;mso-position-horizontal-relative:page;mso-position-vertical-relative:page" filled="f" stroked="f">
            <v:textbox style="layout-flow:vertical;mso-layout-flow-alt:bottom-to-top" inset="0,0,0,0">
              <w:txbxContent>
                <w:p w:rsidR="004E72FD" w:rsidRDefault="00DA3206">
                  <w:pPr>
                    <w:spacing w:before="16"/>
                    <w:ind w:left="20"/>
                    <w:rPr>
                      <w:sz w:val="8"/>
                    </w:rPr>
                  </w:pPr>
                  <w:r>
                    <w:rPr>
                      <w:color w:val="7E7E7E"/>
                      <w:sz w:val="8"/>
                    </w:rPr>
                    <w:t xml:space="preserve">ITDOSE INFOSYSTEMS PVT. </w:t>
                  </w:r>
                  <w:proofErr w:type="gramStart"/>
                  <w:r>
                    <w:rPr>
                      <w:color w:val="7E7E7E"/>
                      <w:sz w:val="8"/>
                    </w:rPr>
                    <w:t>LTD.</w:t>
                  </w:r>
                  <w:proofErr w:type="gramEnd"/>
                </w:p>
              </w:txbxContent>
            </v:textbox>
            <w10:wrap anchorx="page" anchory="page"/>
          </v:shape>
        </w:pict>
      </w:r>
      <w:proofErr w:type="spellStart"/>
      <w:r w:rsidR="00883F74">
        <w:t>Aadhar</w:t>
      </w:r>
      <w:proofErr w:type="spellEnd"/>
      <w:r w:rsidR="00883F74">
        <w:t xml:space="preserve"> No</w:t>
      </w:r>
      <w:proofErr w:type="gramStart"/>
      <w:r w:rsidR="00883F74">
        <w:t>:632703364246</w:t>
      </w:r>
      <w:proofErr w:type="gramEnd"/>
    </w:p>
    <w:p w:rsidR="004E72FD" w:rsidRDefault="004E72FD">
      <w:pPr>
        <w:pStyle w:val="BodyText"/>
        <w:spacing w:before="10"/>
        <w:rPr>
          <w:sz w:val="1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51"/>
        <w:gridCol w:w="4225"/>
        <w:gridCol w:w="1769"/>
        <w:gridCol w:w="3323"/>
      </w:tblGrid>
      <w:tr w:rsidR="004E72FD">
        <w:trPr>
          <w:trHeight w:val="275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</w:tcBorders>
          </w:tcPr>
          <w:p w:rsidR="004E72FD" w:rsidRDefault="00DA3206">
            <w:pPr>
              <w:pStyle w:val="TableParagraph"/>
              <w:spacing w:before="42"/>
              <w:ind w:left="54"/>
              <w:rPr>
                <w:sz w:val="17"/>
              </w:rPr>
            </w:pPr>
            <w:r>
              <w:rPr>
                <w:sz w:val="17"/>
              </w:rPr>
              <w:t>Name</w:t>
            </w:r>
          </w:p>
        </w:tc>
        <w:tc>
          <w:tcPr>
            <w:tcW w:w="4225" w:type="dxa"/>
            <w:tcBorders>
              <w:top w:val="single" w:sz="6" w:space="0" w:color="000000"/>
            </w:tcBorders>
          </w:tcPr>
          <w:p w:rsidR="004E72FD" w:rsidRDefault="00DA3206">
            <w:pPr>
              <w:pStyle w:val="TableParagraph"/>
              <w:spacing w:before="42"/>
              <w:ind w:left="134"/>
              <w:rPr>
                <w:b/>
                <w:sz w:val="17"/>
              </w:rPr>
            </w:pPr>
            <w:r>
              <w:rPr>
                <w:sz w:val="17"/>
              </w:rPr>
              <w:t xml:space="preserve">: </w:t>
            </w:r>
            <w:r w:rsidR="00883F74">
              <w:rPr>
                <w:b/>
                <w:sz w:val="17"/>
              </w:rPr>
              <w:t xml:space="preserve">Mr. </w:t>
            </w:r>
            <w:proofErr w:type="spellStart"/>
            <w:r w:rsidR="00883F74">
              <w:rPr>
                <w:b/>
                <w:sz w:val="17"/>
              </w:rPr>
              <w:t>Rudra</w:t>
            </w:r>
            <w:proofErr w:type="spellEnd"/>
            <w:r w:rsidR="00883F74">
              <w:rPr>
                <w:b/>
                <w:sz w:val="17"/>
              </w:rPr>
              <w:t xml:space="preserve"> </w:t>
            </w:r>
            <w:proofErr w:type="spellStart"/>
            <w:r w:rsidR="00883F74">
              <w:rPr>
                <w:b/>
                <w:sz w:val="17"/>
              </w:rPr>
              <w:t>Akhil</w:t>
            </w:r>
            <w:proofErr w:type="spellEnd"/>
          </w:p>
        </w:tc>
        <w:tc>
          <w:tcPr>
            <w:tcW w:w="1769" w:type="dxa"/>
            <w:tcBorders>
              <w:top w:val="single" w:sz="6" w:space="0" w:color="000000"/>
            </w:tcBorders>
          </w:tcPr>
          <w:p w:rsidR="004E72FD" w:rsidRDefault="00DA3206">
            <w:pPr>
              <w:pStyle w:val="TableParagraph"/>
              <w:spacing w:before="42"/>
              <w:rPr>
                <w:sz w:val="17"/>
              </w:rPr>
            </w:pPr>
            <w:r>
              <w:rPr>
                <w:sz w:val="17"/>
              </w:rPr>
              <w:t>Sample ID</w:t>
            </w:r>
          </w:p>
        </w:tc>
        <w:tc>
          <w:tcPr>
            <w:tcW w:w="3323" w:type="dxa"/>
            <w:tcBorders>
              <w:top w:val="single" w:sz="6" w:space="0" w:color="000000"/>
              <w:right w:val="single" w:sz="6" w:space="0" w:color="000000"/>
            </w:tcBorders>
          </w:tcPr>
          <w:p w:rsidR="004E72FD" w:rsidRDefault="00DA3206">
            <w:pPr>
              <w:pStyle w:val="TableParagraph"/>
              <w:spacing w:before="42"/>
              <w:ind w:left="420"/>
              <w:rPr>
                <w:sz w:val="17"/>
              </w:rPr>
            </w:pPr>
            <w:r>
              <w:rPr>
                <w:sz w:val="17"/>
              </w:rPr>
              <w:t>: 20358</w:t>
            </w:r>
            <w:r w:rsidR="004F5194">
              <w:rPr>
                <w:sz w:val="17"/>
              </w:rPr>
              <w:t>664</w:t>
            </w:r>
          </w:p>
        </w:tc>
      </w:tr>
      <w:tr w:rsidR="004E72FD">
        <w:trPr>
          <w:trHeight w:val="257"/>
        </w:trPr>
        <w:tc>
          <w:tcPr>
            <w:tcW w:w="1851" w:type="dxa"/>
            <w:tcBorders>
              <w:left w:val="single" w:sz="6" w:space="0" w:color="000000"/>
            </w:tcBorders>
          </w:tcPr>
          <w:p w:rsidR="004E72FD" w:rsidRDefault="00DA3206">
            <w:pPr>
              <w:pStyle w:val="TableParagraph"/>
              <w:ind w:left="54"/>
              <w:rPr>
                <w:sz w:val="17"/>
              </w:rPr>
            </w:pPr>
            <w:r>
              <w:rPr>
                <w:sz w:val="17"/>
              </w:rPr>
              <w:t>Age/Gender</w:t>
            </w:r>
          </w:p>
        </w:tc>
        <w:tc>
          <w:tcPr>
            <w:tcW w:w="4225" w:type="dxa"/>
          </w:tcPr>
          <w:p w:rsidR="004E72FD" w:rsidRDefault="00DA3206">
            <w:pPr>
              <w:pStyle w:val="TableParagraph"/>
              <w:ind w:left="134"/>
              <w:rPr>
                <w:b/>
                <w:sz w:val="17"/>
              </w:rPr>
            </w:pPr>
            <w:r>
              <w:rPr>
                <w:sz w:val="17"/>
              </w:rPr>
              <w:t xml:space="preserve">: </w:t>
            </w:r>
            <w:r w:rsidR="00883F74">
              <w:rPr>
                <w:b/>
                <w:sz w:val="17"/>
              </w:rPr>
              <w:t>27</w:t>
            </w:r>
            <w:r>
              <w:rPr>
                <w:b/>
                <w:sz w:val="17"/>
              </w:rPr>
              <w:t xml:space="preserve"> Years/Male</w:t>
            </w:r>
          </w:p>
        </w:tc>
        <w:tc>
          <w:tcPr>
            <w:tcW w:w="1769" w:type="dxa"/>
          </w:tcPr>
          <w:p w:rsidR="004E72FD" w:rsidRDefault="00DA3206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Reg. No</w:t>
            </w:r>
          </w:p>
        </w:tc>
        <w:tc>
          <w:tcPr>
            <w:tcW w:w="3323" w:type="dxa"/>
            <w:tcBorders>
              <w:right w:val="single" w:sz="6" w:space="0" w:color="000000"/>
            </w:tcBorders>
          </w:tcPr>
          <w:p w:rsidR="004E72FD" w:rsidRDefault="00DA3206">
            <w:pPr>
              <w:pStyle w:val="TableParagraph"/>
              <w:ind w:left="420"/>
              <w:rPr>
                <w:sz w:val="17"/>
              </w:rPr>
            </w:pPr>
            <w:r>
              <w:rPr>
                <w:sz w:val="17"/>
              </w:rPr>
              <w:t>: 0162112220001</w:t>
            </w:r>
          </w:p>
        </w:tc>
      </w:tr>
      <w:tr w:rsidR="004E72FD">
        <w:trPr>
          <w:trHeight w:val="257"/>
        </w:trPr>
        <w:tc>
          <w:tcPr>
            <w:tcW w:w="1851" w:type="dxa"/>
            <w:tcBorders>
              <w:left w:val="single" w:sz="6" w:space="0" w:color="000000"/>
            </w:tcBorders>
          </w:tcPr>
          <w:p w:rsidR="004E72FD" w:rsidRDefault="00DA3206">
            <w:pPr>
              <w:pStyle w:val="TableParagraph"/>
              <w:spacing w:before="25"/>
              <w:ind w:left="54"/>
              <w:rPr>
                <w:sz w:val="17"/>
              </w:rPr>
            </w:pPr>
            <w:r>
              <w:rPr>
                <w:sz w:val="17"/>
              </w:rPr>
              <w:t>Referred by</w:t>
            </w:r>
          </w:p>
        </w:tc>
        <w:tc>
          <w:tcPr>
            <w:tcW w:w="4225" w:type="dxa"/>
          </w:tcPr>
          <w:p w:rsidR="004E72FD" w:rsidRDefault="00DA3206">
            <w:pPr>
              <w:pStyle w:val="TableParagraph"/>
              <w:spacing w:before="25"/>
              <w:ind w:left="134"/>
              <w:rPr>
                <w:sz w:val="17"/>
              </w:rPr>
            </w:pPr>
            <w:r>
              <w:rPr>
                <w:sz w:val="17"/>
              </w:rPr>
              <w:t>: Dr. SELF</w:t>
            </w:r>
          </w:p>
        </w:tc>
        <w:tc>
          <w:tcPr>
            <w:tcW w:w="1769" w:type="dxa"/>
          </w:tcPr>
          <w:p w:rsidR="004E72FD" w:rsidRDefault="00DA3206">
            <w:pPr>
              <w:pStyle w:val="TableParagraph"/>
              <w:spacing w:before="25"/>
              <w:rPr>
                <w:sz w:val="17"/>
              </w:rPr>
            </w:pPr>
            <w:r>
              <w:rPr>
                <w:sz w:val="17"/>
              </w:rPr>
              <w:t>MPD Code</w:t>
            </w:r>
          </w:p>
        </w:tc>
        <w:tc>
          <w:tcPr>
            <w:tcW w:w="3323" w:type="dxa"/>
            <w:tcBorders>
              <w:right w:val="single" w:sz="6" w:space="0" w:color="000000"/>
            </w:tcBorders>
          </w:tcPr>
          <w:p w:rsidR="004E72FD" w:rsidRDefault="00DA3206">
            <w:pPr>
              <w:pStyle w:val="TableParagraph"/>
              <w:spacing w:before="25"/>
              <w:ind w:left="420"/>
              <w:rPr>
                <w:sz w:val="17"/>
              </w:rPr>
            </w:pPr>
            <w:r>
              <w:rPr>
                <w:sz w:val="17"/>
              </w:rPr>
              <w:t>: MP-TSF-650</w:t>
            </w:r>
          </w:p>
        </w:tc>
      </w:tr>
      <w:tr w:rsidR="004E72FD">
        <w:trPr>
          <w:trHeight w:val="258"/>
        </w:trPr>
        <w:tc>
          <w:tcPr>
            <w:tcW w:w="1851" w:type="dxa"/>
            <w:tcBorders>
              <w:left w:val="single" w:sz="6" w:space="0" w:color="000000"/>
            </w:tcBorders>
          </w:tcPr>
          <w:p w:rsidR="004E72FD" w:rsidRDefault="00DA3206">
            <w:pPr>
              <w:pStyle w:val="TableParagraph"/>
              <w:ind w:left="54"/>
              <w:rPr>
                <w:sz w:val="17"/>
              </w:rPr>
            </w:pPr>
            <w:r>
              <w:rPr>
                <w:sz w:val="17"/>
              </w:rPr>
              <w:t>Referring Customer</w:t>
            </w:r>
          </w:p>
        </w:tc>
        <w:tc>
          <w:tcPr>
            <w:tcW w:w="4225" w:type="dxa"/>
          </w:tcPr>
          <w:p w:rsidR="004E72FD" w:rsidRDefault="00DA3206">
            <w:pPr>
              <w:pStyle w:val="TableParagraph"/>
              <w:ind w:left="134"/>
              <w:rPr>
                <w:sz w:val="17"/>
              </w:rPr>
            </w:pPr>
            <w:r>
              <w:rPr>
                <w:sz w:val="17"/>
              </w:rPr>
              <w:t>: MM DIAGNOSTIC</w:t>
            </w:r>
          </w:p>
        </w:tc>
        <w:tc>
          <w:tcPr>
            <w:tcW w:w="1769" w:type="dxa"/>
          </w:tcPr>
          <w:p w:rsidR="004E72FD" w:rsidRDefault="00DA3206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Collected On</w:t>
            </w:r>
          </w:p>
        </w:tc>
        <w:tc>
          <w:tcPr>
            <w:tcW w:w="3323" w:type="dxa"/>
            <w:tcBorders>
              <w:right w:val="single" w:sz="6" w:space="0" w:color="000000"/>
            </w:tcBorders>
          </w:tcPr>
          <w:p w:rsidR="004E72FD" w:rsidRDefault="00883F74">
            <w:pPr>
              <w:pStyle w:val="TableParagraph"/>
              <w:ind w:left="420"/>
              <w:rPr>
                <w:sz w:val="17"/>
              </w:rPr>
            </w:pPr>
            <w:r>
              <w:rPr>
                <w:sz w:val="17"/>
              </w:rPr>
              <w:t>: 09-Mar-2022</w:t>
            </w:r>
            <w:r w:rsidR="00DA3206">
              <w:rPr>
                <w:sz w:val="17"/>
              </w:rPr>
              <w:t xml:space="preserve"> 12:05 PM</w:t>
            </w:r>
          </w:p>
        </w:tc>
      </w:tr>
      <w:tr w:rsidR="004E72FD">
        <w:trPr>
          <w:trHeight w:val="257"/>
        </w:trPr>
        <w:tc>
          <w:tcPr>
            <w:tcW w:w="1851" w:type="dxa"/>
            <w:tcBorders>
              <w:left w:val="single" w:sz="6" w:space="0" w:color="000000"/>
            </w:tcBorders>
          </w:tcPr>
          <w:p w:rsidR="004E72FD" w:rsidRDefault="00DA3206">
            <w:pPr>
              <w:pStyle w:val="TableParagraph"/>
              <w:spacing w:before="25"/>
              <w:ind w:left="54"/>
              <w:rPr>
                <w:sz w:val="17"/>
              </w:rPr>
            </w:pPr>
            <w:r>
              <w:rPr>
                <w:sz w:val="17"/>
              </w:rPr>
              <w:t>Sample Type</w:t>
            </w:r>
          </w:p>
        </w:tc>
        <w:tc>
          <w:tcPr>
            <w:tcW w:w="4225" w:type="dxa"/>
          </w:tcPr>
          <w:p w:rsidR="004E72FD" w:rsidRDefault="00DA3206">
            <w:pPr>
              <w:pStyle w:val="TableParagraph"/>
              <w:spacing w:before="25"/>
              <w:ind w:left="134"/>
              <w:rPr>
                <w:sz w:val="17"/>
              </w:rPr>
            </w:pPr>
            <w:r>
              <w:rPr>
                <w:sz w:val="17"/>
              </w:rPr>
              <w:t xml:space="preserve">: Nasopharyngeal and </w:t>
            </w:r>
            <w:proofErr w:type="spellStart"/>
            <w:r>
              <w:rPr>
                <w:sz w:val="17"/>
              </w:rPr>
              <w:t>Oropharyngeal</w:t>
            </w:r>
            <w:proofErr w:type="spellEnd"/>
            <w:r>
              <w:rPr>
                <w:sz w:val="17"/>
              </w:rPr>
              <w:t xml:space="preserve"> Swabs</w:t>
            </w:r>
          </w:p>
        </w:tc>
        <w:tc>
          <w:tcPr>
            <w:tcW w:w="1769" w:type="dxa"/>
          </w:tcPr>
          <w:p w:rsidR="004E72FD" w:rsidRDefault="00DA3206">
            <w:pPr>
              <w:pStyle w:val="TableParagraph"/>
              <w:spacing w:before="25"/>
              <w:rPr>
                <w:sz w:val="17"/>
              </w:rPr>
            </w:pPr>
            <w:r>
              <w:rPr>
                <w:sz w:val="17"/>
              </w:rPr>
              <w:t>Received On</w:t>
            </w:r>
          </w:p>
        </w:tc>
        <w:tc>
          <w:tcPr>
            <w:tcW w:w="3323" w:type="dxa"/>
            <w:tcBorders>
              <w:right w:val="single" w:sz="6" w:space="0" w:color="000000"/>
            </w:tcBorders>
          </w:tcPr>
          <w:p w:rsidR="004E72FD" w:rsidRDefault="00883F74">
            <w:pPr>
              <w:pStyle w:val="TableParagraph"/>
              <w:spacing w:before="25"/>
              <w:ind w:left="420"/>
              <w:rPr>
                <w:sz w:val="17"/>
              </w:rPr>
            </w:pPr>
            <w:r>
              <w:rPr>
                <w:sz w:val="17"/>
              </w:rPr>
              <w:t>: 09-Mar</w:t>
            </w:r>
            <w:r w:rsidR="00DA3206">
              <w:rPr>
                <w:sz w:val="17"/>
              </w:rPr>
              <w:t>-2022 03:15 PM</w:t>
            </w:r>
          </w:p>
        </w:tc>
      </w:tr>
      <w:tr w:rsidR="004E72FD">
        <w:trPr>
          <w:trHeight w:val="554"/>
        </w:trPr>
        <w:tc>
          <w:tcPr>
            <w:tcW w:w="1851" w:type="dxa"/>
            <w:tcBorders>
              <w:left w:val="single" w:sz="6" w:space="0" w:color="000000"/>
              <w:bottom w:val="single" w:sz="6" w:space="0" w:color="000000"/>
            </w:tcBorders>
          </w:tcPr>
          <w:p w:rsidR="004E72FD" w:rsidRDefault="004E72F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25" w:type="dxa"/>
            <w:tcBorders>
              <w:bottom w:val="single" w:sz="6" w:space="0" w:color="000000"/>
            </w:tcBorders>
          </w:tcPr>
          <w:p w:rsidR="004E72FD" w:rsidRDefault="004E72FD">
            <w:pPr>
              <w:pStyle w:val="TableParagraph"/>
              <w:spacing w:before="4"/>
              <w:ind w:left="0"/>
              <w:rPr>
                <w:rFonts w:ascii="Arial"/>
                <w:sz w:val="13"/>
              </w:rPr>
            </w:pPr>
          </w:p>
          <w:p w:rsidR="004E72FD" w:rsidRDefault="004E72FD">
            <w:pPr>
              <w:pStyle w:val="TableParagraph"/>
              <w:spacing w:before="0"/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27" style="width:1.35pt;height:16.4pt;mso-position-horizontal-relative:char;mso-position-vertical-relative:line" coordsize="27,328">
                  <v:line id="_x0000_s1028" style="position:absolute" from="8,8" to="19,320"/>
                  <w10:wrap type="none"/>
                  <w10:anchorlock/>
                </v:group>
              </w:pict>
            </w:r>
          </w:p>
        </w:tc>
        <w:tc>
          <w:tcPr>
            <w:tcW w:w="1769" w:type="dxa"/>
            <w:tcBorders>
              <w:bottom w:val="single" w:sz="6" w:space="0" w:color="000000"/>
            </w:tcBorders>
          </w:tcPr>
          <w:p w:rsidR="004E72FD" w:rsidRDefault="00DA3206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Reported On</w:t>
            </w:r>
          </w:p>
        </w:tc>
        <w:tc>
          <w:tcPr>
            <w:tcW w:w="3323" w:type="dxa"/>
            <w:tcBorders>
              <w:bottom w:val="single" w:sz="6" w:space="0" w:color="000000"/>
              <w:right w:val="single" w:sz="6" w:space="0" w:color="000000"/>
            </w:tcBorders>
          </w:tcPr>
          <w:p w:rsidR="004E72FD" w:rsidRDefault="00883F74">
            <w:pPr>
              <w:pStyle w:val="TableParagraph"/>
              <w:ind w:left="420"/>
              <w:rPr>
                <w:sz w:val="17"/>
              </w:rPr>
            </w:pPr>
            <w:r>
              <w:rPr>
                <w:sz w:val="17"/>
              </w:rPr>
              <w:t>: 10-Mar</w:t>
            </w:r>
            <w:r w:rsidR="00DA3206">
              <w:rPr>
                <w:sz w:val="17"/>
              </w:rPr>
              <w:t>-2022 05:54 PM</w:t>
            </w:r>
          </w:p>
        </w:tc>
      </w:tr>
    </w:tbl>
    <w:p w:rsidR="004E72FD" w:rsidRDefault="004E72FD">
      <w:pPr>
        <w:pStyle w:val="BodyText"/>
        <w:rPr>
          <w:sz w:val="22"/>
        </w:rPr>
      </w:pPr>
    </w:p>
    <w:p w:rsidR="004E72FD" w:rsidRDefault="004E72FD">
      <w:pPr>
        <w:pStyle w:val="BodyText"/>
        <w:rPr>
          <w:sz w:val="22"/>
        </w:rPr>
      </w:pPr>
    </w:p>
    <w:p w:rsidR="004E72FD" w:rsidRDefault="00DA3206">
      <w:pPr>
        <w:spacing w:before="156"/>
        <w:ind w:left="4284" w:right="4391"/>
        <w:jc w:val="center"/>
        <w:rPr>
          <w:b/>
          <w:sz w:val="21"/>
        </w:rPr>
      </w:pPr>
      <w:r>
        <w:rPr>
          <w:b/>
          <w:sz w:val="21"/>
        </w:rPr>
        <w:t>MOLECULAR BIOLOGY</w:t>
      </w:r>
    </w:p>
    <w:p w:rsidR="004E72FD" w:rsidRDefault="00DA3206">
      <w:pPr>
        <w:tabs>
          <w:tab w:val="left" w:pos="4157"/>
          <w:tab w:val="left" w:pos="5348"/>
          <w:tab w:val="left" w:pos="6541"/>
          <w:tab w:val="left" w:pos="8877"/>
        </w:tabs>
        <w:spacing w:before="114"/>
        <w:ind w:left="266"/>
        <w:rPr>
          <w:b/>
          <w:sz w:val="18"/>
        </w:rPr>
      </w:pPr>
      <w:r>
        <w:rPr>
          <w:b/>
          <w:w w:val="105"/>
          <w:sz w:val="18"/>
        </w:rPr>
        <w:t>Test</w:t>
      </w:r>
      <w:r>
        <w:rPr>
          <w:b/>
          <w:spacing w:val="-11"/>
          <w:w w:val="105"/>
          <w:sz w:val="18"/>
        </w:rPr>
        <w:t xml:space="preserve"> </w:t>
      </w:r>
      <w:r>
        <w:rPr>
          <w:b/>
          <w:w w:val="105"/>
          <w:sz w:val="18"/>
        </w:rPr>
        <w:t>Name</w:t>
      </w:r>
      <w:r>
        <w:rPr>
          <w:b/>
          <w:w w:val="105"/>
          <w:sz w:val="18"/>
        </w:rPr>
        <w:tab/>
        <w:t>Results</w:t>
      </w:r>
      <w:r>
        <w:rPr>
          <w:b/>
          <w:w w:val="105"/>
          <w:sz w:val="18"/>
        </w:rPr>
        <w:tab/>
        <w:t>Units</w:t>
      </w:r>
      <w:r>
        <w:rPr>
          <w:b/>
          <w:w w:val="105"/>
          <w:sz w:val="18"/>
        </w:rPr>
        <w:tab/>
        <w:t>Ref.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Range</w:t>
      </w:r>
      <w:r>
        <w:rPr>
          <w:b/>
          <w:w w:val="105"/>
          <w:sz w:val="18"/>
        </w:rPr>
        <w:tab/>
        <w:t>Method</w:t>
      </w:r>
    </w:p>
    <w:p w:rsidR="004E72FD" w:rsidRDefault="004E72FD">
      <w:pPr>
        <w:pStyle w:val="BodyText"/>
        <w:rPr>
          <w:b/>
          <w:sz w:val="20"/>
        </w:rPr>
      </w:pPr>
    </w:p>
    <w:p w:rsidR="004E72FD" w:rsidRDefault="004E72FD">
      <w:pPr>
        <w:pStyle w:val="BodyText"/>
        <w:spacing w:before="1"/>
        <w:rPr>
          <w:b/>
        </w:rPr>
      </w:pPr>
    </w:p>
    <w:p w:rsidR="004E72FD" w:rsidRDefault="00DA3206">
      <w:pPr>
        <w:ind w:left="266"/>
        <w:rPr>
          <w:b/>
          <w:sz w:val="20"/>
        </w:rPr>
      </w:pPr>
      <w:r>
        <w:rPr>
          <w:b/>
          <w:w w:val="105"/>
          <w:sz w:val="20"/>
        </w:rPr>
        <w:t>SARS-CoV-2 (COVID-19) RT PCR</w:t>
      </w:r>
    </w:p>
    <w:p w:rsidR="004E72FD" w:rsidRDefault="00DA3206">
      <w:pPr>
        <w:tabs>
          <w:tab w:val="left" w:pos="4330"/>
          <w:tab w:val="left" w:pos="8809"/>
        </w:tabs>
        <w:spacing w:before="110"/>
        <w:ind w:left="266"/>
        <w:rPr>
          <w:sz w:val="18"/>
        </w:rPr>
      </w:pPr>
      <w:r>
        <w:rPr>
          <w:b/>
          <w:sz w:val="18"/>
        </w:rPr>
        <w:t>SARS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COV-2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Detection</w:t>
      </w:r>
      <w:r>
        <w:rPr>
          <w:b/>
          <w:sz w:val="18"/>
        </w:rPr>
        <w:tab/>
      </w:r>
      <w:r>
        <w:rPr>
          <w:sz w:val="18"/>
        </w:rPr>
        <w:t>Negative</w:t>
      </w:r>
      <w:r>
        <w:rPr>
          <w:sz w:val="18"/>
        </w:rPr>
        <w:tab/>
      </w:r>
      <w:r>
        <w:rPr>
          <w:spacing w:val="-3"/>
          <w:sz w:val="18"/>
        </w:rPr>
        <w:t xml:space="preserve">Real </w:t>
      </w:r>
      <w:r>
        <w:rPr>
          <w:sz w:val="18"/>
        </w:rPr>
        <w:t>Time -</w:t>
      </w:r>
      <w:r>
        <w:rPr>
          <w:spacing w:val="-17"/>
          <w:sz w:val="18"/>
        </w:rPr>
        <w:t xml:space="preserve"> </w:t>
      </w:r>
      <w:r>
        <w:rPr>
          <w:sz w:val="18"/>
        </w:rPr>
        <w:t>PCR</w:t>
      </w:r>
    </w:p>
    <w:p w:rsidR="004E72FD" w:rsidRDefault="004E72FD">
      <w:pPr>
        <w:pStyle w:val="BodyText"/>
        <w:spacing w:before="4"/>
        <w:rPr>
          <w:sz w:val="12"/>
        </w:rPr>
      </w:pPr>
      <w:r w:rsidRPr="004E72FD">
        <w:pict>
          <v:shape id="_x0000_s1026" type="#_x0000_t202" style="position:absolute;margin-left:28.05pt;margin-top:9.35pt;width:542.55pt;height:254.35pt;z-index:-15728128;mso-wrap-distance-left:0;mso-wrap-distance-right:0;mso-position-horizontal-relative:page" filled="f" strokeweight=".20253mm">
            <v:textbox inset="0,0,0,0">
              <w:txbxContent>
                <w:p w:rsidR="004E72FD" w:rsidRDefault="00DA3206">
                  <w:pPr>
                    <w:spacing w:before="55"/>
                    <w:ind w:left="5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Comment:</w:t>
                  </w:r>
                </w:p>
                <w:p w:rsidR="004E72FD" w:rsidRDefault="00DA3206">
                  <w:pPr>
                    <w:pStyle w:val="BodyText"/>
                    <w:spacing w:before="1"/>
                    <w:ind w:left="57"/>
                  </w:pPr>
                  <w:r>
                    <w:t>Note: The results relate only to the specimens tested and should be correlated with clinical findings.</w:t>
                  </w:r>
                </w:p>
                <w:p w:rsidR="004E72FD" w:rsidRDefault="004E72FD">
                  <w:pPr>
                    <w:pStyle w:val="BodyText"/>
                    <w:rPr>
                      <w:sz w:val="26"/>
                    </w:rPr>
                  </w:pPr>
                </w:p>
                <w:p w:rsidR="004E72FD" w:rsidRDefault="00DA3206">
                  <w:pPr>
                    <w:ind w:left="57"/>
                    <w:rPr>
                      <w:b/>
                      <w:sz w:val="16"/>
                    </w:rPr>
                  </w:pPr>
                  <w:r>
                    <w:rPr>
                      <w:b/>
                      <w:color w:val="0000FF"/>
                      <w:sz w:val="16"/>
                    </w:rPr>
                    <w:t>What does CT</w:t>
                  </w:r>
                  <w:r>
                    <w:rPr>
                      <w:b/>
                      <w:color w:val="0000FF"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color w:val="0000FF"/>
                      <w:sz w:val="16"/>
                    </w:rPr>
                    <w:t>mean?</w:t>
                  </w:r>
                </w:p>
                <w:p w:rsidR="004E72FD" w:rsidRDefault="00DA3206">
                  <w:pPr>
                    <w:pStyle w:val="BodyText"/>
                    <w:spacing w:before="137"/>
                    <w:ind w:left="57" w:right="41"/>
                    <w:jc w:val="both"/>
                  </w:pPr>
                  <w:r>
                    <w:t>In the real time PCR assay a positive reaction is resulted by accumulation of fluorescent signal. The Ct (Cycle threshold) is defined</w:t>
                  </w:r>
                  <w:r>
                    <w:t xml:space="preserve"> as the number of cycles required for fluorescent signal to cross the threshold (</w:t>
                  </w:r>
                  <w:proofErr w:type="spellStart"/>
                  <w:r>
                    <w:t>ie</w:t>
                  </w:r>
                  <w:proofErr w:type="spellEnd"/>
                  <w:r>
                    <w:t xml:space="preserve"> exceeds background level). Ct values are inversely proportional to the amount of target nucleic acid in the sample (</w:t>
                  </w:r>
                  <w:proofErr w:type="spellStart"/>
                  <w:r>
                    <w:t>ie</w:t>
                  </w:r>
                  <w:proofErr w:type="spellEnd"/>
                  <w:r>
                    <w:t xml:space="preserve"> the lower the Ct level the greater the amount of targ</w:t>
                  </w:r>
                  <w:r>
                    <w:t>et nucleic acid in the sample). WVDL real time assays undergo 40 cycles of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amplification.</w:t>
                  </w:r>
                </w:p>
                <w:p w:rsidR="004E72FD" w:rsidRDefault="00DA3206">
                  <w:pPr>
                    <w:pStyle w:val="BodyText"/>
                    <w:spacing w:before="158"/>
                    <w:ind w:left="57"/>
                  </w:pPr>
                  <w:proofErr w:type="spellStart"/>
                  <w:r>
                    <w:rPr>
                      <w:b/>
                      <w:color w:val="0000FF"/>
                    </w:rPr>
                    <w:t>Cts</w:t>
                  </w:r>
                  <w:proofErr w:type="spellEnd"/>
                  <w:r>
                    <w:rPr>
                      <w:b/>
                      <w:color w:val="0000FF"/>
                    </w:rPr>
                    <w:t xml:space="preserve"> &lt;= 24 </w:t>
                  </w:r>
                  <w:r>
                    <w:t xml:space="preserve">are strong positive reactions indicative of abundant target nucleic acid </w:t>
                  </w:r>
                  <w:proofErr w:type="gramStart"/>
                  <w:r>
                    <w:t>( Viral</w:t>
                  </w:r>
                  <w:proofErr w:type="gramEnd"/>
                  <w:r>
                    <w:t xml:space="preserve"> RNA ) in the sample </w:t>
                  </w:r>
                  <w:proofErr w:type="spellStart"/>
                  <w:r>
                    <w:t>Cts</w:t>
                  </w:r>
                  <w:proofErr w:type="spellEnd"/>
                  <w:r>
                    <w:t xml:space="preserve"> of</w:t>
                  </w:r>
                </w:p>
                <w:p w:rsidR="004E72FD" w:rsidRDefault="00DA3206">
                  <w:pPr>
                    <w:pStyle w:val="BodyText"/>
                    <w:ind w:left="57"/>
                  </w:pPr>
                  <w:r>
                    <w:rPr>
                      <w:b/>
                      <w:color w:val="0000FF"/>
                    </w:rPr>
                    <w:t xml:space="preserve">25 to 28 </w:t>
                  </w:r>
                  <w:r>
                    <w:t>are positive reactions indicative of mo</w:t>
                  </w:r>
                  <w:r>
                    <w:t xml:space="preserve">derate amounts of target nucleic acid </w:t>
                  </w:r>
                  <w:proofErr w:type="gramStart"/>
                  <w:r>
                    <w:t>( Viral</w:t>
                  </w:r>
                  <w:proofErr w:type="gramEnd"/>
                  <w:r>
                    <w:t xml:space="preserve"> RNA ) </w:t>
                  </w:r>
                  <w:proofErr w:type="spellStart"/>
                  <w:r>
                    <w:t>Cts</w:t>
                  </w:r>
                  <w:proofErr w:type="spellEnd"/>
                  <w:r>
                    <w:t xml:space="preserve"> of</w:t>
                  </w:r>
                </w:p>
                <w:p w:rsidR="004E72FD" w:rsidRDefault="00DA3206">
                  <w:pPr>
                    <w:pStyle w:val="BodyText"/>
                    <w:spacing w:before="4"/>
                    <w:ind w:left="57"/>
                  </w:pPr>
                  <w:r>
                    <w:rPr>
                      <w:b/>
                      <w:color w:val="0000FF"/>
                    </w:rPr>
                    <w:t xml:space="preserve">29 to 37 </w:t>
                  </w:r>
                  <w:r>
                    <w:t xml:space="preserve">are weak reactions indicative of minimal amounts of target nucleic acid </w:t>
                  </w:r>
                  <w:proofErr w:type="gramStart"/>
                  <w:r>
                    <w:t>( Viral</w:t>
                  </w:r>
                  <w:proofErr w:type="gramEnd"/>
                  <w:r>
                    <w:t xml:space="preserve"> RNA ) which could represent an infection state.</w:t>
                  </w:r>
                </w:p>
                <w:p w:rsidR="004E72FD" w:rsidRDefault="004E72FD"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 w:rsidR="004E72FD" w:rsidRDefault="00DA3206">
                  <w:pPr>
                    <w:pStyle w:val="BodyText"/>
                    <w:ind w:left="57" w:right="39"/>
                    <w:jc w:val="both"/>
                  </w:pPr>
                  <w:r>
                    <w:t xml:space="preserve">Note: CT values differ from Kit to Kit, Lab to Lab, sample </w:t>
                  </w:r>
                  <w:r>
                    <w:t xml:space="preserve">collection process and sample transportation/storage condition. Principle of assay is to determine the viral specific gene markers in collected sample. </w:t>
                  </w:r>
                  <w:proofErr w:type="gramStart"/>
                  <w:r>
                    <w:t xml:space="preserve">N-gene to detect all </w:t>
                  </w:r>
                  <w:proofErr w:type="spellStart"/>
                  <w:r>
                    <w:t>coronovirus</w:t>
                  </w:r>
                  <w:proofErr w:type="spellEnd"/>
                  <w:r>
                    <w:t xml:space="preserve"> strains and ORF1ab gene to confirm COVID- 19/SARS- CoV-2.</w:t>
                  </w:r>
                  <w:proofErr w:type="gramEnd"/>
                </w:p>
                <w:p w:rsidR="004E72FD" w:rsidRDefault="00DA320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85"/>
                    </w:tabs>
                    <w:spacing w:before="156"/>
                    <w:ind w:left="184" w:hanging="131"/>
                  </w:pPr>
                  <w:r>
                    <w:t>Testing of re</w:t>
                  </w:r>
                  <w:r>
                    <w:t xml:space="preserve">ferred clinical specimens was considered on the basis of approval from ICMR </w:t>
                  </w:r>
                  <w:r>
                    <w:rPr>
                      <w:color w:val="0000FF"/>
                    </w:rPr>
                    <w:t>(</w:t>
                  </w:r>
                  <w:r>
                    <w:rPr>
                      <w:b/>
                      <w:color w:val="0000FF"/>
                    </w:rPr>
                    <w:t>ICMR Code:</w:t>
                  </w:r>
                  <w:r>
                    <w:rPr>
                      <w:b/>
                      <w:color w:val="0000FF"/>
                      <w:spacing w:val="27"/>
                    </w:rPr>
                    <w:t xml:space="preserve"> </w:t>
                  </w:r>
                  <w:r>
                    <w:rPr>
                      <w:b/>
                      <w:color w:val="0000FF"/>
                    </w:rPr>
                    <w:t>MEDPLVT</w:t>
                  </w:r>
                  <w:r>
                    <w:rPr>
                      <w:color w:val="0000FF"/>
                    </w:rPr>
                    <w:t>)</w:t>
                  </w:r>
                </w:p>
                <w:p w:rsidR="004E72FD" w:rsidRDefault="00DA320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92"/>
                    </w:tabs>
                    <w:spacing w:before="1"/>
                    <w:ind w:right="147" w:hanging="3"/>
                  </w:pPr>
                  <w:r>
                    <w:t xml:space="preserve">Negative results </w:t>
                  </w:r>
                  <w:proofErr w:type="spellStart"/>
                  <w:r>
                    <w:t>donot</w:t>
                  </w:r>
                  <w:proofErr w:type="spellEnd"/>
                  <w:r>
                    <w:t xml:space="preserve"> preclude SARS-CoV-2 and </w:t>
                  </w:r>
                  <w:proofErr w:type="spellStart"/>
                  <w:r>
                    <w:t>shouldnt</w:t>
                  </w:r>
                  <w:proofErr w:type="spellEnd"/>
                  <w:r>
                    <w:t xml:space="preserve"> be used as the sole basis for patient management  </w:t>
                  </w:r>
                  <w:proofErr w:type="spellStart"/>
                  <w:r>
                    <w:t>decisions.Kindly</w:t>
                  </w:r>
                  <w:proofErr w:type="spellEnd"/>
                  <w:r>
                    <w:t xml:space="preserve">  repeat  the test after 48/72hr if c</w:t>
                  </w:r>
                  <w:r>
                    <w:t>linically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suspected.</w:t>
                  </w:r>
                </w:p>
                <w:p w:rsidR="004E72FD" w:rsidRDefault="00DA320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85"/>
                    </w:tabs>
                    <w:spacing w:before="2" w:line="183" w:lineRule="exact"/>
                    <w:ind w:left="184" w:hanging="131"/>
                  </w:pPr>
                  <w:r>
                    <w:t>A positive test results is only tentative, and will be reconfirmed by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re-testing.</w:t>
                  </w:r>
                </w:p>
                <w:p w:rsidR="004E72FD" w:rsidRDefault="00DA320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87"/>
                    </w:tabs>
                    <w:ind w:right="149" w:hanging="3"/>
                  </w:pPr>
                  <w:r>
                    <w:t xml:space="preserve">Repeat sampling and testing of lower respiratory specimen is strongly recommended in severe or progressive </w:t>
                  </w:r>
                  <w:proofErr w:type="spellStart"/>
                  <w:r>
                    <w:t>disease.The</w:t>
                  </w:r>
                  <w:proofErr w:type="spellEnd"/>
                  <w:r>
                    <w:t xml:space="preserve"> repeat specimens may be considered after a gap of 2 to 4 days after collection of the 1st specimen for additional testing if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required.</w:t>
                  </w:r>
                </w:p>
                <w:p w:rsidR="004E72FD" w:rsidRDefault="00DA320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87"/>
                    </w:tabs>
                    <w:spacing w:before="1"/>
                    <w:ind w:left="186" w:hanging="133"/>
                  </w:pPr>
                  <w:proofErr w:type="gramStart"/>
                  <w:r>
                    <w:t xml:space="preserve">A </w:t>
                  </w:r>
                  <w:r>
                    <w:t xml:space="preserve">Positive alternate pathogen </w:t>
                  </w:r>
                  <w:proofErr w:type="spellStart"/>
                  <w:r>
                    <w:t>does't</w:t>
                  </w:r>
                  <w:proofErr w:type="spellEnd"/>
                  <w:r>
                    <w:t xml:space="preserve"> necessarily rule</w:t>
                  </w:r>
                  <w:proofErr w:type="gramEnd"/>
                  <w:r>
                    <w:t xml:space="preserve"> out either, as little is known about role of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co-infections.</w:t>
                  </w:r>
                </w:p>
                <w:p w:rsidR="004E72FD" w:rsidRDefault="00DA320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87"/>
                    </w:tabs>
                    <w:spacing w:before="3"/>
                    <w:ind w:left="186" w:hanging="133"/>
                  </w:pPr>
                  <w:r>
                    <w:t>False Negative results may be attributable to improper sample collection, improper transport, under anti-viral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treatment.</w:t>
                  </w:r>
                </w:p>
              </w:txbxContent>
            </v:textbox>
            <w10:wrap type="topAndBottom" anchorx="page"/>
          </v:shape>
        </w:pict>
      </w:r>
    </w:p>
    <w:p w:rsidR="004E72FD" w:rsidRDefault="00DA3206">
      <w:pPr>
        <w:pStyle w:val="Heading1"/>
        <w:rPr>
          <w:rFonts w:ascii="Times New Roman"/>
        </w:rPr>
      </w:pPr>
      <w:r>
        <w:rPr>
          <w:rFonts w:ascii="Times New Roman"/>
        </w:rPr>
        <w:t>Correlate Clinically.</w:t>
      </w:r>
    </w:p>
    <w:p w:rsidR="004E72FD" w:rsidRDefault="004E72FD">
      <w:pPr>
        <w:pStyle w:val="BodyText"/>
        <w:rPr>
          <w:rFonts w:ascii="Times New Roman"/>
          <w:sz w:val="22"/>
        </w:rPr>
      </w:pPr>
    </w:p>
    <w:p w:rsidR="004E72FD" w:rsidRDefault="004E72FD">
      <w:pPr>
        <w:pStyle w:val="BodyText"/>
        <w:spacing w:before="8"/>
        <w:rPr>
          <w:rFonts w:ascii="Times New Roman"/>
          <w:sz w:val="32"/>
        </w:rPr>
      </w:pPr>
    </w:p>
    <w:p w:rsidR="00883F74" w:rsidRDefault="00883F74">
      <w:pPr>
        <w:pStyle w:val="Title"/>
      </w:pPr>
    </w:p>
    <w:p w:rsidR="004E72FD" w:rsidRDefault="00DA3206">
      <w:pPr>
        <w:pStyle w:val="Title"/>
      </w:pPr>
      <w:r>
        <w:t xml:space="preserve">*** End </w:t>
      </w:r>
      <w:proofErr w:type="gramStart"/>
      <w:r>
        <w:t>Of</w:t>
      </w:r>
      <w:proofErr w:type="gramEnd"/>
      <w:r>
        <w:t xml:space="preserve"> Report ***</w:t>
      </w:r>
    </w:p>
    <w:p w:rsidR="004E72FD" w:rsidRDefault="004E72FD">
      <w:pPr>
        <w:pStyle w:val="BodyText"/>
        <w:rPr>
          <w:rFonts w:ascii="Times New Roman"/>
          <w:sz w:val="24"/>
        </w:rPr>
      </w:pPr>
    </w:p>
    <w:p w:rsidR="004E72FD" w:rsidRDefault="004E72FD">
      <w:pPr>
        <w:pStyle w:val="BodyText"/>
        <w:rPr>
          <w:rFonts w:ascii="Times New Roman"/>
          <w:sz w:val="24"/>
        </w:rPr>
      </w:pPr>
    </w:p>
    <w:p w:rsidR="004E72FD" w:rsidRDefault="004E72FD">
      <w:pPr>
        <w:pStyle w:val="BodyText"/>
        <w:rPr>
          <w:rFonts w:ascii="Times New Roman"/>
          <w:sz w:val="24"/>
        </w:rPr>
      </w:pPr>
    </w:p>
    <w:p w:rsidR="004E72FD" w:rsidRDefault="004E72FD">
      <w:pPr>
        <w:pStyle w:val="BodyText"/>
        <w:rPr>
          <w:rFonts w:ascii="Times New Roman"/>
          <w:sz w:val="24"/>
        </w:rPr>
      </w:pPr>
    </w:p>
    <w:p w:rsidR="004E72FD" w:rsidRDefault="004E72FD">
      <w:pPr>
        <w:pStyle w:val="BodyText"/>
        <w:rPr>
          <w:rFonts w:ascii="Times New Roman"/>
          <w:sz w:val="24"/>
        </w:rPr>
      </w:pPr>
    </w:p>
    <w:p w:rsidR="004E72FD" w:rsidRDefault="004E72FD">
      <w:pPr>
        <w:pStyle w:val="BodyText"/>
        <w:rPr>
          <w:rFonts w:ascii="Times New Roman"/>
          <w:sz w:val="24"/>
        </w:rPr>
      </w:pPr>
    </w:p>
    <w:p w:rsidR="004E72FD" w:rsidRDefault="004F5194">
      <w:pPr>
        <w:pStyle w:val="BodyText"/>
        <w:rPr>
          <w:rFonts w:ascii="Times New Roman"/>
          <w:sz w:val="24"/>
        </w:rPr>
      </w:pPr>
      <w:r>
        <w:rPr>
          <w:rFonts w:ascii="Times New Roman"/>
          <w:noProof/>
          <w:sz w:val="24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57.65pt;margin-top:2.3pt;width:7.5pt;height:4.4pt;z-index:487593472" o:connectortype="straight"/>
        </w:pict>
      </w:r>
      <w:r>
        <w:rPr>
          <w:rFonts w:ascii="Times New Roman"/>
          <w:noProof/>
          <w:sz w:val="24"/>
          <w:lang w:bidi="te-IN"/>
        </w:rPr>
        <w:pict>
          <v:shape id="_x0000_s1043" type="#_x0000_t32" style="position:absolute;margin-left:90.8pt;margin-top:6.7pt;width:14.2pt;height:0;z-index:487590400" o:connectortype="straight"/>
        </w:pict>
      </w:r>
      <w:r>
        <w:rPr>
          <w:rFonts w:ascii="Times New Roman"/>
          <w:noProof/>
          <w:sz w:val="24"/>
          <w:lang w:bidi="te-IN"/>
        </w:rPr>
        <w:pict>
          <v:shape id="_x0000_s1042" type="#_x0000_t32" style="position:absolute;margin-left:52.6pt;margin-top:11.1pt;width:12.55pt;height:.6pt;z-index:487589376" o:connectortype="straight"/>
        </w:pict>
      </w:r>
    </w:p>
    <w:p w:rsidR="004E72FD" w:rsidRDefault="004F5194">
      <w:pPr>
        <w:pStyle w:val="BodyText"/>
        <w:rPr>
          <w:rFonts w:ascii="Times New Roman"/>
          <w:sz w:val="24"/>
        </w:rPr>
      </w:pPr>
      <w:r>
        <w:rPr>
          <w:rFonts w:ascii="Times New Roman"/>
          <w:noProof/>
          <w:sz w:val="24"/>
          <w:lang w:bidi="te-IN"/>
        </w:rPr>
        <w:pict>
          <v:shape id="_x0000_s1045" type="#_x0000_t32" style="position:absolute;margin-left:87.05pt;margin-top:2.3pt;width:22.55pt;height:13.15pt;flip:y;z-index:487592448" o:connectortype="straight"/>
        </w:pict>
      </w:r>
    </w:p>
    <w:p w:rsidR="004E72FD" w:rsidRDefault="004F5194">
      <w:pPr>
        <w:pStyle w:val="BodyText"/>
        <w:rPr>
          <w:rFonts w:ascii="Times New Roman"/>
          <w:sz w:val="24"/>
        </w:rPr>
      </w:pPr>
      <w:r>
        <w:rPr>
          <w:rFonts w:ascii="Times New Roman"/>
          <w:noProof/>
          <w:sz w:val="24"/>
          <w:lang w:bidi="te-IN"/>
        </w:rPr>
        <w:pict>
          <v:shape id="_x0000_s1044" type="#_x0000_t32" style="position:absolute;margin-left:52.6pt;margin-top:1.65pt;width:12.55pt;height:5.6pt;flip:y;z-index:487591424" o:connectortype="straight"/>
        </w:pict>
      </w:r>
    </w:p>
    <w:p w:rsidR="004E72FD" w:rsidRDefault="004E72FD">
      <w:pPr>
        <w:pStyle w:val="BodyText"/>
        <w:rPr>
          <w:rFonts w:ascii="Times New Roman"/>
          <w:sz w:val="24"/>
        </w:rPr>
      </w:pPr>
    </w:p>
    <w:p w:rsidR="004E72FD" w:rsidRDefault="004E72FD">
      <w:pPr>
        <w:pStyle w:val="BodyText"/>
        <w:spacing w:before="11"/>
        <w:rPr>
          <w:rFonts w:ascii="Times New Roman"/>
          <w:sz w:val="30"/>
        </w:rPr>
      </w:pPr>
    </w:p>
    <w:p w:rsidR="004E72FD" w:rsidRDefault="00DA3206">
      <w:pPr>
        <w:pStyle w:val="BodyText"/>
        <w:ind w:right="126"/>
        <w:jc w:val="right"/>
        <w:rPr>
          <w:rFonts w:ascii="Times New Roman"/>
        </w:rPr>
      </w:pPr>
      <w:r>
        <w:rPr>
          <w:rFonts w:ascii="Times New Roman"/>
        </w:rPr>
        <w:t>Page 1 of 1</w:t>
      </w:r>
    </w:p>
    <w:sectPr w:rsidR="004E72FD" w:rsidSect="004E72FD">
      <w:type w:val="continuous"/>
      <w:pgSz w:w="11900" w:h="16850"/>
      <w:pgMar w:top="1600" w:right="18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01599"/>
    <w:multiLevelType w:val="hybridMultilevel"/>
    <w:tmpl w:val="9986259C"/>
    <w:lvl w:ilvl="0" w:tplc="26923970">
      <w:numFmt w:val="bullet"/>
      <w:lvlText w:val="♦"/>
      <w:lvlJc w:val="left"/>
      <w:pPr>
        <w:ind w:left="57" w:hanging="130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07A45D46">
      <w:numFmt w:val="bullet"/>
      <w:lvlText w:val="•"/>
      <w:lvlJc w:val="left"/>
      <w:pPr>
        <w:ind w:left="1137" w:hanging="130"/>
      </w:pPr>
      <w:rPr>
        <w:rFonts w:hint="default"/>
        <w:lang w:val="en-US" w:eastAsia="en-US" w:bidi="ar-SA"/>
      </w:rPr>
    </w:lvl>
    <w:lvl w:ilvl="2" w:tplc="E1285B72">
      <w:numFmt w:val="bullet"/>
      <w:lvlText w:val="•"/>
      <w:lvlJc w:val="left"/>
      <w:pPr>
        <w:ind w:left="2215" w:hanging="130"/>
      </w:pPr>
      <w:rPr>
        <w:rFonts w:hint="default"/>
        <w:lang w:val="en-US" w:eastAsia="en-US" w:bidi="ar-SA"/>
      </w:rPr>
    </w:lvl>
    <w:lvl w:ilvl="3" w:tplc="B3B82460">
      <w:numFmt w:val="bullet"/>
      <w:lvlText w:val="•"/>
      <w:lvlJc w:val="left"/>
      <w:pPr>
        <w:ind w:left="3293" w:hanging="130"/>
      </w:pPr>
      <w:rPr>
        <w:rFonts w:hint="default"/>
        <w:lang w:val="en-US" w:eastAsia="en-US" w:bidi="ar-SA"/>
      </w:rPr>
    </w:lvl>
    <w:lvl w:ilvl="4" w:tplc="EA44DDFE">
      <w:numFmt w:val="bullet"/>
      <w:lvlText w:val="•"/>
      <w:lvlJc w:val="left"/>
      <w:pPr>
        <w:ind w:left="4371" w:hanging="130"/>
      </w:pPr>
      <w:rPr>
        <w:rFonts w:hint="default"/>
        <w:lang w:val="en-US" w:eastAsia="en-US" w:bidi="ar-SA"/>
      </w:rPr>
    </w:lvl>
    <w:lvl w:ilvl="5" w:tplc="18F4A246">
      <w:numFmt w:val="bullet"/>
      <w:lvlText w:val="•"/>
      <w:lvlJc w:val="left"/>
      <w:pPr>
        <w:ind w:left="5449" w:hanging="130"/>
      </w:pPr>
      <w:rPr>
        <w:rFonts w:hint="default"/>
        <w:lang w:val="en-US" w:eastAsia="en-US" w:bidi="ar-SA"/>
      </w:rPr>
    </w:lvl>
    <w:lvl w:ilvl="6" w:tplc="DD06D830">
      <w:numFmt w:val="bullet"/>
      <w:lvlText w:val="•"/>
      <w:lvlJc w:val="left"/>
      <w:pPr>
        <w:ind w:left="6527" w:hanging="130"/>
      </w:pPr>
      <w:rPr>
        <w:rFonts w:hint="default"/>
        <w:lang w:val="en-US" w:eastAsia="en-US" w:bidi="ar-SA"/>
      </w:rPr>
    </w:lvl>
    <w:lvl w:ilvl="7" w:tplc="37CE57EE">
      <w:numFmt w:val="bullet"/>
      <w:lvlText w:val="•"/>
      <w:lvlJc w:val="left"/>
      <w:pPr>
        <w:ind w:left="7605" w:hanging="130"/>
      </w:pPr>
      <w:rPr>
        <w:rFonts w:hint="default"/>
        <w:lang w:val="en-US" w:eastAsia="en-US" w:bidi="ar-SA"/>
      </w:rPr>
    </w:lvl>
    <w:lvl w:ilvl="8" w:tplc="9DF8B920">
      <w:numFmt w:val="bullet"/>
      <w:lvlText w:val="•"/>
      <w:lvlJc w:val="left"/>
      <w:pPr>
        <w:ind w:left="8683" w:hanging="1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72FD"/>
    <w:rsid w:val="004E72FD"/>
    <w:rsid w:val="004F5194"/>
    <w:rsid w:val="00883F74"/>
    <w:rsid w:val="00DA3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2"/>
        <o:r id="V:Rule4" type="connector" idref="#_x0000_s1043"/>
        <o:r id="V:Rule6" type="connector" idref="#_x0000_s1044"/>
        <o:r id="V:Rule8" type="connector" idref="#_x0000_s1045"/>
        <o:r id="V:Rule1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72FD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4E72FD"/>
    <w:pPr>
      <w:spacing w:before="64"/>
      <w:ind w:left="331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72FD"/>
    <w:rPr>
      <w:sz w:val="16"/>
      <w:szCs w:val="16"/>
    </w:rPr>
  </w:style>
  <w:style w:type="paragraph" w:styleId="Title">
    <w:name w:val="Title"/>
    <w:basedOn w:val="Normal"/>
    <w:uiPriority w:val="1"/>
    <w:qFormat/>
    <w:rsid w:val="004E72FD"/>
    <w:pPr>
      <w:ind w:left="3814" w:right="4559"/>
      <w:jc w:val="center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4E72FD"/>
  </w:style>
  <w:style w:type="paragraph" w:customStyle="1" w:styleId="TableParagraph">
    <w:name w:val="Table Paragraph"/>
    <w:basedOn w:val="Normal"/>
    <w:uiPriority w:val="1"/>
    <w:qFormat/>
    <w:rsid w:val="004E72FD"/>
    <w:pPr>
      <w:spacing w:before="26"/>
      <w:ind w:left="282"/>
    </w:pPr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Thoparapu</dc:creator>
  <cp:lastModifiedBy>Mahesh Thoparapu</cp:lastModifiedBy>
  <cp:revision>2</cp:revision>
  <dcterms:created xsi:type="dcterms:W3CDTF">2022-03-09T17:11:00Z</dcterms:created>
  <dcterms:modified xsi:type="dcterms:W3CDTF">2022-03-09T17:11:00Z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2022-03-09T00:00:00Z</vt:filetime>
  </property>
</Properties>
</file>