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rFonts w:ascii="Times New Roman" w:hAnsi="Times New Roman"/>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rFonts w:ascii="Times New Roman" w:hAnsi="Times New Roman"/>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Fonts w:ascii="Times New Roman" w:hAnsi="Times New Roman"/>
          <w:sz w:val="20"/>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sz w:val="20"/>
          <w:rtl w:val="0"/>
        </w:rPr>
        <w:t xml:space="preserve">COURSE NAME:</w:t>
      </w:r>
      <w:r w:rsidDel="00000000" w:rsidR="00000000" w:rsidRPr="00000000">
        <w:rPr>
          <w:rFonts w:ascii="Arial" w:cs="Arial" w:eastAsia="Arial" w:hAnsi="Arial"/>
          <w:sz w:val="20"/>
          <w:rtl w:val="0"/>
        </w:rPr>
        <w:t xml:space="preserve"> </w:t>
      </w:r>
      <w:r w:rsidDel="00000000" w:rsidR="00000000" w:rsidRPr="00000000">
        <w:rPr>
          <w:rFonts w:ascii="Arial" w:cs="Arial" w:eastAsia="Arial" w:hAnsi="Arial"/>
          <w:b w:val="1"/>
          <w:bCs w:val="1"/>
          <w:sz w:val="20"/>
          <w:rtl w:val="0"/>
        </w:rPr>
        <w:t xml:space="preserve">Ethical Hacking</w:t>
        <w:tab/>
        <w:t xml:space="preserve">                      COURSE CODE: ITA14 </w:t>
        <w:tab/>
        <w:tab/>
        <w:tab/>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6559550" cy="58419"/>
                <wp:effectExtent b="0" l="0" r="0" t="0"/>
                <wp:docPr id="2" name=""/>
                <a:graphic>
                  <a:graphicData uri="http://schemas.microsoft.com/office/word/2010/wordprocessingShape">
                    <wps:wsp>
                      <wps:cNvSpPr/>
                      <wps:cNvPr id="3" name="Shape 3"/>
                      <wps:spPr>
                        <a:xfrm>
                          <a:off x="2072575" y="3757141"/>
                          <a:ext cx="654685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59550" cy="58419"/>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59550" cy="58419"/>
                        </a:xfrm>
                        <a:prstGeom prst="rect"/>
                        <a:ln/>
                      </pic:spPr>
                    </pic:pic>
                  </a:graphicData>
                </a:graphic>
              </wp:inline>
            </w:drawing>
          </mc:Fallback>
        </mc:AlternateContent>
      </w:r>
      <w:r w:rsidDel="00000000" w:rsidR="00000000" w:rsidRPr="00000000">
        <w:rPr>
          <w:rFonts w:ascii="Times New Roman" w:hAnsi="Times New Roman"/>
          <w:sz w:val="20"/>
          <w:rtl w:val="0"/>
        </w:rPr>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Times New Roman" w:hAnsi="Times New Roman"/>
          <w:sz w:val="20"/>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sz w:val="20"/>
          <w:rtl w:val="0"/>
        </w:rPr>
        <w:t xml:space="preserve">COURSE OUTCOME COVERED</w:t>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Times New Roman" w:hAnsi="Times New Roman"/>
          <w:sz w:val="20"/>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Times New Roman" w:hAnsi="Times New Roman"/>
          <w:b w:val="1"/>
          <w:bCs w:val="1"/>
          <w:color w:val="000000"/>
          <w:sz w:val="20"/>
          <w:rtl w:val="0"/>
        </w:rPr>
        <w:t xml:space="preserve">CO2: </w:t>
      </w:r>
      <w:r w:rsidDel="00000000" w:rsidR="00000000" w:rsidRPr="00000000">
        <w:rPr>
          <w:rFonts w:ascii="Times New Roman" w:hAnsi="Times New Roman"/>
          <w:sz w:val="20"/>
          <w:rtl w:val="0"/>
        </w:rPr>
        <w:t xml:space="preserve">Execute footprinting in social engineering such as DNS analysis, competitive intelligence gathering, and attack simulations to collect relevant information for identifying potential security risks.</w:t>
      </w:r>
      <w:r w:rsidDel="00000000" w:rsidR="00000000" w:rsidRPr="00000000">
        <w:rPr>
          <w:rFonts w:ascii="Times New Roman" w:hAnsi="Times New Roman"/>
          <w:color w:val="000000"/>
          <w:sz w:val="20"/>
          <w:rtl w:val="0"/>
        </w:rPr>
        <w:t xml:space="preserve">. (</w:t>
      </w:r>
      <w:r w:rsidDel="00000000" w:rsidR="00000000" w:rsidRPr="00000000">
        <w:rPr>
          <w:rFonts w:ascii="Times New Roman" w:hAnsi="Times New Roman"/>
          <w:sz w:val="20"/>
          <w:rtl w:val="0"/>
        </w:rPr>
        <w:t xml:space="preserve">BT4)</w:t>
      </w:r>
      <w:r w:rsidDel="00000000" w:rsidR="00000000" w:rsidRPr="00000000">
        <w:rPr>
          <w:rFonts w:ascii="Arial" w:cs="Arial" w:eastAsia="Arial" w:hAnsi="Arial"/>
          <w:b w:val="1"/>
          <w:bCs w:val="1"/>
          <w:color w:val="000000"/>
          <w:sz w:val="20"/>
          <w:rtl w:val="0"/>
        </w:rPr>
        <w:tab/>
      </w:r>
    </w:p>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color w:val="000000"/>
        </w:rPr>
      </w:pPr>
      <w:r w:rsidDel="00000000" w:rsidR="00000000" w:rsidRPr="00000000">
        <w:rPr>
          <w:rFonts w:ascii="Arial" w:cs="Arial" w:eastAsia="Arial" w:hAnsi="Arial"/>
          <w:b w:val="1"/>
          <w:bCs w:val="1"/>
          <w:color w:val="000000"/>
          <w:sz w:val="20"/>
          <w:rtl w:val="0"/>
        </w:rPr>
        <w:tab/>
        <w:tab/>
      </w:r>
      <w:r w:rsidDel="00000000" w:rsidR="00000000" w:rsidRPr="00000000">
        <w:rPr>
          <w:rFonts w:ascii="Times New Roman" w:hAnsi="Times New Roman"/>
          <w:sz w:val="20"/>
          <w:rtl w:val="0"/>
        </w:rPr>
      </w:r>
    </w:p>
    <w:p w:rsidR="00000000" w:rsidDel="00000000" w:rsidP="00000000" w:rsidRDefault="00000000" w:rsidRPr="00000000" w14:paraId="0000000B">
      <w:pPr>
        <w:rPr>
          <w:rFonts w:ascii="Arial" w:cs="Arial" w:eastAsia="Arial" w:hAnsi="Arial"/>
          <w:i w:val="1"/>
          <w:iCs w:val="1"/>
        </w:rPr>
      </w:pPr>
      <w:r w:rsidDel="00000000" w:rsidR="00000000" w:rsidRPr="00000000">
        <w:rPr>
          <w:rFonts w:ascii="Arial" w:cs="Arial" w:eastAsia="Arial" w:hAnsi="Arial"/>
          <w:i w:val="1"/>
          <w:iCs w:val="1"/>
          <w:sz w:val="20"/>
          <w:rtl w:val="0"/>
        </w:rPr>
        <w:t xml:space="preserve">Assessment Tool Weightage: 30%</w:t>
      </w:r>
    </w:p>
    <w:p w:rsidR="00000000" w:rsidDel="00000000" w:rsidP="00000000" w:rsidRDefault="00000000" w:rsidRPr="00000000" w14:paraId="0000000C">
      <w:pPr>
        <w:rPr>
          <w:b w:val="1"/>
          <w:bCs w:val="1"/>
          <w:color w:val="000000"/>
        </w:rPr>
      </w:pPr>
      <w:r w:rsidDel="00000000" w:rsidR="00000000" w:rsidRPr="00000000">
        <w:rPr>
          <w:rFonts w:ascii="Times New Roman" w:hAnsi="Times New Roman"/>
          <w:sz w:val="20"/>
          <w:rtl w:val="0"/>
        </w:rPr>
      </w:r>
    </w:p>
    <w:p w:rsidR="00000000" w:rsidDel="00000000" w:rsidP="00000000" w:rsidRDefault="00000000" w:rsidRPr="00000000" w14:paraId="0000000D">
      <w:pPr>
        <w:rPr>
          <w:b w:val="1"/>
          <w:bCs w:val="1"/>
          <w:color w:val="000000"/>
        </w:rPr>
      </w:pPr>
      <w:r w:rsidDel="00000000" w:rsidR="00000000" w:rsidRPr="00000000">
        <w:rPr>
          <w:rFonts w:ascii="Times New Roman" w:hAnsi="Times New Roman"/>
          <w:b w:val="1"/>
          <w:bCs w:val="1"/>
          <w:color w:val="000000"/>
          <w:sz w:val="20"/>
          <w:rtl w:val="0"/>
        </w:rPr>
        <w:t xml:space="preserve">Duration: 90 min                                                                                                 Total Marks: 50</w:t>
      </w:r>
    </w:p>
    <w:p w:rsidR="00000000" w:rsidDel="00000000" w:rsidP="00000000" w:rsidRDefault="00000000" w:rsidRPr="00000000" w14:paraId="0000000E">
      <w:pPr>
        <w:rPr>
          <w:rFonts w:ascii="Arial" w:cs="Arial" w:eastAsia="Arial" w:hAnsi="Arial"/>
        </w:rPr>
      </w:pPr>
      <w:r w:rsidDel="00000000" w:rsidR="00000000" w:rsidRPr="00000000">
        <w:rPr>
          <w:rFonts w:ascii="Times New Roman" w:hAnsi="Times New Roman"/>
          <w:sz w:val="22"/>
          <w:szCs w:val="22"/>
        </w:rPr>
        <mc:AlternateContent>
          <mc:Choice Requires="wpg">
            <w:drawing>
              <wp:inline distB="0" distT="0" distL="114300" distR="114300">
                <wp:extent cx="6502400" cy="58419"/>
                <wp:effectExtent b="0" l="0" r="0" t="0"/>
                <wp:docPr id="1" name=""/>
                <a:graphic>
                  <a:graphicData uri="http://schemas.microsoft.com/office/word/2010/wordprocessingShape">
                    <wps:wsp>
                      <wps:cNvSpPr/>
                      <wps:cNvPr id="2" name="Shape 2"/>
                      <wps:spPr>
                        <a:xfrm>
                          <a:off x="2101150" y="3757141"/>
                          <a:ext cx="648970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02400" cy="5841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02400" cy="58419"/>
                        </a:xfrm>
                        <a:prstGeom prst="rect"/>
                        <a:ln/>
                      </pic:spPr>
                    </pic:pic>
                  </a:graphicData>
                </a:graphic>
              </wp:inline>
            </w:drawing>
          </mc:Fallback>
        </mc:AlternateContent>
      </w:r>
      <w:r w:rsidDel="00000000" w:rsidR="00000000" w:rsidRPr="00000000">
        <w:rPr>
          <w:rFonts w:ascii="Times New Roman" w:hAnsi="Times New Roman"/>
          <w:sz w:val="20"/>
          <w:rtl w:val="0"/>
        </w:rPr>
      </w:r>
    </w:p>
    <w:p w:rsidR="00000000" w:rsidDel="00000000" w:rsidP="00000000" w:rsidRDefault="00000000" w:rsidRPr="00000000" w14:paraId="0000000F">
      <w:pPr>
        <w:ind w:left="1440" w:firstLine="720"/>
        <w:jc w:val="both"/>
        <w:rPr>
          <w:rFonts w:ascii="Arial" w:cs="Arial" w:eastAsia="Arial" w:hAnsi="Arial"/>
        </w:rPr>
      </w:pPr>
      <w:r w:rsidDel="00000000" w:rsidR="00000000" w:rsidRPr="00000000">
        <w:rPr>
          <w:rFonts w:ascii="Times New Roman" w:hAnsi="Times New Roman"/>
          <w:sz w:val="20"/>
          <w:rtl w:val="0"/>
        </w:rPr>
      </w:r>
    </w:p>
    <w:p w:rsidR="00000000" w:rsidDel="00000000" w:rsidP="00000000" w:rsidRDefault="00000000" w:rsidRPr="00000000" w14:paraId="00000010">
      <w:pPr>
        <w:jc w:val="center"/>
        <w:rPr>
          <w:b w:val="1"/>
          <w:bCs w:val="1"/>
          <w:sz w:val="32"/>
          <w:szCs w:val="32"/>
        </w:rPr>
      </w:pPr>
      <w:r w:rsidDel="00000000" w:rsidR="00000000" w:rsidRPr="00000000">
        <w:rPr>
          <w:rFonts w:ascii="Times New Roman" w:hAnsi="Times New Roman"/>
          <w:b w:val="1"/>
          <w:bCs w:val="1"/>
          <w:sz w:val="32"/>
          <w:szCs w:val="32"/>
          <w:rtl w:val="0"/>
        </w:rPr>
        <w:t xml:space="preserve">Scenario-Based Assessment</w:t>
      </w:r>
    </w:p>
    <w:p w:rsidR="00000000" w:rsidDel="00000000" w:rsidP="00000000" w:rsidRDefault="00000000" w:rsidRPr="00000000" w14:paraId="00000011">
      <w:pPr>
        <w:jc w:val="center"/>
        <w:rPr>
          <w:b w:val="1"/>
          <w:bCs w:val="1"/>
          <w:sz w:val="36"/>
          <w:szCs w:val="36"/>
        </w:rPr>
      </w:pPr>
      <w:r w:rsidDel="00000000" w:rsidR="00000000" w:rsidRPr="00000000">
        <w:rPr>
          <w:rFonts w:ascii="Times New Roman" w:hAnsi="Times New Roman"/>
          <w:sz w:val="20"/>
          <w:rtl w:val="0"/>
        </w:rPr>
      </w:r>
    </w:p>
    <w:p w:rsidR="00000000" w:rsidDel="00000000" w:rsidP="00000000" w:rsidRDefault="00000000" w:rsidRPr="00000000" w14:paraId="00000012">
      <w:pPr>
        <w:rPr>
          <w:b w:val="1"/>
          <w:bCs w:val="1"/>
        </w:rPr>
      </w:pPr>
      <w:r w:rsidDel="00000000" w:rsidR="00000000" w:rsidRPr="00000000">
        <w:rPr>
          <w:rFonts w:ascii="Times New Roman" w:hAnsi="Times New Roman"/>
          <w:b w:val="1"/>
          <w:bCs w:val="1"/>
          <w:sz w:val="20"/>
          <w:rtl w:val="0"/>
        </w:rPr>
        <w:t xml:space="preserve">Topic 1: Footprinting Tools – Conducting Competitive Intelligence</w:t>
      </w:r>
    </w:p>
    <w:p w:rsidR="00000000" w:rsidDel="00000000" w:rsidP="00000000" w:rsidRDefault="00000000" w:rsidRPr="00000000" w14:paraId="00000013">
      <w:pPr>
        <w:rPr>
          <w:b w:val="1"/>
          <w:bCs w:val="1"/>
        </w:rPr>
      </w:pPr>
      <w:r w:rsidDel="00000000" w:rsidR="00000000" w:rsidRPr="00000000">
        <w:rPr>
          <w:rFonts w:ascii="Times New Roman" w:hAnsi="Times New Roman"/>
          <w:sz w:val="20"/>
          <w:rtl w:val="0"/>
        </w:rPr>
      </w:r>
    </w:p>
    <w:p w:rsidR="00000000" w:rsidDel="00000000" w:rsidP="00000000" w:rsidRDefault="00000000" w:rsidRPr="00000000" w14:paraId="00000014">
      <w:pPr>
        <w:rPr>
          <w:b w:val="1"/>
          <w:bCs w:val="1"/>
        </w:rPr>
      </w:pPr>
      <w:r w:rsidDel="00000000" w:rsidR="00000000" w:rsidRPr="00000000">
        <w:rPr>
          <w:rFonts w:ascii="Times New Roman" w:hAnsi="Times New Roman"/>
          <w:b w:val="1"/>
          <w:bCs w:val="1"/>
          <w:sz w:val="20"/>
          <w:rtl w:val="0"/>
        </w:rPr>
        <w:t xml:space="preserve">Q1. (L3 – Apply) – 15 Marks</w:t>
      </w:r>
    </w:p>
    <w:p w:rsidR="00000000" w:rsidDel="00000000" w:rsidP="00000000" w:rsidRDefault="00000000" w:rsidRPr="00000000" w14:paraId="00000015">
      <w:pPr>
        <w:rPr/>
      </w:pPr>
      <w:r w:rsidDel="00000000" w:rsidR="00000000" w:rsidRPr="00000000">
        <w:rPr>
          <w:rFonts w:ascii="Times New Roman" w:hAnsi="Times New Roman"/>
          <w:sz w:val="20"/>
          <w:rtl w:val="0"/>
        </w:rPr>
      </w:r>
    </w:p>
    <w:p w:rsidR="00000000" w:rsidDel="00000000" w:rsidP="00000000" w:rsidRDefault="00000000" w:rsidRPr="00000000" w14:paraId="00000016">
      <w:pPr>
        <w:rPr/>
      </w:pPr>
      <w:r w:rsidDel="00000000" w:rsidR="00000000" w:rsidRPr="00000000">
        <w:rPr>
          <w:rFonts w:ascii="Times New Roman" w:hAnsi="Times New Roman"/>
          <w:sz w:val="20"/>
          <w:rtl w:val="0"/>
        </w:rPr>
        <w:t xml:space="preserve">A cybersecurity consultant has been assigned to perform a passive security assessment for a company named ABC Technologies. The consultant must collect publicly available information without directly interacting with the company’s servers.</w:t>
      </w:r>
    </w:p>
    <w:p w:rsidR="00000000" w:rsidDel="00000000" w:rsidP="00000000" w:rsidRDefault="00000000" w:rsidRPr="00000000" w14:paraId="00000017">
      <w:pPr>
        <w:rPr/>
      </w:pPr>
      <w:r w:rsidDel="00000000" w:rsidR="00000000" w:rsidRPr="00000000">
        <w:rPr>
          <w:rFonts w:ascii="Times New Roman" w:hAnsi="Times New Roman"/>
          <w:sz w:val="20"/>
          <w:rtl w:val="0"/>
        </w:rPr>
      </w:r>
    </w:p>
    <w:p w:rsidR="00000000" w:rsidDel="00000000" w:rsidP="00000000" w:rsidRDefault="00000000" w:rsidRPr="00000000" w14:paraId="00000018">
      <w:pPr>
        <w:rPr/>
      </w:pPr>
      <w:r w:rsidDel="00000000" w:rsidR="00000000" w:rsidRPr="00000000">
        <w:rPr>
          <w:rFonts w:ascii="Times New Roman" w:hAnsi="Times New Roman"/>
          <w:b w:val="1"/>
          <w:bCs w:val="1"/>
          <w:sz w:val="20"/>
          <w:rtl w:val="0"/>
        </w:rPr>
        <w:t xml:space="preserve">Task:</w:t>
      </w:r>
      <w:r w:rsidDel="00000000" w:rsidR="00000000" w:rsidRPr="00000000">
        <w:rPr>
          <w:rFonts w:ascii="Times New Roman" w:hAnsi="Times New Roman"/>
          <w:sz w:val="20"/>
          <w:rtl w:val="0"/>
        </w:rPr>
        <w:t xml:space="preserve"> Apply suitable footprinting tools to identify the company’s:</w:t>
      </w:r>
    </w:p>
    <w:p w:rsidR="00000000" w:rsidDel="00000000" w:rsidP="00000000" w:rsidRDefault="00000000" w:rsidRPr="00000000" w14:paraId="00000019">
      <w:pPr>
        <w:rPr/>
      </w:pPr>
      <w:r w:rsidDel="00000000" w:rsidR="00000000" w:rsidRPr="00000000">
        <w:rPr>
          <w:rFonts w:ascii="Times New Roman" w:hAnsi="Times New Roman"/>
          <w:sz w:val="20"/>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registration details,</w:t>
      </w:r>
    </w:p>
    <w:p w:rsidR="00000000" w:rsidDel="00000000" w:rsidP="00000000" w:rsidRDefault="00000000" w:rsidRPr="00000000" w14:paraId="0000001B">
      <w:pPr>
        <w:rPr/>
      </w:pPr>
      <w:r w:rsidDel="00000000" w:rsidR="00000000" w:rsidRPr="00000000">
        <w:rPr>
          <w:rFonts w:ascii="Times New Roman" w:hAnsi="Times New Roman"/>
          <w:sz w:val="20"/>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email addresses,</w:t>
      </w:r>
    </w:p>
    <w:p w:rsidR="00000000" w:rsidDel="00000000" w:rsidP="00000000" w:rsidRDefault="00000000" w:rsidRPr="00000000" w14:paraId="0000001D">
      <w:pPr>
        <w:rPr/>
      </w:pPr>
      <w:r w:rsidDel="00000000" w:rsidR="00000000" w:rsidRPr="00000000">
        <w:rPr>
          <w:rFonts w:ascii="Times New Roman" w:hAnsi="Times New Roman"/>
          <w:sz w:val="20"/>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stack,</w:t>
      </w:r>
    </w:p>
    <w:p w:rsidR="00000000" w:rsidDel="00000000" w:rsidP="00000000" w:rsidRDefault="00000000" w:rsidRPr="00000000" w14:paraId="0000001F">
      <w:pPr>
        <w:rPr/>
      </w:pPr>
      <w:r w:rsidDel="00000000" w:rsidR="00000000" w:rsidRPr="00000000">
        <w:rPr>
          <w:rFonts w:ascii="Times New Roman" w:hAnsi="Times New Roman"/>
          <w:sz w:val="20"/>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publicly exposed subdomains.</w:t>
      </w:r>
    </w:p>
    <w:p w:rsidR="00000000" w:rsidDel="00000000" w:rsidP="00000000" w:rsidRDefault="00000000" w:rsidRPr="00000000" w14:paraId="00000021">
      <w:pPr>
        <w:rPr/>
      </w:pPr>
      <w:r w:rsidDel="00000000" w:rsidR="00000000" w:rsidRPr="00000000">
        <w:rPr>
          <w:rFonts w:ascii="Times New Roman" w:hAnsi="Times New Roman"/>
          <w:sz w:val="20"/>
          <w:rtl w:val="0"/>
        </w:rPr>
      </w:r>
    </w:p>
    <w:p w:rsidR="00000000" w:rsidDel="00000000" w:rsidP="00000000" w:rsidRDefault="00000000" w:rsidRPr="00000000" w14:paraId="00000022">
      <w:pPr>
        <w:rPr/>
      </w:pPr>
      <w:r w:rsidDel="00000000" w:rsidR="00000000" w:rsidRPr="00000000">
        <w:rPr>
          <w:rFonts w:ascii="Times New Roman" w:hAnsi="Times New Roman"/>
          <w:sz w:val="20"/>
          <w:rtl w:val="0"/>
        </w:rPr>
        <w:t xml:space="preserve">Explain how each selected tool helps in conducting competitive intelligence.</w:t>
      </w:r>
    </w:p>
    <w:p>
      <w:pPr>
        <w:pStyle w:val="Heading2"/>
      </w:pPr>
      <w:r>
        <w:rPr>
          <w:rFonts w:ascii="Times New Roman" w:hAnsi="Times New Roman"/>
          <w:sz w:val="20"/>
        </w:rPr>
        <w:t>Answer to Q1: Passive Footprinting and Competitive Intelligence</w:t>
      </w:r>
    </w:p>
    <w:p>
      <w:r>
        <w:rPr>
          <w:rFonts w:ascii="Times New Roman" w:hAnsi="Times New Roman"/>
          <w:sz w:val="20"/>
        </w:rPr>
        <w:t>Because the assessment is passive, the consultant should use information already published by third-party services and public sources. The consultant should not scan, probe, or send requests directly to ABC Technologies’ servers. First, confirm the exact official domain and document the source and date of every finding.</w:t>
      </w:r>
    </w:p>
    <w:p>
      <w:pPr>
        <w:pStyle w:val="Heading3"/>
      </w:pPr>
      <w:r>
        <w:rPr>
          <w:rFonts w:ascii="Times New Roman" w:hAnsi="Times New Roman"/>
          <w:sz w:val="20"/>
        </w:rPr>
        <w:t>1. Domain registration details — WHOIS / ICANN Lookup</w:t>
      </w:r>
    </w:p>
    <w:p>
      <w:r>
        <w:rPr>
          <w:rFonts w:ascii="Times New Roman" w:hAnsi="Times New Roman"/>
          <w:sz w:val="20"/>
        </w:rPr>
        <w:t>Use a WHOIS lookup service or ICANN Lookup to examine the domain’s registrar, registration and expiry dates, nameservers, domain status, and any registrant information that is publicly disclosed. Privacy protection may hide the registrant’s name or contact details. These details help establish domain ownership clues, identify domain-management providers, and understand the organization’s online presence.</w:t>
      </w:r>
    </w:p>
    <w:p>
      <w:pPr>
        <w:pStyle w:val="Heading3"/>
      </w:pPr>
      <w:r>
        <w:rPr>
          <w:rFonts w:ascii="Times New Roman" w:hAnsi="Times New Roman"/>
          <w:sz w:val="20"/>
        </w:rPr>
        <w:t>2. Employee email addresses — Hunter.io and public search engines</w:t>
      </w:r>
    </w:p>
    <w:p>
      <w:r>
        <w:rPr>
          <w:rFonts w:ascii="Times New Roman" w:hAnsi="Times New Roman"/>
          <w:sz w:val="20"/>
        </w:rPr>
        <w:t>Use Hunter.io’s domain search and carefully targeted search-engine queries to find email addresses that have already been published on company pages, press releases, conference biographies, job postings, or other public documents. Record only addresses relevant to the authorized assessment and verify the source. Do not guess addresses and present them as confirmed. This can reveal publicly exposed contact patterns and help assess phishing exposure; it must not be used to send unsolicited messages.</w:t>
      </w:r>
    </w:p>
    <w:p>
      <w:pPr>
        <w:pStyle w:val="Heading3"/>
      </w:pPr>
      <w:r>
        <w:rPr>
          <w:rFonts w:ascii="Times New Roman" w:hAnsi="Times New Roman"/>
          <w:sz w:val="20"/>
        </w:rPr>
        <w:t>3. Technology stack — Wappalyzer and BuiltWith</w:t>
      </w:r>
    </w:p>
    <w:p>
      <w:r>
        <w:rPr>
          <w:rFonts w:ascii="Times New Roman" w:hAnsi="Times New Roman"/>
          <w:sz w:val="20"/>
        </w:rPr>
        <w:t>Use Wappalyzer or BuiltWith to review publicly observable website technologies, such as content-management systems, analytics tools, JavaScript frameworks, web servers where detectable, and third-party services. Results are estimates and may be incomplete or outdated. The information supports competitive intelligence by showing broad technology choices and may identify software that needs patching or review.</w:t>
      </w:r>
    </w:p>
    <w:p>
      <w:pPr>
        <w:pStyle w:val="Heading3"/>
      </w:pPr>
      <w:r>
        <w:rPr>
          <w:rFonts w:ascii="Times New Roman" w:hAnsi="Times New Roman"/>
          <w:sz w:val="20"/>
        </w:rPr>
        <w:t>4. Publicly exposed subdomains — Certificate Transparency logs and passive DNS</w:t>
      </w:r>
    </w:p>
    <w:p>
      <w:r>
        <w:rPr>
          <w:rFonts w:ascii="Times New Roman" w:hAnsi="Times New Roman"/>
          <w:sz w:val="20"/>
        </w:rPr>
        <w:t>Review Certificate Transparency logs through services such as crt.sh and use reputable passive-DNS or internet-indexing services to identify hostnames associated with the organization’s domain. Validate that each result belongs to the correct organization and distinguish historical records from currently active names. Avoid active brute-force enumeration because the scenario requires passive collection.</w:t>
      </w:r>
    </w:p>
    <w:p>
      <w:pPr>
        <w:pStyle w:val="Heading3"/>
      </w:pPr>
      <w:r>
        <w:rPr>
          <w:rFonts w:ascii="Times New Roman" w:hAnsi="Times New Roman"/>
          <w:sz w:val="20"/>
        </w:rPr>
        <w:t>5. Documentation and responsible use</w:t>
      </w:r>
    </w:p>
    <w:p>
      <w:r>
        <w:rPr>
          <w:rFonts w:ascii="Times New Roman" w:hAnsi="Times New Roman"/>
          <w:sz w:val="20"/>
        </w:rPr>
        <w:t>Maintain a table containing the finding, source/tool, collection date, confidence, and security relevance. Correlate results across independent sources, avoid collecting unnecessary personal information, and report exposed information responsibly. These tools support competitive intelligence by building a public-source picture of the organization without directly interacting with its servers.</w:t>
      </w:r>
    </w:p>
    <w:p w:rsidR="00000000" w:rsidDel="00000000" w:rsidP="00000000" w:rsidRDefault="00000000" w:rsidRPr="00000000" w14:paraId="00000023">
      <w:pPr>
        <w:rPr/>
      </w:pPr>
      <w:r w:rsidDel="00000000" w:rsidR="00000000" w:rsidRPr="00000000">
        <w:rPr>
          <w:rFonts w:ascii="Times New Roman" w:hAnsi="Times New Roman"/>
          <w:sz w:val="20"/>
          <w:rtl w:val="0"/>
        </w:rPr>
      </w:r>
    </w:p>
    <w:p w:rsidR="00000000" w:rsidDel="00000000" w:rsidP="00000000" w:rsidRDefault="00000000" w:rsidRPr="00000000" w14:paraId="00000024">
      <w:pPr>
        <w:rPr>
          <w:b w:val="1"/>
          <w:bCs w:val="1"/>
        </w:rPr>
      </w:pPr>
      <w:r w:rsidDel="00000000" w:rsidR="00000000" w:rsidRPr="00000000">
        <w:rPr>
          <w:rFonts w:ascii="Times New Roman" w:hAnsi="Times New Roman"/>
          <w:b w:val="1"/>
          <w:bCs w:val="1"/>
          <w:sz w:val="20"/>
          <w:rtl w:val="0"/>
        </w:rPr>
        <w:t xml:space="preserve">Topic 2: DNS Zone Transfers</w:t>
      </w:r>
    </w:p>
    <w:p w:rsidR="00000000" w:rsidDel="00000000" w:rsidP="00000000" w:rsidRDefault="00000000" w:rsidRPr="00000000" w14:paraId="00000025">
      <w:pPr>
        <w:rPr>
          <w:b w:val="1"/>
          <w:bCs w:val="1"/>
        </w:rPr>
      </w:pPr>
      <w:r w:rsidDel="00000000" w:rsidR="00000000" w:rsidRPr="00000000">
        <w:rPr>
          <w:rFonts w:ascii="Times New Roman" w:hAnsi="Times New Roman"/>
          <w:sz w:val="20"/>
          <w:rtl w:val="0"/>
        </w:rPr>
      </w:r>
    </w:p>
    <w:p w:rsidR="00000000" w:rsidDel="00000000" w:rsidP="00000000" w:rsidRDefault="00000000" w:rsidRPr="00000000" w14:paraId="00000026">
      <w:pPr>
        <w:rPr>
          <w:b w:val="1"/>
          <w:bCs w:val="1"/>
        </w:rPr>
      </w:pPr>
      <w:r w:rsidDel="00000000" w:rsidR="00000000" w:rsidRPr="00000000">
        <w:rPr>
          <w:rFonts w:ascii="Times New Roman" w:hAnsi="Times New Roman"/>
          <w:b w:val="1"/>
          <w:bCs w:val="1"/>
          <w:sz w:val="20"/>
          <w:rtl w:val="0"/>
        </w:rPr>
        <w:t xml:space="preserve">Q2. (L3 – Apply) – 15 Marks</w:t>
      </w:r>
    </w:p>
    <w:p w:rsidR="00000000" w:rsidDel="00000000" w:rsidP="00000000" w:rsidRDefault="00000000" w:rsidRPr="00000000" w14:paraId="00000027">
      <w:pPr>
        <w:rPr/>
      </w:pPr>
      <w:r w:rsidDel="00000000" w:rsidR="00000000" w:rsidRPr="00000000">
        <w:rPr>
          <w:rFonts w:ascii="Times New Roman" w:hAnsi="Times New Roman"/>
          <w:sz w:val="20"/>
          <w:rtl w:val="0"/>
        </w:rPr>
      </w:r>
    </w:p>
    <w:p w:rsidR="00000000" w:rsidDel="00000000" w:rsidP="00000000" w:rsidRDefault="00000000" w:rsidRPr="00000000" w14:paraId="00000028">
      <w:pPr>
        <w:rPr/>
      </w:pPr>
      <w:r w:rsidDel="00000000" w:rsidR="00000000" w:rsidRPr="00000000">
        <w:rPr>
          <w:rFonts w:ascii="Times New Roman" w:hAnsi="Times New Roman"/>
          <w:sz w:val="20"/>
          <w:rtl w:val="0"/>
        </w:rPr>
        <w:t xml:space="preserve">During an authorized penetration test, a security analyst suspects that the target organization’s DNS server is misconfigured and may allow unauthorized DNS zone transfers.</w:t>
      </w:r>
    </w:p>
    <w:p w:rsidR="00000000" w:rsidDel="00000000" w:rsidP="00000000" w:rsidRDefault="00000000" w:rsidRPr="00000000" w14:paraId="00000029">
      <w:pPr>
        <w:rPr>
          <w:b w:val="1"/>
          <w:bCs w:val="1"/>
        </w:rPr>
      </w:pPr>
      <w:r w:rsidDel="00000000" w:rsidR="00000000" w:rsidRPr="00000000">
        <w:rPr>
          <w:rFonts w:ascii="Times New Roman" w:hAnsi="Times New Roman"/>
          <w:sz w:val="20"/>
          <w:rtl w:val="0"/>
        </w:rPr>
      </w:r>
    </w:p>
    <w:p w:rsidR="00000000" w:rsidDel="00000000" w:rsidP="00000000" w:rsidRDefault="00000000" w:rsidRPr="00000000" w14:paraId="0000002A">
      <w:pPr>
        <w:rPr/>
      </w:pPr>
      <w:r w:rsidDel="00000000" w:rsidR="00000000" w:rsidRPr="00000000">
        <w:rPr>
          <w:rFonts w:ascii="Times New Roman" w:hAnsi="Times New Roman"/>
          <w:b w:val="1"/>
          <w:bCs w:val="1"/>
          <w:sz w:val="20"/>
          <w:rtl w:val="0"/>
        </w:rPr>
        <w:t xml:space="preserve">Task:</w:t>
      </w:r>
      <w:r w:rsidDel="00000000" w:rsidR="00000000" w:rsidRPr="00000000">
        <w:rPr>
          <w:rFonts w:ascii="Times New Roman" w:hAnsi="Times New Roman"/>
          <w:sz w:val="20"/>
          <w:rtl w:val="0"/>
        </w:rPr>
        <w:t xml:space="preserve"> Apply the appropriate DNS command or tool to verify whether zone transfers are permitted. If the transfer succeeds, explain how the retrieved DNS records can be used to identify internal hosts, mail servers, and subdomains during reconnaissance.</w:t>
      </w:r>
    </w:p>
    <w:p>
      <w:pPr>
        <w:pStyle w:val="Heading2"/>
      </w:pPr>
      <w:r>
        <w:rPr>
          <w:rFonts w:ascii="Times New Roman" w:hAnsi="Times New Roman"/>
          <w:sz w:val="20"/>
        </w:rPr>
        <w:t>Answer to Q2: Verifying DNS Zone Transfers</w:t>
      </w:r>
    </w:p>
    <w:p>
      <w:r>
        <w:rPr>
          <w:rFonts w:ascii="Times New Roman" w:hAnsi="Times New Roman"/>
          <w:sz w:val="20"/>
        </w:rPr>
        <w:t>A DNS zone transfer (AXFR) copies DNS records from an authoritative primary server to another DNS server. It should normally be restricted to authorized secondary DNS servers. Perform the following test only with explicit authorization and against the organization’s designated DNS server.</w:t>
      </w:r>
    </w:p>
    <w:p>
      <w:pPr>
        <w:pStyle w:val="Heading3"/>
      </w:pPr>
      <w:r>
        <w:rPr>
          <w:rFonts w:ascii="Times New Roman" w:hAnsi="Times New Roman"/>
          <w:sz w:val="20"/>
        </w:rPr>
        <w:t>Step 1 — Identify the authoritative name server</w:t>
      </w:r>
    </w:p>
    <w:p>
      <w:r>
        <w:rPr>
          <w:rFonts w:ascii="Times New Roman" w:hAnsi="Times New Roman"/>
          <w:sz w:val="20"/>
        </w:rPr>
        <w:t>Use a DNS lookup to identify the domain’s authoritative nameservers. For example:  nslookup -type=NS example.com</w:t>
      </w:r>
    </w:p>
    <w:p>
      <w:pPr>
        <w:pStyle w:val="Heading3"/>
      </w:pPr>
      <w:r>
        <w:rPr>
          <w:rFonts w:ascii="Times New Roman" w:hAnsi="Times New Roman"/>
          <w:sz w:val="20"/>
        </w:rPr>
        <w:t>Step 2 — Request an AXFR transfer</w:t>
      </w:r>
    </w:p>
    <w:p>
      <w:r>
        <w:rPr>
          <w:rFonts w:ascii="Times New Roman" w:hAnsi="Times New Roman"/>
          <w:sz w:val="20"/>
        </w:rPr>
        <w:t>On a system with the dig utility installed, run:  dig @ns1.example.com example.com AXFR. Replace ns1.example.com and example.com with the authorized nameserver and test domain. If multiple authoritative servers are in scope, test only those explicitly approved.</w:t>
      </w:r>
    </w:p>
    <w:p>
      <w:pPr>
        <w:pStyle w:val="Heading3"/>
      </w:pPr>
      <w:r>
        <w:rPr>
          <w:rFonts w:ascii="Times New Roman" w:hAnsi="Times New Roman"/>
          <w:sz w:val="20"/>
        </w:rPr>
        <w:t>Step 3 — Interpret the result</w:t>
      </w:r>
    </w:p>
    <w:p>
      <w:r>
        <w:rPr>
          <w:rFonts w:ascii="Times New Roman" w:hAnsi="Times New Roman"/>
          <w:sz w:val="20"/>
        </w:rPr>
        <w:t>If the server returns a complete set of records, the transfer was permitted and may indicate a configuration weakness. If it returns REFUSED, times out, or fails to transfer, the transfer was not successful in that test; a timeout alone does not prove the configuration is secure. Record the command, time, server, response, and scope. Do not attempt to bypass access controls.</w:t>
      </w:r>
    </w:p>
    <w:p>
      <w:pPr>
        <w:pStyle w:val="Heading3"/>
      </w:pPr>
      <w:r>
        <w:rPr>
          <w:rFonts w:ascii="Times New Roman" w:hAnsi="Times New Roman"/>
          <w:sz w:val="20"/>
        </w:rPr>
        <w:t>Step 4 — Assess records exposed by a successful transfer</w:t>
      </w:r>
    </w:p>
    <w:p>
      <w:r>
        <w:rPr>
          <w:rFonts w:ascii="Times New Roman" w:hAnsi="Times New Roman"/>
          <w:sz w:val="20"/>
        </w:rPr>
        <w:t>A successful AXFR may reveal A/AAAA records (hostnames and IP addresses), MX records (mail servers), NS records (authoritative DNS servers), CNAME records (aliases), and TXT records (which may include service-verification or email-security information). These records can help map subdomains, identify mail infrastructure, and reveal host naming conventions. Internal hostnames or private addresses may also be disclosed if they were mistakenly included in a public zone, but their presence must not be assumed.</w:t>
      </w:r>
    </w:p>
    <w:p>
      <w:pPr>
        <w:pStyle w:val="Heading3"/>
      </w:pPr>
      <w:r>
        <w:rPr>
          <w:rFonts w:ascii="Times New Roman" w:hAnsi="Times New Roman"/>
          <w:sz w:val="20"/>
        </w:rPr>
        <w:t>Step 5 — Remediation</w:t>
      </w:r>
    </w:p>
    <w:p>
      <w:r>
        <w:rPr>
          <w:rFonts w:ascii="Times New Roman" w:hAnsi="Times New Roman"/>
          <w:sz w:val="20"/>
        </w:rPr>
        <w:t>Restrict AXFR to explicitly authorized secondary servers using access-control lists or equivalent DNS-server settings, use authenticated transfer mechanisms such as TSIG where supported, separate internal and public DNS zones, remove unnecessary records, and monitor DNS logs for unexpected transfer attempts. Re-test after changes and document evidence for the system owner.</w:t>
      </w:r>
    </w:p>
    <w:p w:rsidR="00000000" w:rsidDel="00000000" w:rsidP="00000000" w:rsidRDefault="00000000" w:rsidRPr="00000000" w14:paraId="0000002B">
      <w:pPr>
        <w:rPr>
          <w:b w:val="1"/>
          <w:bCs w:val="1"/>
        </w:rPr>
      </w:pPr>
      <w:r w:rsidDel="00000000" w:rsidR="00000000" w:rsidRPr="00000000">
        <w:rPr>
          <w:rFonts w:ascii="Times New Roman" w:hAnsi="Times New Roman"/>
          <w:sz w:val="20"/>
        </w:rPr>
        <w:br w:type="page"/>
      </w:r>
      <w:r w:rsidDel="00000000" w:rsidR="00000000" w:rsidRPr="00000000">
        <w:rPr>
          <w:rFonts w:ascii="Times New Roman" w:hAnsi="Times New Roman"/>
          <w:sz w:val="20"/>
          <w:rtl w:val="0"/>
        </w:rPr>
      </w:r>
    </w:p>
    <w:p w:rsidR="00000000" w:rsidDel="00000000" w:rsidP="00000000" w:rsidRDefault="00000000" w:rsidRPr="00000000" w14:paraId="0000002C">
      <w:pPr>
        <w:rPr>
          <w:b w:val="1"/>
          <w:bCs w:val="1"/>
        </w:rPr>
      </w:pPr>
      <w:r w:rsidDel="00000000" w:rsidR="00000000" w:rsidRPr="00000000">
        <w:rPr>
          <w:rFonts w:ascii="Times New Roman" w:hAnsi="Times New Roman"/>
          <w:sz w:val="20"/>
          <w:rtl w:val="0"/>
        </w:rPr>
      </w:r>
    </w:p>
    <w:p w:rsidR="00000000" w:rsidDel="00000000" w:rsidP="00000000" w:rsidRDefault="00000000" w:rsidRPr="00000000" w14:paraId="0000002D">
      <w:pPr>
        <w:rPr>
          <w:b w:val="1"/>
          <w:bCs w:val="1"/>
        </w:rPr>
      </w:pPr>
      <w:r w:rsidDel="00000000" w:rsidR="00000000" w:rsidRPr="00000000">
        <w:rPr>
          <w:rFonts w:ascii="Times New Roman" w:hAnsi="Times New Roman"/>
          <w:sz w:val="20"/>
          <w:rtl w:val="0"/>
        </w:rPr>
      </w:r>
    </w:p>
    <w:p w:rsidR="00000000" w:rsidDel="00000000" w:rsidP="00000000" w:rsidRDefault="00000000" w:rsidRPr="00000000" w14:paraId="0000002E">
      <w:pPr>
        <w:rPr>
          <w:b w:val="1"/>
          <w:bCs w:val="1"/>
        </w:rPr>
      </w:pPr>
      <w:r w:rsidDel="00000000" w:rsidR="00000000" w:rsidRPr="00000000">
        <w:rPr>
          <w:rFonts w:ascii="Times New Roman" w:hAnsi="Times New Roman"/>
          <w:b w:val="1"/>
          <w:bCs w:val="1"/>
          <w:sz w:val="20"/>
          <w:rtl w:val="0"/>
        </w:rPr>
        <w:t xml:space="preserve">Topic 3: Introduction to Social Engineering – Social Engineering Attacks and Countermeasures</w:t>
      </w:r>
    </w:p>
    <w:p w:rsidR="00000000" w:rsidDel="00000000" w:rsidP="00000000" w:rsidRDefault="00000000" w:rsidRPr="00000000" w14:paraId="0000002F">
      <w:pPr>
        <w:rPr>
          <w:b w:val="1"/>
          <w:bCs w:val="1"/>
        </w:rPr>
      </w:pPr>
      <w:r w:rsidDel="00000000" w:rsidR="00000000" w:rsidRPr="00000000">
        <w:rPr>
          <w:rFonts w:ascii="Times New Roman" w:hAnsi="Times New Roman"/>
          <w:sz w:val="20"/>
          <w:rtl w:val="0"/>
        </w:rPr>
      </w:r>
    </w:p>
    <w:p w:rsidR="00000000" w:rsidDel="00000000" w:rsidP="00000000" w:rsidRDefault="00000000" w:rsidRPr="00000000" w14:paraId="00000030">
      <w:pPr>
        <w:rPr>
          <w:b w:val="1"/>
          <w:bCs w:val="1"/>
        </w:rPr>
      </w:pPr>
      <w:r w:rsidDel="00000000" w:rsidR="00000000" w:rsidRPr="00000000">
        <w:rPr>
          <w:rFonts w:ascii="Times New Roman" w:hAnsi="Times New Roman"/>
          <w:b w:val="1"/>
          <w:bCs w:val="1"/>
          <w:sz w:val="20"/>
          <w:rtl w:val="0"/>
        </w:rPr>
        <w:t xml:space="preserve">Q3. (L3 – Apply) – 20 Marks</w:t>
      </w:r>
    </w:p>
    <w:p w:rsidR="00000000" w:rsidDel="00000000" w:rsidP="00000000" w:rsidRDefault="00000000" w:rsidRPr="00000000" w14:paraId="00000031">
      <w:pPr>
        <w:rPr/>
      </w:pPr>
      <w:r w:rsidDel="00000000" w:rsidR="00000000" w:rsidRPr="00000000">
        <w:rPr>
          <w:rFonts w:ascii="Times New Roman" w:hAnsi="Times New Roman"/>
          <w:sz w:val="20"/>
          <w:rtl w:val="0"/>
        </w:rPr>
      </w:r>
    </w:p>
    <w:p w:rsidR="00000000" w:rsidDel="00000000" w:rsidP="00000000" w:rsidRDefault="00000000" w:rsidRPr="00000000" w14:paraId="00000032">
      <w:pPr>
        <w:rPr/>
      </w:pPr>
      <w:r w:rsidDel="00000000" w:rsidR="00000000" w:rsidRPr="00000000">
        <w:rPr>
          <w:rFonts w:ascii="Times New Roman" w:hAnsi="Times New Roman"/>
          <w:sz w:val="20"/>
          <w:rtl w:val="0"/>
        </w:rPr>
        <w:t xml:space="preserve">Employees of an organization receive an email claiming to be from the IT department, asking them to verify their login credentials through a provided link because of an urgent security update.</w:t>
      </w:r>
    </w:p>
    <w:p w:rsidR="00000000" w:rsidDel="00000000" w:rsidP="00000000" w:rsidRDefault="00000000" w:rsidRPr="00000000" w14:paraId="00000033">
      <w:pPr>
        <w:rPr/>
      </w:pPr>
      <w:r w:rsidDel="00000000" w:rsidR="00000000" w:rsidRPr="00000000">
        <w:rPr>
          <w:rFonts w:ascii="Times New Roman" w:hAnsi="Times New Roman"/>
          <w:sz w:val="20"/>
          <w:rtl w:val="0"/>
        </w:rPr>
      </w:r>
    </w:p>
    <w:p w:rsidR="00000000" w:rsidDel="00000000" w:rsidP="00000000" w:rsidRDefault="00000000" w:rsidRPr="00000000" w14:paraId="00000034">
      <w:pPr>
        <w:rPr>
          <w:b w:val="1"/>
          <w:bCs w:val="1"/>
        </w:rPr>
      </w:pPr>
      <w:r w:rsidDel="00000000" w:rsidR="00000000" w:rsidRPr="00000000">
        <w:rPr>
          <w:rFonts w:ascii="Times New Roman" w:hAnsi="Times New Roman"/>
          <w:sz w:val="20"/>
          <w:rtl w:val="0"/>
        </w:rPr>
        <w:t xml:space="preserve">Task: Identify the type of social engineering attack and apply suitable countermeasures that employees should follow before responding to the email. Explain how these actions help prevent credential theft.</w:t>
      </w:r>
      <w:r w:rsidDel="00000000" w:rsidR="00000000" w:rsidRPr="00000000">
        <w:rPr>
          <w:rFonts w:ascii="Times New Roman" w:hAnsi="Times New Roman"/>
          <w:sz w:val="20"/>
          <w:rtl w:val="0"/>
        </w:rPr>
      </w:r>
    </w:p>
    <w:p>
      <w:pPr>
        <w:pStyle w:val="Heading2"/>
      </w:pPr>
      <w:r>
        <w:rPr>
          <w:rFonts w:ascii="Times New Roman" w:hAnsi="Times New Roman"/>
          <w:sz w:val="20"/>
        </w:rPr>
        <w:t>Answer to Q3: Phishing and Countermeasures</w:t>
      </w:r>
    </w:p>
    <w:p>
      <w:r>
        <w:rPr>
          <w:rFonts w:ascii="Times New Roman" w:hAnsi="Times New Roman"/>
          <w:sz w:val="20"/>
        </w:rPr>
        <w:t>The email is a phishing attempt, specifically credential-harvesting phishing. The attacker impersonates the IT department, creates urgency around a security update, and directs employees to a link intended to capture usernames and passwords. The message uses authority and urgency to pressure the recipient into acting without checking.</w:t>
      </w:r>
    </w:p>
    <w:p>
      <w:pPr>
        <w:pStyle w:val="Heading3"/>
      </w:pPr>
      <w:r>
        <w:rPr>
          <w:rFonts w:ascii="Times New Roman" w:hAnsi="Times New Roman"/>
          <w:sz w:val="20"/>
        </w:rPr>
        <w:t>Countermeasures employees should follow</w:t>
      </w:r>
    </w:p>
    <w:p>
      <w:r>
        <w:rPr>
          <w:rFonts w:ascii="Times New Roman" w:hAnsi="Times New Roman"/>
          <w:sz w:val="20"/>
        </w:rPr>
        <w:t>1. Do not click the link, open unexpected attachments, reply with credentials, or enter passwords on the linked page.</w:t>
      </w:r>
    </w:p>
    <w:p>
      <w:r>
        <w:rPr>
          <w:rFonts w:ascii="Times New Roman" w:hAnsi="Times New Roman"/>
          <w:sz w:val="20"/>
        </w:rPr>
        <w:t>2. Verify the request independently. Contact the IT department using a known phone number, official help-desk portal, or previously verified email address—not contact details supplied in the suspicious message.</w:t>
      </w:r>
    </w:p>
    <w:p>
      <w:r>
        <w:rPr>
          <w:rFonts w:ascii="Times New Roman" w:hAnsi="Times New Roman"/>
          <w:sz w:val="20"/>
        </w:rPr>
        <w:t>3. Inspect the sender address and link destination carefully. Look for misspellings, look-alike domains, unexpected external senders, unusual wording, and requests for passwords or one-time codes. A familiar display name or professional-looking logo does not prove authenticity.</w:t>
      </w:r>
    </w:p>
    <w:p>
      <w:r>
        <w:rPr>
          <w:rFonts w:ascii="Times New Roman" w:hAnsi="Times New Roman"/>
          <w:sz w:val="20"/>
        </w:rPr>
        <w:t>4. Report the message using the organization’s phishing-reporting process or forward it to the security team as instructed. Do not forward it casually to colleagues.</w:t>
      </w:r>
    </w:p>
    <w:p>
      <w:r>
        <w:rPr>
          <w:rFonts w:ascii="Times New Roman" w:hAnsi="Times New Roman"/>
          <w:sz w:val="20"/>
        </w:rPr>
        <w:t>5. Use multi-factor authentication (MFA), preferably phishing-resistant methods where available, and a password manager. These controls reduce the chance that a stolen password alone will provide account access, although MFA can still be bypassed by some attacks.</w:t>
      </w:r>
    </w:p>
    <w:p>
      <w:r>
        <w:rPr>
          <w:rFonts w:ascii="Times New Roman" w:hAnsi="Times New Roman"/>
          <w:sz w:val="20"/>
        </w:rPr>
        <w:t>6. If credentials were already entered, immediately contact IT/security, change the affected password through the official site, revoke suspicious sessions or tokens if instructed, and review account activity. Change the same password anywhere else it was reused and follow the organization’s incident-response process.</w:t>
      </w:r>
    </w:p>
    <w:p>
      <w:pPr>
        <w:pStyle w:val="Heading3"/>
      </w:pPr>
      <w:r>
        <w:rPr>
          <w:rFonts w:ascii="Times New Roman" w:hAnsi="Times New Roman"/>
          <w:sz w:val="20"/>
        </w:rPr>
        <w:t>How these actions prevent credential theft</w:t>
      </w:r>
    </w:p>
    <w:p>
      <w:r>
        <w:rPr>
          <w:rFonts w:ascii="Times New Roman" w:hAnsi="Times New Roman"/>
          <w:sz w:val="20"/>
        </w:rPr>
        <w:t>Independent verification interrupts the attacker’s impersonation tactic. Avoiding the link prevents credentials from being submitted to a fraudulent site. Reporting enables the security team to block the sender or domain and warn other employees. MFA, unique passwords, and rapid incident response reduce the likelihood and impact of account compromise. Regular awareness training and email filtering provide additional layers of defense.</w:t>
      </w:r>
    </w:p>
    <w:p w:rsidR="00000000" w:rsidDel="00000000" w:rsidP="00000000" w:rsidRDefault="00000000" w:rsidRPr="00000000" w14:paraId="00000035">
      <w:pPr>
        <w:rPr/>
      </w:pPr>
      <w:r w:rsidDel="00000000" w:rsidR="00000000" w:rsidRPr="00000000">
        <w:rPr>
          <w:rFonts w:ascii="Times New Roman" w:hAnsi="Times New Roman"/>
          <w:sz w:val="20"/>
          <w:rtl w:val="0"/>
        </w:rPr>
      </w:r>
    </w:p>
    <w:p w:rsidR="00000000" w:rsidDel="00000000" w:rsidP="00000000" w:rsidRDefault="00000000" w:rsidRPr="00000000" w14:paraId="00000036">
      <w:pPr>
        <w:rPr/>
      </w:pPr>
      <w:r w:rsidDel="00000000" w:rsidR="00000000" w:rsidRPr="00000000">
        <w:rPr>
          <w:rFonts w:ascii="Times New Roman" w:hAnsi="Times New Roman"/>
          <w:sz w:val="20"/>
          <w:rtl w:val="0"/>
        </w:rPr>
      </w:r>
    </w:p>
    <w:p w:rsidR="00000000" w:rsidDel="00000000" w:rsidP="00000000" w:rsidRDefault="00000000" w:rsidRPr="00000000" w14:paraId="00000037">
      <w:pPr>
        <w:rPr/>
      </w:pPr>
      <w:r w:rsidDel="00000000" w:rsidR="00000000" w:rsidRPr="00000000">
        <w:rPr>
          <w:rFonts w:ascii="Times New Roman" w:hAnsi="Times New Roman"/>
          <w:b w:val="1"/>
          <w:bCs w:val="1"/>
          <w:i w:val="1"/>
          <w:iCs w:val="1"/>
          <w:sz w:val="20"/>
          <w:rtl w:val="0"/>
        </w:rPr>
        <w:t xml:space="preserve">Code of Conduct:</w:t>
      </w:r>
      <w:r w:rsidDel="00000000" w:rsidR="00000000" w:rsidRPr="00000000">
        <w:rPr>
          <w:rFonts w:ascii="Times New Roman" w:hAnsi="Times New Roman"/>
          <w:sz w:val="20"/>
          <w:rtl w:val="0"/>
        </w:rPr>
      </w:r>
    </w:p>
    <w:p w:rsidR="00000000" w:rsidDel="00000000" w:rsidP="00000000" w:rsidRDefault="00000000" w:rsidRPr="00000000" w14:paraId="00000038">
      <w:pPr>
        <w:rPr/>
      </w:pPr>
      <w:r w:rsidDel="00000000" w:rsidR="00000000" w:rsidRPr="00000000">
        <w:rPr>
          <w:rFonts w:ascii="Times New Roman" w:hAnsi="Times New Roman"/>
          <w:sz w:val="20"/>
          <w:rtl w:val="0"/>
        </w:rPr>
      </w:r>
    </w:p>
    <w:p w:rsidR="00000000" w:rsidDel="00000000" w:rsidP="00000000" w:rsidRDefault="00000000" w:rsidRPr="00000000" w14:paraId="00000039">
      <w:pPr>
        <w:jc w:val="both"/>
        <w:rPr/>
      </w:pPr>
      <w:r>
        <w:rPr>
          <w:rFonts w:ascii="Times New Roman" w:hAnsi="Times New Roman"/>
          <w:sz w:val="20"/>
        </w:rPr>
        <w:t>I A. Manoj Reddy (Name / Reg No) certify that this submission is my original work and that I have adhered to the guidelines specified for this assessment.</w:t>
      </w:r>
    </w:p>
    <w:p w:rsidR="00000000" w:rsidDel="00000000" w:rsidP="00000000" w:rsidRDefault="00000000" w:rsidRPr="00000000" w14:paraId="0000003A">
      <w:pPr>
        <w:jc w:val="both"/>
        <w:rPr/>
      </w:pPr>
      <w:r w:rsidDel="00000000" w:rsidR="00000000" w:rsidRPr="00000000">
        <w:rPr>
          <w:rFonts w:ascii="Times New Roman" w:hAnsi="Times New Roman"/>
          <w:i w:val="1"/>
          <w:iCs w:val="1"/>
          <w:sz w:val="20"/>
          <w:rtl w:val="0"/>
        </w:rPr>
        <w:t xml:space="preserve">I understand that any violation of academic integrity rules will result in disciplinary action.</w:t>
      </w:r>
      <w:r w:rsidDel="00000000" w:rsidR="00000000" w:rsidRPr="00000000">
        <w:rPr>
          <w:rFonts w:ascii="Times New Roman" w:hAnsi="Times New Roman"/>
          <w:sz w:val="20"/>
          <w:rtl w:val="0"/>
        </w:rPr>
      </w:r>
    </w:p>
    <w:p w:rsidR="00000000" w:rsidDel="00000000" w:rsidP="00000000" w:rsidRDefault="00000000" w:rsidRPr="00000000" w14:paraId="0000003B">
      <w:pPr>
        <w:rPr/>
      </w:pPr>
      <w:r w:rsidDel="00000000" w:rsidR="00000000" w:rsidRPr="00000000">
        <w:rPr>
          <w:rFonts w:ascii="Times New Roman" w:hAnsi="Times New Roman"/>
          <w:sz w:val="20"/>
          <w:rtl w:val="0"/>
        </w:rPr>
      </w:r>
    </w:p>
    <w:p w:rsidR="00000000" w:rsidDel="00000000" w:rsidP="00000000" w:rsidRDefault="00000000" w:rsidRPr="00000000" w14:paraId="0000003C">
      <w:pPr>
        <w:rPr/>
      </w:pPr>
      <w:r>
        <w:rPr>
          <w:rFonts w:ascii="Times New Roman" w:hAnsi="Times New Roman"/>
          <w:sz w:val="20"/>
        </w:rPr>
        <w:t>Signature of the student:  A. Manoj Reddy</w:t>
      </w:r>
    </w:p>
    <w:p w:rsidR="00000000" w:rsidDel="00000000" w:rsidP="00000000" w:rsidRDefault="00000000" w:rsidRPr="00000000" w14:paraId="0000003D">
      <w:pPr>
        <w:rPr/>
      </w:pPr>
      <w:r w:rsidDel="00000000" w:rsidR="00000000" w:rsidRPr="00000000">
        <w:rPr>
          <w:rFonts w:ascii="Times New Roman" w:hAnsi="Times New Roman"/>
          <w:sz w:val="20"/>
          <w:rtl w:val="0"/>
        </w:rPr>
      </w:r>
    </w:p>
    <w:p w:rsidR="00000000" w:rsidDel="00000000" w:rsidP="00000000" w:rsidRDefault="00000000" w:rsidRPr="00000000" w14:paraId="0000003E">
      <w:pPr>
        <w:rPr/>
      </w:pPr>
      <w:r w:rsidDel="00000000" w:rsidR="00000000" w:rsidRPr="00000000">
        <w:rPr>
          <w:rFonts w:ascii="Times New Roman" w:hAnsi="Times New Roman"/>
          <w:sz w:val="20"/>
          <w:rtl w:val="0"/>
        </w:rPr>
      </w:r>
    </w:p>
    <w:p w:rsidR="00000000" w:rsidDel="00000000" w:rsidP="00000000" w:rsidRDefault="00000000" w:rsidRPr="00000000" w14:paraId="0000003F">
      <w:pPr>
        <w:rPr/>
      </w:pPr>
      <w:r w:rsidDel="00000000" w:rsidR="00000000" w:rsidRPr="00000000">
        <w:rPr>
          <w:rFonts w:ascii="Times New Roman" w:hAnsi="Times New Roman"/>
          <w:sz w:val="20"/>
          <w:rtl w:val="0"/>
        </w:rPr>
      </w:r>
    </w:p>
    <w:p w:rsidR="00000000" w:rsidDel="00000000" w:rsidP="00000000" w:rsidRDefault="00000000" w:rsidRPr="00000000" w14:paraId="00000040">
      <w:pPr>
        <w:rPr/>
      </w:pPr>
      <w:r w:rsidDel="00000000" w:rsidR="00000000" w:rsidRPr="00000000">
        <w:rPr>
          <w:rFonts w:ascii="Times New Roman" w:hAnsi="Times New Roman"/>
          <w:sz w:val="20"/>
        </w:rPr>
        <w:br w:type="page"/>
      </w:r>
      <w:r w:rsidDel="00000000" w:rsidR="00000000" w:rsidRPr="00000000">
        <w:rPr>
          <w:rFonts w:ascii="Times New Roman" w:hAnsi="Times New Roman"/>
          <w:sz w:val="20"/>
          <w:rtl w:val="0"/>
        </w:rPr>
      </w:r>
    </w:p>
    <w:p w:rsidR="00000000" w:rsidDel="00000000" w:rsidP="00000000" w:rsidRDefault="00000000" w:rsidRPr="00000000" w14:paraId="00000041">
      <w:pPr>
        <w:rPr/>
      </w:pPr>
      <w:r w:rsidDel="00000000" w:rsidR="00000000" w:rsidRPr="00000000">
        <w:rPr>
          <w:rFonts w:ascii="Times New Roman" w:hAnsi="Times New Roman"/>
          <w:sz w:val="20"/>
          <w:rtl w:val="0"/>
        </w:rPr>
      </w:r>
    </w:p>
    <w:p w:rsidR="00000000" w:rsidDel="00000000" w:rsidP="00000000" w:rsidRDefault="00000000" w:rsidRPr="00000000" w14:paraId="00000042">
      <w:pPr>
        <w:rPr/>
      </w:pPr>
      <w:r w:rsidDel="00000000" w:rsidR="00000000" w:rsidRPr="00000000">
        <w:rPr>
          <w:rFonts w:ascii="Times New Roman" w:hAnsi="Times New Roman"/>
          <w:sz w:val="20"/>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000000"/>
        </w:rPr>
      </w:pPr>
      <w:r w:rsidDel="00000000" w:rsidR="00000000" w:rsidRPr="00000000">
        <w:rPr>
          <w:rFonts w:ascii="Times New Roman" w:hAnsi="Times New Roman"/>
          <w:sz w:val="20"/>
          <w:rtl w:val="0"/>
        </w:rPr>
      </w:r>
    </w:p>
    <w:p w:rsidR="00000000" w:rsidDel="00000000" w:rsidP="00000000" w:rsidRDefault="00000000" w:rsidRPr="00000000" w14:paraId="0000006F">
      <w:pPr>
        <w:rPr>
          <w:rFonts w:ascii="Arial" w:cs="Arial" w:eastAsia="Arial" w:hAnsi="Arial"/>
          <w:b w:val="1"/>
          <w:bCs w:val="1"/>
          <w:color w:val="000000"/>
        </w:rPr>
      </w:pPr>
      <w:r w:rsidDel="00000000" w:rsidR="00000000" w:rsidRPr="00000000">
        <w:rPr>
          <w:rFonts w:ascii="Times New Roman" w:hAnsi="Times New Roman"/>
          <w:sz w:val="20"/>
          <w:rtl w:val="0"/>
        </w:rPr>
      </w:r>
    </w:p>
    <w:p>
      <w:r>
        <w:rPr>
          <w:rFonts w:ascii="Times New Roman" w:hAnsi="Times New Roman"/>
          <w:sz w:val="20"/>
        </w:rPr>
        <w:br w:type="page"/>
      </w:r>
    </w:p>
    <w:p>
      <w:pPr>
        <w:jc w:val="center"/>
      </w:pPr>
      <w:r>
        <w:rPr>
          <w:rFonts w:ascii="Times New Roman" w:hAnsi="Times New Roman"/>
          <w:b/>
          <w:sz w:val="32"/>
        </w:rPr>
        <w:t>RUBRICS FOR CALCULATION</w:t>
      </w:r>
    </w:p>
    <w:p>
      <w:pPr>
        <w:pStyle w:val="Subtitle"/>
      </w:pPr>
      <w:r>
        <w:rPr>
          <w:rFonts w:ascii="Times New Roman" w:hAnsi="Times New Roman"/>
          <w:sz w:val="20"/>
        </w:rPr>
        <w:t>Scenario Based Assessment</w:t>
      </w:r>
    </w:p>
    <w:sectPr>
      <w:pgSz w:h="16834" w:w="11909" w:orient="portrait"/>
      <w:pgMar w:bottom="720" w:top="720" w:left="720" w:right="720" w:header="720" w:footer="720"/>
      <w:pgNumType w:start="1"/>
    </w:sectPr>
    <w:tbl>
      <w:tblPr>
        <w:tblStyle w:val="Table1"/>
        <w:tblW w:w="10179.0" w:type="dxa"/>
        <w:jc w:val="left"/>
        <w:tblLayout w:type="fixed"/>
        <w:tblLook w:val="0000"/>
      </w:tblPr>
      <w:tblGrid>
        <w:gridCol w:w="1517"/>
        <w:gridCol w:w="1354"/>
        <w:gridCol w:w="1983"/>
        <w:gridCol w:w="1798"/>
        <w:gridCol w:w="1765"/>
        <w:gridCol w:w="1762"/>
        <w:tblGridChange w:id="0">
          <w:tblGrid>
            <w:gridCol w:w="1517"/>
            <w:gridCol w:w="1354"/>
            <w:gridCol w:w="1983"/>
            <w:gridCol w:w="1798"/>
            <w:gridCol w:w="1765"/>
            <w:gridCol w:w="1762"/>
          </w:tblGrid>
        </w:tblGridChange>
      </w:tblGrid>
      <w:tr>
        <w:trPr>
          <w:cantSplit w:val="0"/>
          <w:trHeight w:val="757" w:hRule="atLeast"/>
          <w:tblHeader w:val="0"/>
        </w:trPr>
        <w:tc>
          <w:tcPr>
            <w:gridSpan w:val="6"/>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Google Sans" w:cs="Google Sans" w:eastAsia="Google Sans" w:hAnsi="Google Sans"/>
                <w:b w:val="1"/>
                <w:bCs w:val="1"/>
                <w:color w:val="222222"/>
              </w:rPr>
            </w:pPr>
            <w:r w:rsidDel="00000000" w:rsidR="00000000" w:rsidRPr="00000000">
              <w:rPr>
                <w:rFonts w:ascii="Google Sans" w:cs="Google Sans" w:eastAsia="Google Sans" w:hAnsi="Google Sans"/>
                <w:b w:val="1"/>
                <w:bCs w:val="1"/>
                <w:color w:val="222222"/>
                <w:rtl w:val="0"/>
              </w:rPr>
              <w:t xml:space="preserve">Scenario Based Assessment</w:t>
            </w:r>
          </w:p>
        </w:tc>
      </w:tr>
      <w:tr>
        <w:trPr>
          <w:cantSplit w:val="0"/>
          <w:trHeight w:val="5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Weightage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1 (Beginning)</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Understanding of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Demonstrates clear and complete understanding of the scenario and context</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Shows good understanding with minor gaps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Partial understanding; misses key aspects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Misinterprets or fails to understand the scenario</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Identification of Key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Accurately identifies all relevant issues and factors involved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Identifies most key issues with minor omissions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Identifies limited issues; some irrelevant points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identify key issues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Application of Concepts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appropriate concepts effectively to address the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Limited or partially correct application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apply relevant concepts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 Making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well-reasoned, logical decisions with strong rationale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reasonable decisions with some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weak decisions with limited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clear decisions made or rationale provided</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Clarity of Response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clear, structured, and logically presented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Generally clear with minor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Somewhat unclear or poorly structured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Disorganized and difficult to understand</w:t>
            </w:r>
          </w:p>
        </w:tc>
      </w:tr>
    </w:tbl>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sqsE2Bojo22qu8Bm8A4Y6I6Fw==">CgMxLjA4AHIhMVotRWI5cHQ0cGFGQ21zREFUbU5yNmJUaDlzcEhkY0N4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