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rFonts w:ascii="Arial" w:hAnsi="Arial"/>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rFonts w:ascii="Arial" w:hAnsi="Arial"/>
          <w:b w:val="1"/>
          <w:bCs w:val="1"/>
          <w:sz w:val="28"/>
          <w:szCs w:val="28"/>
          <w:rtl w:val="0"/>
        </w:rPr>
        <w:t xml:space="preserve">ASSESSMENT TOOL 2</w:t>
      </w:r>
    </w:p>
    <w:p w:rsidR="00000000" w:rsidDel="00000000" w:rsidP="00000000" w:rsidRDefault="00000000" w:rsidRPr="00000000" w14:paraId="00000003">
      <w:pPr>
        <w:jc w:val="center"/>
        <w:rPr>
          <w:b w:val="1"/>
          <w:bCs w:val="1"/>
          <w:sz w:val="34"/>
          <w:szCs w:val="34"/>
        </w:rPr>
      </w:pPr>
      <w:r w:rsidDel="00000000" w:rsidR="00000000" w:rsidRPr="00000000">
        <w:rPr>
          <w:rFonts w:ascii="Arial" w:hAnsi="Arial"/>
          <w:sz w:val="20"/>
          <w:rtl w:val="0"/>
        </w:rPr>
      </w:r>
    </w:p>
    <w:p w:rsidR="00000000" w:rsidDel="00000000" w:rsidP="00000000" w:rsidRDefault="00000000" w:rsidRPr="00000000" w14:paraId="00000004">
      <w:pPr>
        <w:rPr>
          <w:rFonts w:ascii="Arial" w:cs="Arial" w:eastAsia="Arial" w:hAnsi="Arial"/>
          <w:b w:val="1"/>
          <w:bCs w:val="1"/>
        </w:rPr>
      </w:pPr>
      <w:r w:rsidDel="00000000" w:rsidR="00000000" w:rsidRPr="00000000">
        <w:rPr>
          <w:rFonts w:ascii="Arial" w:cs="Arial" w:eastAsia="Arial" w:hAnsi="Arial"/>
          <w:b w:val="1"/>
          <w:bCs w:val="1"/>
          <w:sz w:val="20"/>
          <w:rtl w:val="0"/>
        </w:rPr>
        <w:t xml:space="preserve">COURSE NAME:</w:t>
      </w:r>
      <w:r w:rsidDel="00000000" w:rsidR="00000000" w:rsidRPr="00000000">
        <w:rPr>
          <w:rFonts w:ascii="Arial" w:cs="Arial" w:eastAsia="Arial" w:hAnsi="Arial"/>
          <w:sz w:val="20"/>
          <w:rtl w:val="0"/>
        </w:rPr>
        <w:t xml:space="preserve"> </w:t>
      </w:r>
      <w:r w:rsidDel="00000000" w:rsidR="00000000" w:rsidRPr="00000000">
        <w:rPr>
          <w:rFonts w:ascii="Arial" w:cs="Arial" w:eastAsia="Arial" w:hAnsi="Arial"/>
          <w:b w:val="1"/>
          <w:bCs w:val="1"/>
          <w:sz w:val="20"/>
          <w:rtl w:val="0"/>
        </w:rPr>
        <w:t xml:space="preserve">Ethical Hacking</w:t>
        <w:tab/>
        <w:t xml:space="preserve">                                                  COURSE CODE: ITA14 </w:t>
        <w:tab/>
        <w:tab/>
        <w:tab/>
      </w:r>
    </w:p>
    <w:p w:rsidR="00000000" w:rsidDel="00000000" w:rsidP="00000000" w:rsidRDefault="00000000" w:rsidRPr="00000000" w14:paraId="00000005">
      <w:pPr>
        <w:rPr>
          <w:rFonts w:ascii="Arial" w:cs="Arial" w:eastAsia="Arial" w:hAnsi="Arial"/>
          <w:b w:val="1"/>
          <w:bCs w:val="1"/>
        </w:rPr>
      </w:pPr>
      <w:r w:rsidDel="00000000" w:rsidR="00000000" w:rsidRPr="00000000">
        <w:rPr>
          <w:rFonts w:ascii="Arial" w:cs="Arial" w:eastAsia="Arial" w:hAnsi="Arial"/>
          <w:sz w:val="22"/>
          <w:szCs w:val="22"/>
        </w:rPr>
        <mc:AlternateContent>
          <mc:Choice Requires="wpg">
            <w:drawing>
              <wp:inline distB="0" distT="0" distL="114300" distR="114300">
                <wp:extent cx="6559550" cy="58419"/>
                <wp:effectExtent b="0" l="0" r="0" t="0"/>
                <wp:docPr id="2" name=""/>
                <a:graphic>
                  <a:graphicData uri="http://schemas.microsoft.com/office/word/2010/wordprocessingShape">
                    <wps:wsp>
                      <wps:cNvSpPr/>
                      <wps:cNvPr id="3" name="Shape 3"/>
                      <wps:spPr>
                        <a:xfrm>
                          <a:off x="2072575" y="3757141"/>
                          <a:ext cx="6546850" cy="45719"/>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559550" cy="58419"/>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59550" cy="58419"/>
                        </a:xfrm>
                        <a:prstGeom prst="rect"/>
                        <a:ln/>
                      </pic:spPr>
                    </pic:pic>
                  </a:graphicData>
                </a:graphic>
              </wp:inline>
            </w:drawing>
          </mc:Fallback>
        </mc:AlternateContent>
      </w:r>
      <w:r w:rsidDel="00000000" w:rsidR="00000000" w:rsidRPr="00000000">
        <w:rPr>
          <w:rFonts w:ascii="Arial" w:hAnsi="Arial"/>
          <w:sz w:val="20"/>
          <w:rtl w:val="0"/>
        </w:rPr>
      </w:r>
    </w:p>
    <w:p w:rsidR="00000000" w:rsidDel="00000000" w:rsidP="00000000" w:rsidRDefault="00000000" w:rsidRPr="00000000" w14:paraId="00000006">
      <w:pPr>
        <w:rPr>
          <w:rFonts w:ascii="Arial" w:cs="Arial" w:eastAsia="Arial" w:hAnsi="Arial"/>
          <w:b w:val="1"/>
          <w:bCs w:val="1"/>
        </w:rPr>
      </w:pPr>
      <w:r w:rsidDel="00000000" w:rsidR="00000000" w:rsidRPr="00000000">
        <w:rPr>
          <w:rFonts w:ascii="Arial" w:hAnsi="Arial"/>
          <w:sz w:val="20"/>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b w:val="1"/>
          <w:bCs w:val="1"/>
          <w:sz w:val="20"/>
          <w:rtl w:val="0"/>
        </w:rPr>
        <w:t xml:space="preserve">COURSE OUTCOME COVERED</w:t>
      </w:r>
    </w:p>
    <w:p w:rsidR="00000000" w:rsidDel="00000000" w:rsidP="00000000" w:rsidRDefault="00000000" w:rsidRPr="00000000" w14:paraId="00000008">
      <w:pPr>
        <w:rPr>
          <w:rFonts w:ascii="Arial" w:cs="Arial" w:eastAsia="Arial" w:hAnsi="Arial"/>
          <w:b w:val="1"/>
          <w:bCs w:val="1"/>
        </w:rPr>
      </w:pPr>
      <w:r w:rsidDel="00000000" w:rsidR="00000000" w:rsidRPr="00000000">
        <w:rPr>
          <w:rFonts w:ascii="Arial" w:hAnsi="Arial"/>
          <w:sz w:val="20"/>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hAnsi="Arial"/>
          <w:b w:val="1"/>
          <w:bCs w:val="1"/>
          <w:color w:val="000000"/>
          <w:sz w:val="20"/>
          <w:rtl w:val="0"/>
        </w:rPr>
        <w:t xml:space="preserve">CO2: </w:t>
      </w:r>
      <w:r w:rsidDel="00000000" w:rsidR="00000000" w:rsidRPr="00000000">
        <w:rPr>
          <w:rFonts w:ascii="Arial" w:hAnsi="Arial"/>
          <w:sz w:val="20"/>
          <w:rtl w:val="0"/>
        </w:rPr>
        <w:t xml:space="preserve">Execute footprinting in social engineering such as DNS analysis, competitive intelligence gathering, and attack simulations to collect relevant information for identifying potential security risks.</w:t>
      </w:r>
      <w:r w:rsidDel="00000000" w:rsidR="00000000" w:rsidRPr="00000000">
        <w:rPr>
          <w:rFonts w:ascii="Arial" w:cs="Arial" w:eastAsia="Arial" w:hAnsi="Arial"/>
          <w:b w:val="1"/>
          <w:bCs w:val="1"/>
          <w:color w:val="000000"/>
          <w:sz w:val="20"/>
          <w:rtl w:val="0"/>
        </w:rPr>
        <w:tab/>
      </w:r>
    </w:p>
    <w:p w:rsidR="00000000" w:rsidDel="00000000" w:rsidP="00000000" w:rsidRDefault="00000000" w:rsidRPr="00000000" w14:paraId="0000000A">
      <w:pPr>
        <w:pBdr>
          <w:top w:space="0" w:sz="0" w:val="nil"/>
          <w:left w:space="0" w:sz="0" w:val="nil"/>
          <w:bottom w:space="0" w:sz="0" w:val="nil"/>
          <w:right w:space="0" w:sz="0" w:val="nil"/>
          <w:between w:space="0" w:sz="0" w:val="nil"/>
        </w:pBdr>
        <w:jc w:val="both"/>
        <w:rPr>
          <w:color w:val="000000"/>
        </w:rPr>
      </w:pPr>
      <w:r w:rsidDel="00000000" w:rsidR="00000000" w:rsidRPr="00000000">
        <w:rPr>
          <w:rFonts w:ascii="Arial" w:cs="Arial" w:eastAsia="Arial" w:hAnsi="Arial"/>
          <w:b w:val="1"/>
          <w:bCs w:val="1"/>
          <w:color w:val="000000"/>
          <w:sz w:val="20"/>
          <w:rtl w:val="0"/>
        </w:rPr>
        <w:tab/>
        <w:tab/>
      </w:r>
      <w:r w:rsidDel="00000000" w:rsidR="00000000" w:rsidRPr="00000000">
        <w:rPr>
          <w:rFonts w:ascii="Arial" w:hAnsi="Arial"/>
          <w:sz w:val="20"/>
          <w:rtl w:val="0"/>
        </w:rPr>
      </w:r>
    </w:p>
    <w:p w:rsidR="00000000" w:rsidDel="00000000" w:rsidP="00000000" w:rsidRDefault="00000000" w:rsidRPr="00000000" w14:paraId="0000000B">
      <w:pPr>
        <w:rPr>
          <w:rFonts w:ascii="Arial" w:cs="Arial" w:eastAsia="Arial" w:hAnsi="Arial"/>
          <w:i w:val="1"/>
          <w:iCs w:val="1"/>
        </w:rPr>
      </w:pPr>
      <w:r w:rsidDel="00000000" w:rsidR="00000000" w:rsidRPr="00000000">
        <w:rPr>
          <w:rFonts w:ascii="Arial" w:cs="Arial" w:eastAsia="Arial" w:hAnsi="Arial"/>
          <w:i w:val="1"/>
          <w:iCs w:val="1"/>
          <w:sz w:val="20"/>
          <w:rtl w:val="0"/>
        </w:rPr>
        <w:t xml:space="preserve">Assessment Tool Weightage: 30%</w:t>
      </w:r>
    </w:p>
    <w:p w:rsidR="00000000" w:rsidDel="00000000" w:rsidP="00000000" w:rsidRDefault="00000000" w:rsidRPr="00000000" w14:paraId="0000000C">
      <w:pPr>
        <w:rPr>
          <w:b w:val="1"/>
          <w:bCs w:val="1"/>
          <w:color w:val="000000"/>
        </w:rPr>
      </w:pPr>
      <w:r w:rsidDel="00000000" w:rsidR="00000000" w:rsidRPr="00000000">
        <w:rPr>
          <w:rFonts w:ascii="Arial" w:hAnsi="Arial"/>
          <w:sz w:val="20"/>
          <w:rtl w:val="0"/>
        </w:rPr>
      </w:r>
    </w:p>
    <w:p w:rsidR="00000000" w:rsidDel="00000000" w:rsidP="00000000" w:rsidRDefault="00000000" w:rsidRPr="00000000" w14:paraId="0000000D">
      <w:pPr>
        <w:rPr>
          <w:b w:val="1"/>
          <w:bCs w:val="1"/>
          <w:color w:val="000000"/>
        </w:rPr>
      </w:pPr>
      <w:r w:rsidDel="00000000" w:rsidR="00000000" w:rsidRPr="00000000">
        <w:rPr>
          <w:rFonts w:ascii="Arial" w:hAnsi="Arial"/>
          <w:b w:val="1"/>
          <w:bCs w:val="1"/>
          <w:color w:val="000000"/>
          <w:sz w:val="20"/>
          <w:rtl w:val="0"/>
        </w:rPr>
        <w:t xml:space="preserve">Duration: 90 min                                                                                                 Total Marks: 50</w:t>
      </w:r>
    </w:p>
    <w:p w:rsidR="00000000" w:rsidDel="00000000" w:rsidP="00000000" w:rsidRDefault="00000000" w:rsidRPr="00000000" w14:paraId="0000000E">
      <w:pPr>
        <w:rPr>
          <w:rFonts w:ascii="Arial" w:cs="Arial" w:eastAsia="Arial" w:hAnsi="Arial"/>
        </w:rPr>
      </w:pPr>
      <w:r w:rsidDel="00000000" w:rsidR="00000000" w:rsidRPr="00000000">
        <w:rPr>
          <w:rFonts w:ascii="Arial" w:hAnsi="Arial"/>
          <w:sz w:val="22"/>
          <w:szCs w:val="22"/>
        </w:rPr>
        <mc:AlternateContent>
          <mc:Choice Requires="wpg">
            <w:drawing>
              <wp:inline distB="0" distT="0" distL="114300" distR="114300">
                <wp:extent cx="6502400" cy="58419"/>
                <wp:effectExtent b="0" l="0" r="0" t="0"/>
                <wp:docPr id="1" name=""/>
                <a:graphic>
                  <a:graphicData uri="http://schemas.microsoft.com/office/word/2010/wordprocessingShape">
                    <wps:wsp>
                      <wps:cNvSpPr/>
                      <wps:cNvPr id="2" name="Shape 2"/>
                      <wps:spPr>
                        <a:xfrm>
                          <a:off x="2101150" y="3757141"/>
                          <a:ext cx="6489700" cy="45719"/>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502400" cy="58419"/>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502400" cy="58419"/>
                        </a:xfrm>
                        <a:prstGeom prst="rect"/>
                        <a:ln/>
                      </pic:spPr>
                    </pic:pic>
                  </a:graphicData>
                </a:graphic>
              </wp:inline>
            </w:drawing>
          </mc:Fallback>
        </mc:AlternateContent>
      </w:r>
      <w:r w:rsidDel="00000000" w:rsidR="00000000" w:rsidRPr="00000000">
        <w:rPr>
          <w:rFonts w:ascii="Arial" w:hAnsi="Arial"/>
          <w:sz w:val="20"/>
          <w:rtl w:val="0"/>
        </w:rPr>
      </w:r>
    </w:p>
    <w:p w:rsidR="00000000" w:rsidDel="00000000" w:rsidP="00000000" w:rsidRDefault="00000000" w:rsidRPr="00000000" w14:paraId="0000000F">
      <w:pPr>
        <w:ind w:left="1440" w:firstLine="720"/>
        <w:jc w:val="both"/>
        <w:rPr>
          <w:rFonts w:ascii="Arial" w:cs="Arial" w:eastAsia="Arial" w:hAnsi="Arial"/>
        </w:rPr>
      </w:pPr>
      <w:r w:rsidDel="00000000" w:rsidR="00000000" w:rsidRPr="00000000">
        <w:rPr>
          <w:rFonts w:ascii="Arial" w:hAnsi="Arial"/>
          <w:sz w:val="20"/>
          <w:rtl w:val="0"/>
        </w:rPr>
      </w:r>
    </w:p>
    <w:p w:rsidR="00000000" w:rsidDel="00000000" w:rsidP="00000000" w:rsidRDefault="00000000" w:rsidRPr="00000000" w14:paraId="00000010">
      <w:pPr>
        <w:jc w:val="center"/>
        <w:rPr>
          <w:b w:val="1"/>
          <w:bCs w:val="1"/>
          <w:sz w:val="32"/>
          <w:szCs w:val="32"/>
        </w:rPr>
      </w:pPr>
      <w:bookmarkStart w:colFirst="0" w:colLast="0" w:name="_heading=h.astakgobtjk1" w:id="0"/>
      <w:bookmarkEnd w:id="0"/>
      <w:r w:rsidDel="00000000" w:rsidR="00000000" w:rsidRPr="00000000">
        <w:rPr>
          <w:rFonts w:ascii="Arial" w:hAnsi="Arial"/>
          <w:b w:val="1"/>
          <w:bCs w:val="1"/>
          <w:sz w:val="32"/>
          <w:szCs w:val="32"/>
          <w:rtl w:val="0"/>
        </w:rPr>
        <w:t xml:space="preserve">Social Engineering Simulation</w:t>
      </w:r>
    </w:p>
    <w:p w:rsidR="00000000" w:rsidDel="00000000" w:rsidP="00000000" w:rsidRDefault="00000000" w:rsidRPr="00000000" w14:paraId="00000011">
      <w:pPr>
        <w:jc w:val="center"/>
        <w:rPr>
          <w:b w:val="1"/>
          <w:bCs w:val="1"/>
          <w:sz w:val="36"/>
          <w:szCs w:val="36"/>
        </w:rPr>
      </w:pPr>
      <w:r w:rsidDel="00000000" w:rsidR="00000000" w:rsidRPr="00000000">
        <w:rPr>
          <w:rFonts w:ascii="Arial" w:hAnsi="Arial"/>
          <w:sz w:val="20"/>
          <w:rtl w:val="0"/>
        </w:rPr>
      </w:r>
    </w:p>
    <w:p w:rsidR="00000000" w:rsidDel="00000000" w:rsidP="00000000" w:rsidRDefault="00000000" w:rsidRPr="00000000" w14:paraId="00000012">
      <w:pPr>
        <w:rPr>
          <w:b w:val="1"/>
          <w:bCs w:val="1"/>
        </w:rPr>
      </w:pPr>
      <w:r w:rsidDel="00000000" w:rsidR="00000000" w:rsidRPr="00000000">
        <w:rPr>
          <w:rFonts w:ascii="Arial" w:hAnsi="Arial"/>
          <w:b w:val="1"/>
          <w:bCs w:val="1"/>
          <w:sz w:val="20"/>
          <w:rtl w:val="0"/>
        </w:rPr>
        <w:t xml:space="preserve">                                                                            Questions</w:t>
      </w:r>
    </w:p>
    <w:p w:rsidR="00000000" w:rsidDel="00000000" w:rsidP="00000000" w:rsidRDefault="00000000" w:rsidRPr="00000000" w14:paraId="00000013">
      <w:pPr>
        <w:rPr>
          <w:b w:val="1"/>
          <w:bCs w:val="1"/>
        </w:rPr>
      </w:pPr>
      <w:r w:rsidDel="00000000" w:rsidR="00000000" w:rsidRPr="00000000">
        <w:rPr>
          <w:rFonts w:ascii="Arial" w:hAnsi="Arial"/>
          <w:b w:val="1"/>
          <w:bCs w:val="1"/>
          <w:sz w:val="20"/>
          <w:rtl w:val="0"/>
        </w:rPr>
        <w:t xml:space="preserve">                                                                                  </w:t>
      </w:r>
    </w:p>
    <w:p w:rsidR="00000000" w:rsidDel="00000000" w:rsidP="00000000" w:rsidRDefault="00000000" w:rsidRPr="00000000" w14:paraId="00000014">
      <w:pPr>
        <w:rPr/>
      </w:pPr>
      <w:r w:rsidDel="00000000" w:rsidR="00000000" w:rsidRPr="00000000">
        <w:rPr>
          <w:rFonts w:ascii="Arial" w:hAnsi="Arial"/>
          <w:sz w:val="20"/>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Security Analyst, perform an OSINT-based email enumeration assessment on the target domain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tesla.com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theHarvester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Kali Linux. Collect publicly available email addresses, subdomains, hosts, and IP addresses associated with the organization. Categorize the discovered email addresses into likely roles such as Support, Sales, Human Resources, Administration, and Technical Teams. Analyze how the gathered information could assist an attacker during the reconnaissance phase and explain how it could be used for spear-phishing, credential harvesting, and impersonation attacks. Finally, recommend at least five countermeasures to reduce information leakage and social engineering risks, and submit a report with screenshots, commands executed, findings, risk analysis, and recommendations.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(20 Marks)</w:t>
      </w:r>
    </w:p>
    <w:p w:rsidR="00000000" w:rsidDel="00000000" w:rsidP="00000000" w:rsidRDefault="00000000" w:rsidRPr="00000000" w14:paraId="00000016">
      <w:pPr>
        <w:jc w:val="both"/>
        <w:rPr>
          <w:b w:val="1"/>
          <w:bCs w:val="1"/>
        </w:rPr>
      </w:pPr>
      <w:r w:rsidDel="00000000" w:rsidR="00000000" w:rsidRPr="00000000">
        <w:rPr>
          <w:rFonts w:ascii="Arial" w:hAnsi="Arial"/>
          <w:sz w:val="20"/>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cybersecurity awareness consultant, you are required to conduct a phishing awareness simulation using GoPhish and dummy employee accounts provided in the lab. Create an email template, launch a campaign, monitor user interactions, and generate a report showing delivery rate, email open rate, and click rate. Based on the results, provide recommendations to improve user awareness against phishing attacks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Mark).</w:t>
      </w:r>
      <w:r w:rsidDel="00000000" w:rsidR="00000000" w:rsidRPr="00000000">
        <w:rPr>
          <w:rFonts w:ascii="Arial" w:hAnsi="Arial"/>
          <w:sz w:val="20"/>
          <w:rtl w:val="0"/>
        </w:rPr>
      </w:r>
    </w:p>
    <w:p w:rsidR="00000000" w:rsidDel="00000000" w:rsidP="00000000" w:rsidRDefault="00000000" w:rsidRPr="00000000" w14:paraId="00000018">
      <w:pPr>
        <w:jc w:val="both"/>
        <w:rPr/>
      </w:pPr>
      <w:r w:rsidDel="00000000" w:rsidR="00000000" w:rsidRPr="00000000">
        <w:rPr>
          <w:rFonts w:ascii="Arial" w:hAnsi="Arial"/>
          <w:sz w:val="20"/>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Nmap Aggressive Scan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scanme.nmap.org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gather detailed information about the target including operating system details, open ports, and service versions. Assume you are an attacker and describe how the collected information could be leveraged to conduct a social engineering attack against the IT support team. Prepare a report explaining the attack methodology and defensive recommendations.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Marks)</w:t>
      </w:r>
    </w:p>
    <w:p w:rsidR="00000000" w:rsidDel="00000000" w:rsidP="00000000" w:rsidRDefault="00000000" w:rsidRPr="00000000" w14:paraId="0000001A">
      <w:pPr>
        <w:rPr/>
      </w:pPr>
      <w:r w:rsidDel="00000000" w:rsidR="00000000" w:rsidRPr="00000000">
        <w:rPr>
          <w:rFonts w:ascii="Arial" w:hAnsi="Arial"/>
          <w:sz w:val="20"/>
          <w:rtl w:val="0"/>
        </w:rPr>
      </w:r>
    </w:p>
    <w:p w:rsidR="00000000" w:rsidDel="00000000" w:rsidP="00000000" w:rsidRDefault="00000000" w:rsidRPr="00000000" w14:paraId="0000001B">
      <w:pPr>
        <w:rPr/>
      </w:pPr>
      <w:r w:rsidDel="00000000" w:rsidR="00000000" w:rsidRPr="00000000">
        <w:rPr>
          <w:rFonts w:ascii="Arial" w:hAnsi="Arial"/>
          <w:sz w:val="20"/>
          <w:rtl w:val="0"/>
        </w:rPr>
      </w:r>
    </w:p>
    <w:p w:rsidR="00000000" w:rsidDel="00000000" w:rsidP="00000000" w:rsidRDefault="00000000" w:rsidRPr="00000000" w14:paraId="0000001C">
      <w:pPr>
        <w:rPr/>
      </w:pPr>
      <w:r w:rsidDel="00000000" w:rsidR="00000000" w:rsidRPr="00000000">
        <w:rPr>
          <w:rFonts w:ascii="Arial" w:hAnsi="Arial"/>
          <w:b w:val="1"/>
          <w:bCs w:val="1"/>
          <w:i w:val="1"/>
          <w:iCs w:val="1"/>
          <w:sz w:val="20"/>
          <w:rtl w:val="0"/>
        </w:rPr>
        <w:t xml:space="preserve">Code of Conduct:</w:t>
      </w:r>
      <w:r w:rsidDel="00000000" w:rsidR="00000000" w:rsidRPr="00000000">
        <w:rPr>
          <w:rFonts w:ascii="Arial" w:hAnsi="Arial"/>
          <w:sz w:val="20"/>
          <w:rtl w:val="0"/>
        </w:rPr>
      </w:r>
    </w:p>
    <w:p w:rsidR="00000000" w:rsidDel="00000000" w:rsidP="00000000" w:rsidRDefault="00000000" w:rsidRPr="00000000" w14:paraId="0000001D">
      <w:pPr>
        <w:rPr/>
      </w:pPr>
      <w:r w:rsidDel="00000000" w:rsidR="00000000" w:rsidRPr="00000000">
        <w:rPr>
          <w:rFonts w:ascii="Arial" w:hAnsi="Arial"/>
          <w:sz w:val="20"/>
          <w:rtl w:val="0"/>
        </w:rPr>
      </w:r>
    </w:p>
    <w:p w:rsidR="00000000" w:rsidDel="00000000" w:rsidP="00000000" w:rsidRDefault="00000000" w:rsidRPr="00000000" w14:paraId="0000001E">
      <w:pPr>
        <w:jc w:val="both"/>
        <w:rPr/>
      </w:pPr>
      <w:r>
        <w:rPr>
          <w:rFonts w:ascii="Arial" w:hAnsi="Arial"/>
          <w:sz w:val="20"/>
        </w:rPr>
        <w:t>I A. Manoj Reddy ____________________ (Reg No.) certify that this submission is my original work and that I have adhered to the guidelines specified for this assessment.</w:t>
      </w:r>
    </w:p>
    <w:p w:rsidR="00000000" w:rsidDel="00000000" w:rsidP="00000000" w:rsidRDefault="00000000" w:rsidRPr="00000000" w14:paraId="0000001F">
      <w:pPr>
        <w:jc w:val="both"/>
        <w:rPr/>
      </w:pPr>
      <w:r w:rsidDel="00000000" w:rsidR="00000000" w:rsidRPr="00000000">
        <w:rPr>
          <w:rFonts w:ascii="Arial" w:hAnsi="Arial"/>
          <w:i w:val="1"/>
          <w:iCs w:val="1"/>
          <w:sz w:val="20"/>
          <w:rtl w:val="0"/>
        </w:rPr>
        <w:t xml:space="preserve">I understand that any violation of academic integrity rules will result in disciplinary action.</w:t>
      </w:r>
      <w:r w:rsidDel="00000000" w:rsidR="00000000" w:rsidRPr="00000000">
        <w:rPr>
          <w:rFonts w:ascii="Arial" w:hAnsi="Arial"/>
          <w:sz w:val="20"/>
          <w:rtl w:val="0"/>
        </w:rPr>
      </w:r>
    </w:p>
    <w:p w:rsidR="00000000" w:rsidDel="00000000" w:rsidP="00000000" w:rsidRDefault="00000000" w:rsidRPr="00000000" w14:paraId="00000020">
      <w:pPr>
        <w:rPr/>
      </w:pPr>
      <w:r w:rsidDel="00000000" w:rsidR="00000000" w:rsidRPr="00000000">
        <w:rPr>
          <w:rFonts w:ascii="Arial" w:hAnsi="Arial"/>
          <w:sz w:val="20"/>
          <w:rtl w:val="0"/>
        </w:rPr>
      </w:r>
    </w:p>
    <w:p w:rsidR="00000000" w:rsidDel="00000000" w:rsidP="00000000" w:rsidRDefault="00000000" w:rsidRPr="00000000" w14:paraId="00000021">
      <w:pPr>
        <w:rPr/>
      </w:pPr>
      <w:r>
        <w:rPr>
          <w:rFonts w:ascii="Arial" w:hAnsi="Arial"/>
          <w:sz w:val="20"/>
        </w:rPr>
        <w:t>Signature of the student: A. Manoj Reddy</w:t>
      </w:r>
    </w:p>
    <w:p w:rsidR="00000000" w:rsidDel="00000000" w:rsidP="00000000" w:rsidRDefault="00000000" w:rsidRPr="00000000" w14:paraId="00000022">
      <w:pPr>
        <w:rPr/>
      </w:pPr>
      <w:r w:rsidDel="00000000" w:rsidR="00000000" w:rsidRPr="00000000">
        <w:rPr>
          <w:rFonts w:ascii="Arial" w:hAnsi="Arial"/>
          <w:sz w:val="20"/>
          <w:rtl w:val="0"/>
        </w:rPr>
      </w:r>
    </w:p>
    <w:p w:rsidR="00000000" w:rsidDel="00000000" w:rsidP="00000000" w:rsidRDefault="00000000" w:rsidRPr="00000000" w14:paraId="00000023">
      <w:pPr>
        <w:rPr/>
      </w:pPr>
      <w:r w:rsidDel="00000000" w:rsidR="00000000" w:rsidRPr="00000000">
        <w:rPr>
          <w:rFonts w:ascii="Arial" w:hAnsi="Arial"/>
          <w:sz w:val="20"/>
          <w:rtl w:val="0"/>
        </w:rPr>
      </w:r>
    </w:p>
    <w:p w:rsidR="00000000" w:rsidDel="00000000" w:rsidP="00000000" w:rsidRDefault="00000000" w:rsidRPr="00000000" w14:paraId="00000024">
      <w:pPr>
        <w:rPr>
          <w:rFonts w:ascii="Arial" w:cs="Arial" w:eastAsia="Arial" w:hAnsi="Arial"/>
          <w:color w:val="000000"/>
        </w:rPr>
      </w:pPr>
      <w:r w:rsidDel="00000000" w:rsidR="00000000" w:rsidRPr="00000000">
        <w:rPr>
          <w:rFonts w:ascii="Arial" w:hAnsi="Arial"/>
          <w:sz w:val="20"/>
        </w:rPr>
        <w:br w:type="page"/>
      </w:r>
      <w:r w:rsidDel="00000000" w:rsidR="00000000" w:rsidRPr="00000000">
        <w:rPr>
          <w:rFonts w:ascii="Arial" w:cs="Arial" w:eastAsia="Arial" w:hAnsi="Arial"/>
          <w:b w:val="1"/>
          <w:bCs w:val="1"/>
          <w:color w:val="000000"/>
          <w:sz w:val="20"/>
          <w:rtl w:val="0"/>
        </w:rPr>
        <w:t xml:space="preserve">RUBRICS FOR CALCULATION</w:t>
      </w:r>
      <w:r w:rsidDel="00000000" w:rsidR="00000000" w:rsidRPr="00000000">
        <w:rPr>
          <w:rFonts w:ascii="Arial" w:hAnsi="Arial"/>
          <w:sz w:val="20"/>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jc w:val="both"/>
        <w:rPr>
          <w:rFonts w:ascii="Arial" w:cs="Arial" w:eastAsia="Arial" w:hAnsi="Arial"/>
          <w:color w:val="000000"/>
        </w:rPr>
      </w:pPr>
      <w:r w:rsidDel="00000000" w:rsidR="00000000" w:rsidRPr="00000000">
        <w:rPr>
          <w:rFonts w:ascii="Arial" w:hAnsi="Arial"/>
          <w:sz w:val="20"/>
          <w:rtl w:val="0"/>
        </w:rPr>
      </w:r>
    </w:p>
    <w:tbl>
      <w:tblPr>
        <w:tblStyle w:val="Table1"/>
        <w:tblW w:w="10179.0" w:type="dxa"/>
        <w:jc w:val="left"/>
        <w:tblLayout w:type="fixed"/>
        <w:tblLook w:val="0000"/>
      </w:tblPr>
      <w:tblGrid>
        <w:gridCol w:w="1560"/>
        <w:gridCol w:w="1311"/>
        <w:gridCol w:w="1983"/>
        <w:gridCol w:w="1798"/>
        <w:gridCol w:w="1765"/>
        <w:gridCol w:w="1762"/>
        <w:tblGridChange w:id="0">
          <w:tblGrid>
            <w:gridCol w:w="1560"/>
            <w:gridCol w:w="1311"/>
            <w:gridCol w:w="1983"/>
            <w:gridCol w:w="1798"/>
            <w:gridCol w:w="1765"/>
            <w:gridCol w:w="1762"/>
          </w:tblGrid>
        </w:tblGridChange>
      </w:tblGrid>
      <w:tr>
        <w:trPr>
          <w:cantSplit w:val="0"/>
          <w:trHeight w:val="757" w:hRule="atLeast"/>
          <w:tblHeader w:val="0"/>
        </w:trPr>
        <w:tc>
          <w:tcPr>
            <w:gridSpan w:val="6"/>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26">
            <w:pPr>
              <w:jc w:val="center"/>
              <w:rPr>
                <w:rFonts w:ascii="Google Sans" w:cs="Google Sans" w:eastAsia="Google Sans" w:hAnsi="Google Sans"/>
                <w:b w:val="1"/>
                <w:bCs w:val="1"/>
                <w:color w:val="222222"/>
              </w:rPr>
            </w:pPr>
            <w:r w:rsidDel="00000000" w:rsidR="00000000" w:rsidRPr="00000000">
              <w:rPr>
                <w:rFonts w:ascii="Google Sans" w:cs="Google Sans" w:eastAsia="Google Sans" w:hAnsi="Google Sans"/>
                <w:b w:val="1"/>
                <w:bCs w:val="1"/>
                <w:color w:val="222222"/>
                <w:rtl w:val="0"/>
              </w:rPr>
              <w:t xml:space="preserve">Social Engineering Simulation</w:t>
            </w:r>
          </w:p>
        </w:tc>
      </w:tr>
      <w:tr>
        <w:trPr>
          <w:cantSplit w:val="0"/>
          <w:trHeight w:val="52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Weightage (%)</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Level 1 (Beginning)</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Understanding of Social Engineering Scenario</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Demonstrates a comprehensive understanding of the social engineering scenario, attack techniques, and security context</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Demonstrates good understanding with minor omissions.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Shows partial understanding but misses important aspects of the scenario.</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Fails to understand or incorrectly interprets the social engineering scenario.</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Identification of Attack and Vulnerabilities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Correctly identifies the attack type, exploited vulnerabilities, and affected assets with complete accuracy</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Correctly identifies most attack techniques with minor errors.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Identifies only some attack methods and vulnerabilities.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Unable to identify the attack type or associated vulnerabilities.</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Application of Security Concepts and Countermeasures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Effectively applies cybersecurity concepts and recommends appropriate preventive, detective, and corrective countermeasures.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Applies relevant concepts with minor errors and recommends suitable countermeasures.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2">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Applies concepts partially with limited recommendations.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3">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Unable to apply relevant cybersecurity concepts or recommend suitable countermeasures.</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4">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Risk Analysis and Decision Making</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6">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Performs logical risk analysis, evaluates business impact, and provides well-justified security decisions.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7">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Provides reasonable analysis with adequate justification.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Performs limited analysis with weak justification.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9">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Provides no meaningful analysis or justification.</w:t>
            </w:r>
          </w:p>
        </w:tc>
      </w:tr>
      <w:tr>
        <w:trPr>
          <w:cantSplit w:val="0"/>
          <w:trHeight w:val="832" w:hRule="atLeast"/>
          <w:tblHeader w:val="0"/>
        </w:trPr>
        <w:tc>
          <w:tcPr>
            <w:tcBorders>
              <w:top w:color="000000" w:space="0" w:sz="0" w:val="nil"/>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A">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Clarity, Documentation and Technical Presentation</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Response is well-organized, technically accurate, professionally documented, and logically presented.</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Response is clear with minor documentation or presentation issues.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Response lacks organization and contains technical inaccuracies.</w:t>
            </w:r>
          </w:p>
        </w:tc>
        <w:tc>
          <w:tcPr>
            <w:tcBorders>
              <w:top w:color="000000" w:space="0" w:sz="0" w:val="nil"/>
              <w:left w:color="000000" w:space="0" w:sz="0" w:val="nil"/>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Response is poorly organized, incomplete, and difficult to understand.</w:t>
            </w:r>
          </w:p>
        </w:tc>
      </w:tr>
    </w:tbl>
    <w:p w:rsidR="00000000" w:rsidDel="00000000" w:rsidP="00000000" w:rsidRDefault="00000000" w:rsidRPr="00000000" w14:paraId="00000050">
      <w:pPr>
        <w:rPr>
          <w:rFonts w:ascii="Arial" w:cs="Arial" w:eastAsia="Arial" w:hAnsi="Arial"/>
          <w:b w:val="1"/>
          <w:bCs w:val="1"/>
          <w:color w:val="000000"/>
        </w:rPr>
      </w:pPr>
      <w:r w:rsidDel="00000000" w:rsidR="00000000" w:rsidRPr="00000000">
        <w:rPr>
          <w:rFonts w:ascii="Arial" w:hAnsi="Arial"/>
          <w:sz w:val="20"/>
          <w:rtl w:val="0"/>
        </w:rPr>
      </w:r>
    </w:p>
    <w:p w:rsidR="00000000" w:rsidDel="00000000" w:rsidP="00000000" w:rsidRDefault="00000000" w:rsidRPr="00000000" w14:paraId="00000051">
      <w:pPr>
        <w:rPr>
          <w:rFonts w:ascii="Arial" w:cs="Arial" w:eastAsia="Arial" w:hAnsi="Arial"/>
          <w:b w:val="1"/>
          <w:bCs w:val="1"/>
          <w:color w:val="000000"/>
        </w:rPr>
      </w:pPr>
      <w:bookmarkStart w:colFirst="0" w:colLast="0" w:name="_heading=h.b6dwj67wb72q" w:id="1"/>
      <w:bookmarkEnd w:id="1"/>
      <w:r w:rsidDel="00000000" w:rsidR="00000000" w:rsidRPr="00000000">
        <w:rPr>
          <w:rFonts w:ascii="Arial" w:hAnsi="Arial"/>
          <w:sz w:val="20"/>
          <w:rtl w:val="0"/>
        </w:rPr>
      </w:r>
    </w:p>
    <w:p>
      <w:r>
        <w:rPr>
          <w:rFonts w:ascii="Arial" w:hAnsi="Arial"/>
          <w:sz w:val="20"/>
        </w:rPr>
        <w:br w:type="page"/>
      </w:r>
    </w:p>
    <w:p>
      <w:pPr>
        <w:pStyle w:val="Title"/>
        <w:jc w:val="center"/>
      </w:pPr>
      <w:r>
        <w:rPr>
          <w:rFonts w:ascii="Arial" w:hAnsi="Arial"/>
          <w:sz w:val="20"/>
        </w:rPr>
        <w:t>SOLVED ASSESSMENT – SOCIAL ENGINEERING SIMULATION</w:t>
      </w:r>
    </w:p>
    <w:p>
      <w:pPr>
        <w:jc w:val="center"/>
      </w:pPr>
      <w:r>
        <w:rPr>
          <w:rFonts w:ascii="Arial" w:hAnsi="Arial"/>
          <w:b/>
          <w:sz w:val="20"/>
        </w:rPr>
        <w:t>Name: A. Manoj Reddy</w:t>
        <w:br/>
        <w:t>Course: Ethical Hacking | Course Code: ITA14</w:t>
      </w:r>
    </w:p>
    <w:p>
      <w:r>
        <w:rPr>
          <w:rFonts w:ascii="Arial" w:hAnsi="Arial"/>
          <w:sz w:val="20"/>
        </w:rPr>
        <w:t>Important lab-report note: The commands and analysis below provide a complete worked method. No live tool output or screenshots were supplied with the question, so actual discovered addresses, campaign counts, and scan results are not invented. Run the commands in the authorized lab and paste the real output/screenshots into the marked evidence areas before submission.</w:t>
      </w:r>
    </w:p>
    <w:p>
      <w:pPr>
        <w:pStyle w:val="Heading1"/>
      </w:pPr>
      <w:r>
        <w:rPr>
          <w:rFonts w:ascii="Arial" w:hAnsi="Arial"/>
          <w:sz w:val="20"/>
        </w:rPr>
        <w:t>QUESTION 1 (20 Marks): OSINT Email Enumeration Using theHarvester</w:t>
      </w:r>
    </w:p>
    <w:p>
      <w:pPr>
        <w:pStyle w:val="Heading2"/>
      </w:pPr>
      <w:r>
        <w:rPr>
          <w:rFonts w:ascii="Arial" w:hAnsi="Arial"/>
          <w:sz w:val="20"/>
        </w:rPr>
        <w:t>1. Aim and scope</w:t>
      </w:r>
    </w:p>
    <w:p>
      <w:r>
        <w:rPr>
          <w:rFonts w:ascii="Arial" w:hAnsi="Arial"/>
          <w:sz w:val="20"/>
        </w:rPr>
        <w:t>The objective is to assess publicly exposed information associated with tesla.com, including email addresses, subdomains, hostnames, and IP addresses. This is passive reconnaissance: use only public sources and do not attempt to log in, send messages, exploit hosts, or access non-public systems. Follow the instructor's authorization and the source providers' terms.</w:t>
      </w:r>
    </w:p>
    <w:p>
      <w:pPr>
        <w:pStyle w:val="Heading2"/>
      </w:pPr>
      <w:r>
        <w:rPr>
          <w:rFonts w:ascii="Arial" w:hAnsi="Arial"/>
          <w:sz w:val="20"/>
        </w:rPr>
        <w:t>2. Tool and commands</w:t>
      </w:r>
    </w:p>
    <w:p>
      <w:r>
        <w:rPr>
          <w:rFonts w:ascii="Arial" w:hAnsi="Arial"/>
          <w:sz w:val="20"/>
        </w:rPr>
        <w:t>In Kali Linux, open a terminal and check the installed tool/version:</w:t>
      </w:r>
    </w:p>
    <w:p>
      <w:r>
        <w:rPr>
          <w:rFonts w:ascii="Arial" w:hAnsi="Arial"/>
          <w:sz w:val="20"/>
        </w:rPr>
        <w:t>theHarvester -h</w:t>
      </w:r>
    </w:p>
    <w:p>
      <w:r>
        <w:rPr>
          <w:rFonts w:ascii="Arial" w:hAnsi="Arial"/>
          <w:sz w:val="20"/>
        </w:rPr>
        <w:t>theHarvester -h</w:t>
      </w:r>
    </w:p>
    <w:p>
      <w:r>
        <w:rPr>
          <w:rFonts w:ascii="Arial" w:hAnsi="Arial"/>
          <w:sz w:val="20"/>
        </w:rPr>
        <w:t>Run a limited search using a supported public search source. Source names supported by the installed version may differ:</w:t>
      </w:r>
    </w:p>
    <w:p>
      <w:r>
        <w:rPr>
          <w:rFonts w:ascii="Arial" w:hAnsi="Arial"/>
          <w:sz w:val="20"/>
        </w:rPr>
        <w:t>theHarvester -d tesla.com -b crtsh -l 100</w:t>
      </w:r>
    </w:p>
    <w:p>
      <w:r>
        <w:rPr>
          <w:rFonts w:ascii="Arial" w:hAnsi="Arial"/>
          <w:sz w:val="20"/>
        </w:rPr>
        <w:t>theHarvester -d tesla.com -b bing -l 100</w:t>
      </w:r>
    </w:p>
    <w:p>
      <w:r>
        <w:rPr>
          <w:rFonts w:ascii="Arial" w:hAnsi="Arial"/>
          <w:sz w:val="20"/>
        </w:rPr>
        <w:t>If a source is unavailable in your installed version, use a source shown by `theHarvester -h`. Save the terminal output as evidence. Do not treat a failed or empty search as proof that no public information exists.</w:t>
      </w:r>
    </w:p>
    <w:p>
      <w:pPr>
        <w:pStyle w:val="Heading2"/>
      </w:pPr>
      <w:r>
        <w:rPr>
          <w:rFonts w:ascii="Arial" w:hAnsi="Arial"/>
          <w:sz w:val="20"/>
        </w:rPr>
        <w:t>3. Findings table (fill with actual tool output)</w:t>
      </w:r>
    </w:p>
    <w:tbl>
      <w:tblPr>
        <w:tblW w:type="auto" w:w="0"/>
        <w:tblLook w:firstColumn="1" w:firstRow="1" w:lastColumn="0" w:lastRow="0" w:noHBand="0" w:noVBand="1" w:val="04A0"/>
      </w:tblPr>
      <w:tblGrid>
        <w:gridCol w:w="3490"/>
        <w:gridCol w:w="3490"/>
        <w:gridCol w:w="3490"/>
      </w:tblGrid>
      <w:tr>
        <w:tc>
          <w:tcPr>
            <w:tcW w:type="dxa" w:w="3490"/>
          </w:tcPr>
          <w:p>
            <w:r>
              <w:t>Data type</w:t>
            </w:r>
          </w:p>
        </w:tc>
        <w:tc>
          <w:tcPr>
            <w:tcW w:type="dxa" w:w="3490"/>
          </w:tcPr>
          <w:p>
            <w:r>
              <w:t>What to record</w:t>
            </w:r>
          </w:p>
        </w:tc>
        <w:tc>
          <w:tcPr>
            <w:tcW w:type="dxa" w:w="3490"/>
          </w:tcPr>
          <w:p>
            <w:r>
              <w:t>Evidence / actual result</w:t>
            </w:r>
          </w:p>
        </w:tc>
      </w:tr>
      <w:tr>
        <w:tc>
          <w:tcPr>
            <w:tcW w:type="dxa" w:w="3490"/>
          </w:tcPr>
          <w:p>
            <w:r>
              <w:t>Email addresses</w:t>
            </w:r>
          </w:p>
        </w:tc>
        <w:tc>
          <w:tcPr>
            <w:tcW w:type="dxa" w:w="3490"/>
          </w:tcPr>
          <w:p>
            <w:r>
              <w:t>Unique public email addresses returned by the tool</w:t>
            </w:r>
          </w:p>
        </w:tc>
        <w:tc>
          <w:tcPr>
            <w:tcW w:type="dxa" w:w="3490"/>
          </w:tcPr>
          <w:p>
            <w:r>
              <w:t>Paste exact results; deduplicate</w:t>
            </w:r>
          </w:p>
        </w:tc>
      </w:tr>
      <w:tr>
        <w:tc>
          <w:tcPr>
            <w:tcW w:type="dxa" w:w="3490"/>
          </w:tcPr>
          <w:p>
            <w:r>
              <w:t>Subdomains / hosts</w:t>
            </w:r>
          </w:p>
        </w:tc>
        <w:tc>
          <w:tcPr>
            <w:tcW w:type="dxa" w:w="3490"/>
          </w:tcPr>
          <w:p>
            <w:r>
              <w:t>Hostnames discovered; note source</w:t>
            </w:r>
          </w:p>
        </w:tc>
        <w:tc>
          <w:tcPr>
            <w:tcW w:type="dxa" w:w="3490"/>
          </w:tcPr>
          <w:p>
            <w:r>
              <w:t>Paste exact results</w:t>
            </w:r>
          </w:p>
        </w:tc>
      </w:tr>
      <w:tr>
        <w:tc>
          <w:tcPr>
            <w:tcW w:type="dxa" w:w="3490"/>
          </w:tcPr>
          <w:p>
            <w:r>
              <w:t>IP addresses</w:t>
            </w:r>
          </w:p>
        </w:tc>
        <w:tc>
          <w:tcPr>
            <w:tcW w:type="dxa" w:w="3490"/>
          </w:tcPr>
          <w:p>
            <w:r>
              <w:t>IP addresses associated with discovered hosts</w:t>
            </w:r>
          </w:p>
        </w:tc>
        <w:tc>
          <w:tcPr>
            <w:tcW w:type="dxa" w:w="3490"/>
          </w:tcPr>
          <w:p>
            <w:r>
              <w:t>Paste exact results and source</w:t>
            </w:r>
          </w:p>
        </w:tc>
      </w:tr>
      <w:tr>
        <w:tc>
          <w:tcPr>
            <w:tcW w:type="dxa" w:w="3490"/>
          </w:tcPr>
          <w:p>
            <w:r>
              <w:t>Limitations</w:t>
            </w:r>
          </w:p>
        </w:tc>
        <w:tc>
          <w:tcPr>
            <w:tcW w:type="dxa" w:w="3490"/>
          </w:tcPr>
          <w:p>
            <w:r>
              <w:t>Blocked sources, rate limits, incomplete coverage, false positives</w:t>
            </w:r>
          </w:p>
        </w:tc>
        <w:tc>
          <w:tcPr>
            <w:tcW w:type="dxa" w:w="3490"/>
          </w:tcPr>
          <w:p>
            <w:r>
              <w:t>Record what occurred</w:t>
            </w:r>
          </w:p>
        </w:tc>
      </w:tr>
    </w:tbl>
    <w:p>
      <w:pPr>
        <w:pStyle w:val="Heading2"/>
      </w:pPr>
      <w:r>
        <w:rPr>
          <w:rFonts w:ascii="Arial" w:hAnsi="Arial"/>
          <w:sz w:val="20"/>
        </w:rPr>
        <w:t>4. Role categorization</w:t>
      </w:r>
    </w:p>
    <w:p>
      <w:r>
        <w:rPr>
          <w:rFonts w:ascii="Arial" w:hAnsi="Arial"/>
          <w:sz w:val="20"/>
        </w:rPr>
        <w:t>Classify addresses only when the address pattern or public context supports the classification. Do not infer a person's role from a name alone.</w:t>
      </w:r>
    </w:p>
    <w:tbl>
      <w:tblPr>
        <w:tblW w:type="auto" w:w="0"/>
        <w:tblLook w:firstColumn="1" w:firstRow="1" w:lastColumn="0" w:lastRow="0" w:noHBand="0" w:noVBand="1" w:val="04A0"/>
      </w:tblPr>
      <w:tblGrid>
        <w:gridCol w:w="3490"/>
        <w:gridCol w:w="3490"/>
        <w:gridCol w:w="3490"/>
      </w:tblGrid>
      <w:tr>
        <w:tc>
          <w:tcPr>
            <w:tcW w:type="dxa" w:w="3490"/>
          </w:tcPr>
          <w:p>
            <w:r>
              <w:t>Likely role</w:t>
            </w:r>
          </w:p>
        </w:tc>
        <w:tc>
          <w:tcPr>
            <w:tcW w:type="dxa" w:w="3490"/>
          </w:tcPr>
          <w:p>
            <w:r>
              <w:t>Possible indicators (examples only)</w:t>
            </w:r>
          </w:p>
        </w:tc>
        <w:tc>
          <w:tcPr>
            <w:tcW w:type="dxa" w:w="3490"/>
          </w:tcPr>
          <w:p>
            <w:r>
              <w:t>Security significance</w:t>
            </w:r>
          </w:p>
        </w:tc>
      </w:tr>
      <w:tr>
        <w:tc>
          <w:tcPr>
            <w:tcW w:type="dxa" w:w="3490"/>
          </w:tcPr>
          <w:p>
            <w:r>
              <w:t>Support</w:t>
            </w:r>
          </w:p>
        </w:tc>
        <w:tc>
          <w:tcPr>
            <w:tcW w:type="dxa" w:w="3490"/>
          </w:tcPr>
          <w:p>
            <w:r>
              <w:t>support@…, help@…, service@…</w:t>
            </w:r>
          </w:p>
        </w:tc>
        <w:tc>
          <w:tcPr>
            <w:tcW w:type="dxa" w:w="3490"/>
          </w:tcPr>
          <w:p>
            <w:r>
              <w:t>Could make a fake support ticket or account problem seem plausible.</w:t>
            </w:r>
          </w:p>
        </w:tc>
      </w:tr>
      <w:tr>
        <w:tc>
          <w:tcPr>
            <w:tcW w:type="dxa" w:w="3490"/>
          </w:tcPr>
          <w:p>
            <w:r>
              <w:t>Sales</w:t>
            </w:r>
          </w:p>
        </w:tc>
        <w:tc>
          <w:tcPr>
            <w:tcW w:type="dxa" w:w="3490"/>
          </w:tcPr>
          <w:p>
            <w:r>
              <w:t>sales@…, business@…, partnerships@…</w:t>
            </w:r>
          </w:p>
        </w:tc>
        <w:tc>
          <w:tcPr>
            <w:tcW w:type="dxa" w:w="3490"/>
          </w:tcPr>
          <w:p>
            <w:r>
              <w:t>Could support fake quote, invoice, or partner messages.</w:t>
            </w:r>
          </w:p>
        </w:tc>
      </w:tr>
      <w:tr>
        <w:tc>
          <w:tcPr>
            <w:tcW w:type="dxa" w:w="3490"/>
          </w:tcPr>
          <w:p>
            <w:r>
              <w:t>Human Resources</w:t>
            </w:r>
          </w:p>
        </w:tc>
        <w:tc>
          <w:tcPr>
            <w:tcW w:type="dxa" w:w="3490"/>
          </w:tcPr>
          <w:p>
            <w:r>
              <w:t>careers@…, recruiting@…, jobs@…</w:t>
            </w:r>
          </w:p>
        </w:tc>
        <w:tc>
          <w:tcPr>
            <w:tcW w:type="dxa" w:w="3490"/>
          </w:tcPr>
          <w:p>
            <w:r>
              <w:t>Could be abused in fake recruitment or applicant-document lures.</w:t>
            </w:r>
          </w:p>
        </w:tc>
      </w:tr>
      <w:tr>
        <w:tc>
          <w:tcPr>
            <w:tcW w:type="dxa" w:w="3490"/>
          </w:tcPr>
          <w:p>
            <w:r>
              <w:t>Administration</w:t>
            </w:r>
          </w:p>
        </w:tc>
        <w:tc>
          <w:tcPr>
            <w:tcW w:type="dxa" w:w="3490"/>
          </w:tcPr>
          <w:p>
            <w:r>
              <w:t>admin@…, office@…, facilities@…</w:t>
            </w:r>
          </w:p>
        </w:tc>
        <w:tc>
          <w:tcPr>
            <w:tcW w:type="dxa" w:w="3490"/>
          </w:tcPr>
          <w:p>
            <w:r>
              <w:t>Could be used to impersonate routine internal administration.</w:t>
            </w:r>
          </w:p>
        </w:tc>
      </w:tr>
      <w:tr>
        <w:tc>
          <w:tcPr>
            <w:tcW w:type="dxa" w:w="3490"/>
          </w:tcPr>
          <w:p>
            <w:r>
              <w:t>Technical teams</w:t>
            </w:r>
          </w:p>
        </w:tc>
        <w:tc>
          <w:tcPr>
            <w:tcW w:type="dxa" w:w="3490"/>
          </w:tcPr>
          <w:p>
            <w:r>
              <w:t>security@…, it@…, devops@…, postmaster@…</w:t>
            </w:r>
          </w:p>
        </w:tc>
        <w:tc>
          <w:tcPr>
            <w:tcW w:type="dxa" w:w="3490"/>
          </w:tcPr>
          <w:p>
            <w:r>
              <w:t>May reveal technical workflows or provide targets for IT-themed lures.</w:t>
            </w:r>
          </w:p>
        </w:tc>
      </w:tr>
    </w:tbl>
    <w:p>
      <w:r>
        <w:rPr>
          <w:rFonts w:ascii="Arial" w:hAnsi="Arial"/>
          <w:sz w:val="20"/>
        </w:rPr>
        <w:t>These are examples of naming patterns, not claims that such addresses exist at tesla.com. Put each discovered address in a category only when evidence supports it; otherwise label it “unknown / unverified.”</w:t>
      </w:r>
    </w:p>
    <w:p>
      <w:pPr>
        <w:pStyle w:val="Heading2"/>
      </w:pPr>
      <w:r>
        <w:rPr>
          <w:rFonts w:ascii="Arial" w:hAnsi="Arial"/>
          <w:sz w:val="20"/>
        </w:rPr>
        <w:t>5. Reconnaissance and risk analysis</w:t>
      </w:r>
    </w:p>
    <w:p>
      <w:r>
        <w:rPr>
          <w:rFonts w:ascii="Arial" w:hAnsi="Arial"/>
          <w:sz w:val="20"/>
        </w:rPr>
        <w:t>Public email and infrastructure data can help an attacker map likely departments, identify externally visible services, and tailor messages to the organization's terminology. A hostname can expose a service name or environment, while public employee or role information may make a message appear relevant. These data points do not by themselves prove a vulnerability.</w:t>
      </w:r>
    </w:p>
    <w:p>
      <w:r>
        <w:rPr>
          <w:rFonts w:ascii="Arial" w:hAnsi="Arial"/>
          <w:sz w:val="20"/>
        </w:rPr>
        <w:t>Spear-phishing risk: an attacker could tailor a deceptive message to a department or publicly visible business process.</w:t>
      </w:r>
    </w:p>
    <w:p>
      <w:r>
        <w:rPr>
          <w:rFonts w:ascii="Arial" w:hAnsi="Arial"/>
          <w:sz w:val="20"/>
        </w:rPr>
        <w:t>• Spear-phishing risk: an attacker could tailor a deceptive message to a department or public business process.</w:t>
      </w:r>
    </w:p>
    <w:p>
      <w:r>
        <w:rPr>
          <w:rFonts w:ascii="Arial" w:hAnsi="Arial"/>
          <w:sz w:val="20"/>
        </w:rPr>
        <w:t>• Credential-harvesting risk: a deceptive message might direct a recipient to a look-alike sign-in page. Describe the risk without collecting real credentials.</w:t>
      </w:r>
    </w:p>
    <w:p>
      <w:r>
        <w:rPr>
          <w:rFonts w:ascii="Arial" w:hAnsi="Arial"/>
          <w:sz w:val="20"/>
        </w:rPr>
        <w:t>• Impersonation risk: public role names and contact patterns may be copied to make a fraudulent sender or request seem legitimate.</w:t>
      </w:r>
    </w:p>
    <w:p>
      <w:r>
        <w:rPr>
          <w:rFonts w:ascii="Arial" w:hAnsi="Arial"/>
          <w:sz w:val="20"/>
        </w:rPr>
        <w:t>• Business impact: account compromise, confidential-data exposure, fraudulent payments, malware infection, disruption, and reputational damage.</w:t>
      </w:r>
    </w:p>
    <w:p>
      <w:r>
        <w:rPr>
          <w:rFonts w:ascii="Arial" w:hAnsi="Arial"/>
          <w:sz w:val="20"/>
        </w:rPr>
        <w:t>Risk rating: Medium to High if public information is easily correlated with internal workflows and staff lack strong verification controls. Adjust the rating using verified findings, exposure, likelihood, and business impact—not email counts alone.</w:t>
      </w:r>
    </w:p>
    <w:p>
      <w:pPr>
        <w:pStyle w:val="Heading2"/>
      </w:pPr>
      <w:r>
        <w:rPr>
          <w:rFonts w:ascii="Arial" w:hAnsi="Arial"/>
          <w:sz w:val="20"/>
        </w:rPr>
        <w:t>6. Countermeasures</w:t>
      </w:r>
    </w:p>
    <w:p>
      <w:r>
        <w:rPr>
          <w:rFonts w:ascii="Arial" w:hAnsi="Arial"/>
          <w:sz w:val="20"/>
        </w:rPr>
        <w:t>Reduce unnecessary publication of direct employee email addresses; prefer role-based contact channels where practical.</w:t>
      </w:r>
    </w:p>
    <w:p>
      <w:r>
        <w:rPr>
          <w:rFonts w:ascii="Arial" w:hAnsi="Arial"/>
          <w:sz w:val="20"/>
        </w:rPr>
        <w:t>Deploy and monitor SPF, DKIM, and DMARC with an appropriate enforcement policy.</w:t>
      </w:r>
    </w:p>
    <w:p>
      <w:r>
        <w:rPr>
          <w:rFonts w:ascii="Arial" w:hAnsi="Arial"/>
          <w:sz w:val="20"/>
        </w:rPr>
        <w:t>Require phishing-resistant multifactor authentication for important accounts, especially administrators.</w:t>
      </w:r>
    </w:p>
    <w:p>
      <w:r>
        <w:rPr>
          <w:rFonts w:ascii="Arial" w:hAnsi="Arial"/>
          <w:sz w:val="20"/>
        </w:rPr>
        <w:t>Train staff to verify unusual requests through a separate trusted channel.</w:t>
      </w:r>
    </w:p>
    <w:p>
      <w:r>
        <w:rPr>
          <w:rFonts w:ascii="Arial" w:hAnsi="Arial"/>
          <w:sz w:val="20"/>
        </w:rPr>
        <w:t>Use secure email filtering, URL and attachment analysis, and external-sender warnings.</w:t>
      </w:r>
    </w:p>
    <w:p>
      <w:r>
        <w:rPr>
          <w:rFonts w:ascii="Arial" w:hAnsi="Arial"/>
          <w:sz w:val="20"/>
        </w:rPr>
        <w:t>Maintain a reporting route for suspicious emails and measure response time.</w:t>
      </w:r>
    </w:p>
    <w:p>
      <w:r>
        <w:rPr>
          <w:rFonts w:ascii="Arial" w:hAnsi="Arial"/>
          <w:sz w:val="20"/>
        </w:rPr>
        <w:t>Monitor look-alike domains and impersonation attempts.</w:t>
      </w:r>
    </w:p>
    <w:p>
      <w:r>
        <w:rPr>
          <w:rFonts w:ascii="Arial" w:hAnsi="Arial"/>
          <w:sz w:val="20"/>
        </w:rPr>
        <w:t>Limit exposed service banners and unnecessary DNS records where feasible; patch public-facing systems.</w:t>
      </w:r>
    </w:p>
    <w:p>
      <w:r>
        <w:rPr>
          <w:rFonts w:ascii="Arial" w:hAnsi="Arial"/>
          <w:sz w:val="20"/>
        </w:rPr>
        <w:t>Apply least privilege and separate administrative accounts from everyday accounts.</w:t>
      </w:r>
    </w:p>
    <w:p>
      <w:pPr>
        <w:pStyle w:val="Heading2"/>
      </w:pPr>
      <w:r>
        <w:rPr>
          <w:rFonts w:ascii="Arial" w:hAnsi="Arial"/>
          <w:sz w:val="20"/>
        </w:rPr>
        <w:t>7. Evidence to attach</w:t>
      </w:r>
    </w:p>
    <w:p>
      <w:r>
        <w:rPr>
          <w:rFonts w:ascii="Arial" w:hAnsi="Arial"/>
          <w:sz w:val="20"/>
        </w:rPr>
        <w:t>Insert screenshots of theHarvester help/version, executed commands, actual output, and findings table. Redact unnecessary sensitive data. Do not create screenshots that imply commands were run when they were not.</w:t>
      </w:r>
    </w:p>
    <w:p>
      <w:r>
        <w:rPr>
          <w:rFonts w:ascii="Arial" w:hAnsi="Arial"/>
          <w:sz w:val="20"/>
        </w:rPr>
        <w:br w:type="page"/>
      </w:r>
    </w:p>
    <w:p>
      <w:pPr>
        <w:pStyle w:val="Heading1"/>
      </w:pPr>
      <w:r>
        <w:rPr>
          <w:rFonts w:ascii="Arial" w:hAnsi="Arial"/>
          <w:sz w:val="20"/>
        </w:rPr>
        <w:t>QUESTION 2 (20 Marks): Phishing Awareness Simulation Using GoPhish</w:t>
      </w:r>
    </w:p>
    <w:p>
      <w:pPr>
        <w:pStyle w:val="Heading2"/>
      </w:pPr>
      <w:r>
        <w:rPr>
          <w:rFonts w:ascii="Arial" w:hAnsi="Arial"/>
          <w:sz w:val="20"/>
        </w:rPr>
        <w:t>1. Objective and safety controls</w:t>
      </w:r>
    </w:p>
    <w:p>
      <w:r>
        <w:rPr>
          <w:rFonts w:ascii="Arial" w:hAnsi="Arial"/>
          <w:sz w:val="20"/>
        </w:rPr>
        <w:t>Conduct this exercise only with instructor-approved dummy accounts and a lab mail server. Obtain authorization, use a harmless training landing page, and do not collect real passwords, MFA codes, or personal data.</w:t>
      </w:r>
    </w:p>
    <w:p>
      <w:pPr>
        <w:pStyle w:val="Heading2"/>
      </w:pPr>
      <w:r>
        <w:rPr>
          <w:rFonts w:ascii="Arial" w:hAnsi="Arial"/>
          <w:sz w:val="20"/>
        </w:rPr>
        <w:t>2. Procedure</w:t>
      </w:r>
    </w:p>
    <w:p>
      <w:r>
        <w:rPr>
          <w:rFonts w:ascii="Arial" w:hAnsi="Arial"/>
          <w:sz w:val="20"/>
        </w:rPr>
        <w:t>Start GoPhish and verify the lab sending profile with an approved dummy mailbox.</w:t>
      </w:r>
    </w:p>
    <w:p>
      <w:r>
        <w:rPr>
          <w:rFonts w:ascii="Arial" w:hAnsi="Arial"/>
          <w:sz w:val="20"/>
        </w:rPr>
        <w:t>Create a recipient group containing only the dummy employee accounts supplied for the lab.</w:t>
      </w:r>
    </w:p>
    <w:p>
      <w:r>
        <w:rPr>
          <w:rFonts w:ascii="Arial" w:hAnsi="Arial"/>
          <w:sz w:val="20"/>
        </w:rPr>
        <w:t>Create a training email template and use a lab-only link; do not imitate a real organization's login page.</w:t>
      </w:r>
    </w:p>
    <w:p>
      <w:r>
        <w:rPr>
          <w:rFonts w:ascii="Arial" w:hAnsi="Arial"/>
          <w:sz w:val="20"/>
        </w:rPr>
        <w:t>Create a landing page that explains the exercise after the user clicks and does not request credentials.</w:t>
      </w:r>
    </w:p>
    <w:p>
      <w:r>
        <w:rPr>
          <w:rFonts w:ascii="Arial" w:hAnsi="Arial"/>
          <w:sz w:val="20"/>
        </w:rPr>
        <w:t>Create the campaign using the approved group, template, landing page, and sending profile. Launch only after instructor approval.</w:t>
      </w:r>
    </w:p>
    <w:p>
      <w:r>
        <w:rPr>
          <w:rFonts w:ascii="Arial" w:hAnsi="Arial"/>
          <w:sz w:val="20"/>
        </w:rPr>
        <w:t>Monitor campaign events and export the report, recording actual delivery, opens, and clicks.</w:t>
      </w:r>
    </w:p>
    <w:p>
      <w:r>
        <w:rPr>
          <w:rFonts w:ascii="Arial" w:hAnsi="Arial"/>
          <w:sz w:val="20"/>
        </w:rPr>
        <w:t>End the campaign and handle test data according to lab policy.</w:t>
      </w:r>
    </w:p>
    <w:p>
      <w:pPr>
        <w:pStyle w:val="Heading2"/>
      </w:pPr>
      <w:r>
        <w:rPr>
          <w:rFonts w:ascii="Arial" w:hAnsi="Arial"/>
          <w:sz w:val="20"/>
        </w:rPr>
        <w:t>3. Safe email template</w:t>
      </w:r>
    </w:p>
    <w:p>
      <w:r>
        <w:rPr>
          <w:rFonts w:ascii="Arial" w:hAnsi="Arial"/>
          <w:sz w:val="20"/>
        </w:rPr>
        <w:t>Subject: Security awareness exercise – sample notice</w:t>
      </w:r>
    </w:p>
    <w:p>
      <w:r>
        <w:rPr>
          <w:rFonts w:ascii="Arial" w:hAnsi="Arial"/>
          <w:sz w:val="20"/>
        </w:rPr>
        <w:t>Hello,</w:t>
      </w:r>
    </w:p>
    <w:p>
      <w:r>
        <w:rPr>
          <w:rFonts w:ascii="Arial" w:hAnsi="Arial"/>
          <w:sz w:val="20"/>
        </w:rPr>
        <w:t>You have received a simulated security-awareness message as part of an authorized lab exercise. Review links only within the training environment. Never enter a real password or MFA code into an email link. For unexpected messages, verify them through the normal reporting channel.</w:t>
      </w:r>
    </w:p>
    <w:p>
      <w:r>
        <w:rPr>
          <w:rFonts w:ascii="Arial" w:hAnsi="Arial"/>
          <w:sz w:val="20"/>
        </w:rPr>
        <w:t>Thank you,</w:t>
        <w:br/>
        <w:t>Security Awareness Team (Lab Simulation)</w:t>
      </w:r>
    </w:p>
    <w:p>
      <w:pPr>
        <w:pStyle w:val="Heading2"/>
      </w:pPr>
      <w:r>
        <w:rPr>
          <w:rFonts w:ascii="Arial" w:hAnsi="Arial"/>
          <w:sz w:val="20"/>
        </w:rPr>
        <w:t>4. Metrics and formulas</w:t>
      </w:r>
    </w:p>
    <w:p>
      <w:r>
        <w:rPr>
          <w:rFonts w:ascii="Arial" w:hAnsi="Arial"/>
          <w:sz w:val="20"/>
        </w:rPr>
        <w:t>Use actual campaign counts and define denominators consistently:</w:t>
      </w:r>
    </w:p>
    <w:p>
      <w:r>
        <w:rPr>
          <w:rFonts w:ascii="Arial" w:hAnsi="Arial"/>
          <w:sz w:val="20"/>
        </w:rPr>
        <w:t>• Delivery rate (%) = delivered messages ÷ messages sent × 100.</w:t>
      </w:r>
    </w:p>
    <w:p>
      <w:r>
        <w:rPr>
          <w:rFonts w:ascii="Arial" w:hAnsi="Arial"/>
          <w:sz w:val="20"/>
        </w:rPr>
        <w:t>• Open rate (%) = unique recipients who opened ÷ delivered messages × 100.</w:t>
      </w:r>
    </w:p>
    <w:p>
      <w:r>
        <w:rPr>
          <w:rFonts w:ascii="Arial" w:hAnsi="Arial"/>
          <w:sz w:val="20"/>
        </w:rPr>
        <w:t>• Click rate (%) = unique recipients who clicked ÷ delivered messages × 100.</w:t>
      </w:r>
    </w:p>
    <w:p>
      <w:r>
        <w:rPr>
          <w:rFonts w:ascii="Arial" w:hAnsi="Arial"/>
          <w:sz w:val="20"/>
        </w:rPr>
        <w:t>Illustrative calculation only—not actual results: 20 sent, 18 delivered, 9 unique opens, 4 unique clicks gives 90% delivery, 50% open rate, and 22.2% click rate. Replace these figures with your GoPhish report.</w:t>
      </w:r>
    </w:p>
    <w:tbl>
      <w:tblPr>
        <w:tblW w:type="auto" w:w="0"/>
        <w:tblLook w:firstColumn="1" w:firstRow="1" w:lastColumn="0" w:lastRow="0" w:noHBand="0" w:noVBand="1" w:val="04A0"/>
      </w:tblPr>
      <w:tblGrid>
        <w:gridCol w:w="3490"/>
        <w:gridCol w:w="3490"/>
        <w:gridCol w:w="3490"/>
      </w:tblGrid>
      <w:tr>
        <w:tc>
          <w:tcPr>
            <w:tcW w:type="dxa" w:w="3490"/>
          </w:tcPr>
          <w:p>
            <w:r>
              <w:t>Metric</w:t>
            </w:r>
          </w:p>
        </w:tc>
        <w:tc>
          <w:tcPr>
            <w:tcW w:type="dxa" w:w="3490"/>
          </w:tcPr>
          <w:p>
            <w:r>
              <w:t>Actual count</w:t>
            </w:r>
          </w:p>
        </w:tc>
        <w:tc>
          <w:tcPr>
            <w:tcW w:type="dxa" w:w="3490"/>
          </w:tcPr>
          <w:p>
            <w:r>
              <w:t>Rate</w:t>
            </w:r>
          </w:p>
        </w:tc>
      </w:tr>
      <w:tr>
        <w:tc>
          <w:tcPr>
            <w:tcW w:type="dxa" w:w="3490"/>
          </w:tcPr>
          <w:p>
            <w:r>
              <w:t>Sent</w:t>
            </w:r>
          </w:p>
        </w:tc>
        <w:tc>
          <w:tcPr>
            <w:tcW w:type="dxa" w:w="3490"/>
          </w:tcPr>
          <w:p>
            <w:r>
              <w:t>____</w:t>
            </w:r>
          </w:p>
        </w:tc>
        <w:tc>
          <w:tcPr>
            <w:tcW w:type="dxa" w:w="3490"/>
          </w:tcPr>
          <w:p>
            <w:r>
              <w:t>—</w:t>
            </w:r>
          </w:p>
        </w:tc>
      </w:tr>
      <w:tr>
        <w:tc>
          <w:tcPr>
            <w:tcW w:type="dxa" w:w="3490"/>
          </w:tcPr>
          <w:p>
            <w:r>
              <w:t>Delivered</w:t>
            </w:r>
          </w:p>
        </w:tc>
        <w:tc>
          <w:tcPr>
            <w:tcW w:type="dxa" w:w="3490"/>
          </w:tcPr>
          <w:p>
            <w:r>
              <w:t>____</w:t>
            </w:r>
          </w:p>
        </w:tc>
        <w:tc>
          <w:tcPr>
            <w:tcW w:type="dxa" w:w="3490"/>
          </w:tcPr>
          <w:p>
            <w:r>
              <w:t>____ %</w:t>
            </w:r>
          </w:p>
        </w:tc>
      </w:tr>
      <w:tr>
        <w:tc>
          <w:tcPr>
            <w:tcW w:type="dxa" w:w="3490"/>
          </w:tcPr>
          <w:p>
            <w:r>
              <w:t>Unique opens</w:t>
            </w:r>
          </w:p>
        </w:tc>
        <w:tc>
          <w:tcPr>
            <w:tcW w:type="dxa" w:w="3490"/>
          </w:tcPr>
          <w:p>
            <w:r>
              <w:t>____</w:t>
            </w:r>
          </w:p>
        </w:tc>
        <w:tc>
          <w:tcPr>
            <w:tcW w:type="dxa" w:w="3490"/>
          </w:tcPr>
          <w:p>
            <w:r>
              <w:t>____ %</w:t>
            </w:r>
          </w:p>
        </w:tc>
      </w:tr>
      <w:tr>
        <w:tc>
          <w:tcPr>
            <w:tcW w:type="dxa" w:w="3490"/>
          </w:tcPr>
          <w:p>
            <w:r>
              <w:t>Unique clicks</w:t>
            </w:r>
          </w:p>
        </w:tc>
        <w:tc>
          <w:tcPr>
            <w:tcW w:type="dxa" w:w="3490"/>
          </w:tcPr>
          <w:p>
            <w:r>
              <w:t>____</w:t>
            </w:r>
          </w:p>
        </w:tc>
        <w:tc>
          <w:tcPr>
            <w:tcW w:type="dxa" w:w="3490"/>
          </w:tcPr>
          <w:p>
            <w:r>
              <w:t>____ %</w:t>
            </w:r>
          </w:p>
        </w:tc>
      </w:tr>
    </w:tbl>
    <w:p>
      <w:pPr>
        <w:pStyle w:val="Heading2"/>
      </w:pPr>
      <w:r>
        <w:rPr>
          <w:rFonts w:ascii="Arial" w:hAnsi="Arial"/>
          <w:sz w:val="20"/>
        </w:rPr>
        <w:t>5. Interpretation and recommendations</w:t>
      </w:r>
    </w:p>
    <w:p>
      <w:r>
        <w:rPr>
          <w:rFonts w:ascii="Arial" w:hAnsi="Arial"/>
          <w:sz w:val="20"/>
        </w:rPr>
        <w:t>A high click rate may indicate that the message was persuasive or that recipients need more practice. A low open rate alone does not prove strong awareness because messages may be filtered or ignored. Interpret metrics with campaign context and user reports; do not shame participants.</w:t>
      </w:r>
    </w:p>
    <w:p>
      <w:r>
        <w:rPr>
          <w:rFonts w:ascii="Arial" w:hAnsi="Arial"/>
          <w:sz w:val="20"/>
        </w:rPr>
        <w:t>Provide recurring training on sender verification, unexpected links, urgency, attachments, and credential/MFA requests.</w:t>
      </w:r>
    </w:p>
    <w:p>
      <w:r>
        <w:rPr>
          <w:rFonts w:ascii="Arial" w:hAnsi="Arial"/>
          <w:sz w:val="20"/>
        </w:rPr>
        <w:t>Teach users to inspect domains and navigate to known services directly.</w:t>
      </w:r>
    </w:p>
    <w:p>
      <w:r>
        <w:rPr>
          <w:rFonts w:ascii="Arial" w:hAnsi="Arial"/>
          <w:sz w:val="20"/>
        </w:rPr>
        <w:t>Provide an easy phishing-report mechanism and acknowledge reports quickly.</w:t>
      </w:r>
    </w:p>
    <w:p>
      <w:r>
        <w:rPr>
          <w:rFonts w:ascii="Arial" w:hAnsi="Arial"/>
          <w:sz w:val="20"/>
        </w:rPr>
        <w:t>Repeat ethical simulations and compare aggregate trends over time.</w:t>
      </w:r>
    </w:p>
    <w:p>
      <w:r>
        <w:rPr>
          <w:rFonts w:ascii="Arial" w:hAnsi="Arial"/>
          <w:sz w:val="20"/>
        </w:rPr>
        <w:t>Protect participant privacy and use results for coaching rather than punishment.</w:t>
      </w:r>
    </w:p>
    <w:p>
      <w:r>
        <w:rPr>
          <w:rFonts w:ascii="Arial" w:hAnsi="Arial"/>
          <w:sz w:val="20"/>
        </w:rPr>
        <w:t>Improve email authentication/filtering and maintain a response playbook.</w:t>
      </w:r>
    </w:p>
    <w:p>
      <w:pPr>
        <w:pStyle w:val="Heading2"/>
      </w:pPr>
      <w:r>
        <w:rPr>
          <w:rFonts w:ascii="Arial" w:hAnsi="Arial"/>
          <w:sz w:val="20"/>
        </w:rPr>
        <w:t>6. Evidence to attach</w:t>
      </w:r>
    </w:p>
    <w:p>
      <w:r>
        <w:rPr>
          <w:rFonts w:ascii="Arial" w:hAnsi="Arial"/>
          <w:sz w:val="20"/>
        </w:rPr>
        <w:t>Insert screenshots of the dummy recipient group, template, approved campaign configuration, event dashboard, and exported aggregate report. Label all metrics as actual or illustrative.</w:t>
      </w:r>
    </w:p>
    <w:p>
      <w:r>
        <w:rPr>
          <w:rFonts w:ascii="Arial" w:hAnsi="Arial"/>
          <w:sz w:val="20"/>
        </w:rPr>
        <w:br w:type="page"/>
      </w:r>
    </w:p>
    <w:p>
      <w:pPr>
        <w:pStyle w:val="Heading1"/>
      </w:pPr>
      <w:r>
        <w:rPr>
          <w:rFonts w:ascii="Arial" w:hAnsi="Arial"/>
          <w:sz w:val="20"/>
        </w:rPr>
        <w:t>QUESTION 3 (10 Marks): Nmap Aggressive Scan of scanme.nmap.org</w:t>
      </w:r>
    </w:p>
    <w:p>
      <w:pPr>
        <w:pStyle w:val="Heading2"/>
      </w:pPr>
      <w:r>
        <w:rPr>
          <w:rFonts w:ascii="Arial" w:hAnsi="Arial"/>
          <w:sz w:val="20"/>
        </w:rPr>
        <w:t>1. Objective and authorization</w:t>
      </w:r>
    </w:p>
    <w:p>
      <w:r>
        <w:rPr>
          <w:rFonts w:ascii="Arial" w:hAnsi="Arial"/>
          <w:sz w:val="20"/>
        </w:rPr>
        <w:t>Identify publicly visible ports, service versions, and possible OS clues on scanme.nmap.org. Follow the site's published scan rules and instructor scope. Do not perform denial-of-service, exploitation, password attacks, or scans against unrelated targets.</w:t>
      </w:r>
    </w:p>
    <w:p>
      <w:pPr>
        <w:pStyle w:val="Heading2"/>
      </w:pPr>
      <w:r>
        <w:rPr>
          <w:rFonts w:ascii="Arial" w:hAnsi="Arial"/>
          <w:sz w:val="20"/>
        </w:rPr>
        <w:t>2. Commands</w:t>
      </w:r>
    </w:p>
    <w:p>
      <w:r>
        <w:rPr>
          <w:rFonts w:ascii="Arial" w:hAnsi="Arial"/>
          <w:sz w:val="20"/>
        </w:rPr>
        <w:t>nmap -A -T3 --reason scanme.nmap.org</w:t>
      </w:r>
    </w:p>
    <w:p>
      <w:r>
        <w:rPr>
          <w:rFonts w:ascii="Arial" w:hAnsi="Arial"/>
          <w:sz w:val="20"/>
        </w:rPr>
        <w:t>The -A option enables OS detection, version detection, default scripts, and traceroute. Save a text report:</w:t>
      </w:r>
    </w:p>
    <w:p>
      <w:r>
        <w:rPr>
          <w:rFonts w:ascii="Arial" w:hAnsi="Arial"/>
          <w:sz w:val="20"/>
        </w:rPr>
        <w:t>nmap -A -T3 --reason -oN scanme-nmap-report.txt scanme.nmap.org</w:t>
      </w:r>
    </w:p>
    <w:p>
      <w:r>
        <w:rPr>
          <w:rFonts w:ascii="Arial" w:hAnsi="Arial"/>
          <w:sz w:val="20"/>
        </w:rPr>
        <w:t>Results can change over time and depend on network path, privileges, and filtering. Fill the table from your own scan; no live port or version is invented here.</w:t>
      </w:r>
    </w:p>
    <w:tbl>
      <w:tblPr>
        <w:tblW w:type="auto" w:w="0"/>
        <w:tblLook w:firstColumn="1" w:firstRow="1" w:lastColumn="0" w:lastRow="0" w:noHBand="0" w:noVBand="1" w:val="04A0"/>
      </w:tblPr>
      <w:tblGrid>
        <w:gridCol w:w="2617"/>
        <w:gridCol w:w="2617"/>
        <w:gridCol w:w="2617"/>
        <w:gridCol w:w="2617"/>
      </w:tblGrid>
      <w:tr>
        <w:tc>
          <w:tcPr>
            <w:tcW w:type="dxa" w:w="2617"/>
          </w:tcPr>
          <w:p>
            <w:r>
              <w:t>Port / protocol</w:t>
            </w:r>
          </w:p>
        </w:tc>
        <w:tc>
          <w:tcPr>
            <w:tcW w:type="dxa" w:w="2617"/>
          </w:tcPr>
          <w:p>
            <w:r>
              <w:t>State</w:t>
            </w:r>
          </w:p>
        </w:tc>
        <w:tc>
          <w:tcPr>
            <w:tcW w:type="dxa" w:w="2617"/>
          </w:tcPr>
          <w:p>
            <w:r>
              <w:t>Service / version</w:t>
            </w:r>
          </w:p>
        </w:tc>
        <w:tc>
          <w:tcPr>
            <w:tcW w:type="dxa" w:w="2617"/>
          </w:tcPr>
          <w:p>
            <w:r>
              <w:t>Notes from actual output</w:t>
            </w:r>
          </w:p>
        </w:tc>
      </w:tr>
      <w:tr>
        <w:tc>
          <w:tcPr>
            <w:tcW w:type="dxa" w:w="2617"/>
          </w:tcPr>
          <w:p>
            <w:r>
              <w:t>____</w:t>
            </w:r>
          </w:p>
        </w:tc>
        <w:tc>
          <w:tcPr>
            <w:tcW w:type="dxa" w:w="2617"/>
          </w:tcPr>
          <w:p>
            <w:r>
              <w:t>open / closed / filtered</w:t>
            </w:r>
          </w:p>
        </w:tc>
        <w:tc>
          <w:tcPr>
            <w:tcW w:type="dxa" w:w="2617"/>
          </w:tcPr>
          <w:p>
            <w:r>
              <w:t>____</w:t>
            </w:r>
          </w:p>
        </w:tc>
        <w:tc>
          <w:tcPr>
            <w:tcW w:type="dxa" w:w="2617"/>
          </w:tcPr>
          <w:p>
            <w:r>
              <w:t>____</w:t>
            </w:r>
          </w:p>
        </w:tc>
      </w:tr>
      <w:tr>
        <w:tc>
          <w:tcPr>
            <w:tcW w:type="dxa" w:w="2617"/>
          </w:tcPr>
          <w:p>
            <w:r>
              <w:t>____</w:t>
            </w:r>
          </w:p>
        </w:tc>
        <w:tc>
          <w:tcPr>
            <w:tcW w:type="dxa" w:w="2617"/>
          </w:tcPr>
          <w:p>
            <w:r>
              <w:t>open / closed / filtered</w:t>
            </w:r>
          </w:p>
        </w:tc>
        <w:tc>
          <w:tcPr>
            <w:tcW w:type="dxa" w:w="2617"/>
          </w:tcPr>
          <w:p>
            <w:r>
              <w:t>____</w:t>
            </w:r>
          </w:p>
        </w:tc>
        <w:tc>
          <w:tcPr>
            <w:tcW w:type="dxa" w:w="2617"/>
          </w:tcPr>
          <w:p>
            <w:r>
              <w:t>____</w:t>
            </w:r>
          </w:p>
        </w:tc>
      </w:tr>
      <w:tr>
        <w:tc>
          <w:tcPr>
            <w:tcW w:type="dxa" w:w="2617"/>
          </w:tcPr>
          <w:p>
            <w:r>
              <w:t>____</w:t>
            </w:r>
          </w:p>
        </w:tc>
        <w:tc>
          <w:tcPr>
            <w:tcW w:type="dxa" w:w="2617"/>
          </w:tcPr>
          <w:p>
            <w:r>
              <w:t>open / closed / filtered</w:t>
            </w:r>
          </w:p>
        </w:tc>
        <w:tc>
          <w:tcPr>
            <w:tcW w:type="dxa" w:w="2617"/>
          </w:tcPr>
          <w:p>
            <w:r>
              <w:t>____</w:t>
            </w:r>
          </w:p>
        </w:tc>
        <w:tc>
          <w:tcPr>
            <w:tcW w:type="dxa" w:w="2617"/>
          </w:tcPr>
          <w:p>
            <w:r>
              <w:t>____</w:t>
            </w:r>
          </w:p>
        </w:tc>
      </w:tr>
      <w:tr>
        <w:tc>
          <w:tcPr>
            <w:tcW w:type="dxa" w:w="2617"/>
          </w:tcPr>
          <w:p>
            <w:r>
              <w:t>____</w:t>
            </w:r>
          </w:p>
        </w:tc>
        <w:tc>
          <w:tcPr>
            <w:tcW w:type="dxa" w:w="2617"/>
          </w:tcPr>
          <w:p>
            <w:r>
              <w:t>open / closed / filtered</w:t>
            </w:r>
          </w:p>
        </w:tc>
        <w:tc>
          <w:tcPr>
            <w:tcW w:type="dxa" w:w="2617"/>
          </w:tcPr>
          <w:p>
            <w:r>
              <w:t>____</w:t>
            </w:r>
          </w:p>
        </w:tc>
        <w:tc>
          <w:tcPr>
            <w:tcW w:type="dxa" w:w="2617"/>
          </w:tcPr>
          <w:p>
            <w:r>
              <w:t>____</w:t>
            </w:r>
          </w:p>
        </w:tc>
      </w:tr>
      <w:tr>
        <w:tc>
          <w:tcPr>
            <w:tcW w:type="dxa" w:w="2617"/>
          </w:tcPr>
          <w:p>
            <w:r>
              <w:t>____</w:t>
            </w:r>
          </w:p>
        </w:tc>
        <w:tc>
          <w:tcPr>
            <w:tcW w:type="dxa" w:w="2617"/>
          </w:tcPr>
          <w:p>
            <w:r>
              <w:t>open / closed / filtered</w:t>
            </w:r>
          </w:p>
        </w:tc>
        <w:tc>
          <w:tcPr>
            <w:tcW w:type="dxa" w:w="2617"/>
          </w:tcPr>
          <w:p>
            <w:r>
              <w:t>____</w:t>
            </w:r>
          </w:p>
        </w:tc>
        <w:tc>
          <w:tcPr>
            <w:tcW w:type="dxa" w:w="2617"/>
          </w:tcPr>
          <w:p>
            <w:r>
              <w:t>____</w:t>
            </w:r>
          </w:p>
        </w:tc>
      </w:tr>
    </w:tbl>
    <w:p>
      <w:r>
        <w:rPr>
          <w:rFonts w:ascii="Arial" w:hAnsi="Arial"/>
          <w:sz w:val="20"/>
        </w:rPr>
        <w:t>OS detection: ______________________________ (include confidence/limitations).</w:t>
      </w:r>
    </w:p>
    <w:p>
      <w:r>
        <w:rPr>
          <w:rFonts w:ascii="Arial" w:hAnsi="Arial"/>
          <w:sz w:val="20"/>
        </w:rPr>
        <w:t>Other observations: ______________________________.</w:t>
      </w:r>
    </w:p>
    <w:p>
      <w:pPr>
        <w:pStyle w:val="Heading2"/>
      </w:pPr>
      <w:r>
        <w:rPr>
          <w:rFonts w:ascii="Arial" w:hAnsi="Arial"/>
          <w:sz w:val="20"/>
        </w:rPr>
        <w:t>3. Social-engineering risk</w:t>
      </w:r>
    </w:p>
    <w:p>
      <w:r>
        <w:rPr>
          <w:rFonts w:ascii="Arial" w:hAnsi="Arial"/>
          <w:sz w:val="20"/>
        </w:rPr>
        <w:t>Service names, version strings, and network details can help an attacker make a message to IT support sound technically plausible. For example, a deceptive message might claim a service is failing or a patch is urgent. This is a risk scenario, not proof that the target is vulnerable.</w:t>
      </w:r>
    </w:p>
    <w:p>
      <w:r>
        <w:rPr>
          <w:rFonts w:ascii="Arial" w:hAnsi="Arial"/>
          <w:sz w:val="20"/>
        </w:rPr>
        <w:t>Construct a believable pretext from observed service terminology or a claimed maintenance issue.</w:t>
      </w:r>
    </w:p>
    <w:p>
      <w:r>
        <w:rPr>
          <w:rFonts w:ascii="Arial" w:hAnsi="Arial"/>
          <w:sz w:val="20"/>
        </w:rPr>
        <w:t>Impersonate a vendor or user and pressure IT support to disclose information, bypass a procedure, or approve an unverified change.</w:t>
      </w:r>
    </w:p>
    <w:p>
      <w:r>
        <w:rPr>
          <w:rFonts w:ascii="Arial" w:hAnsi="Arial"/>
          <w:sz w:val="20"/>
        </w:rPr>
        <w:t>Use public technical details to make a fraudulent ticket seem credible, potentially leading to unauthorized access or unsafe changes.</w:t>
      </w:r>
    </w:p>
    <w:p>
      <w:r>
        <w:rPr>
          <w:rFonts w:ascii="Arial" w:hAnsi="Arial"/>
          <w:sz w:val="20"/>
        </w:rPr>
        <w:t>This is a defensive threat model only. Do not contact staff deceptively, request credentials, or exploit discovered services.</w:t>
      </w:r>
    </w:p>
    <w:p>
      <w:pPr>
        <w:pStyle w:val="Heading2"/>
      </w:pPr>
      <w:r>
        <w:rPr>
          <w:rFonts w:ascii="Arial" w:hAnsi="Arial"/>
          <w:sz w:val="20"/>
        </w:rPr>
        <w:t>4. Defensive recommendations</w:t>
      </w:r>
    </w:p>
    <w:p>
      <w:r>
        <w:rPr>
          <w:rFonts w:ascii="Arial" w:hAnsi="Arial"/>
          <w:sz w:val="20"/>
        </w:rPr>
        <w:t>Verify identity and authorization using a trusted, separate channel.</w:t>
      </w:r>
    </w:p>
    <w:p>
      <w:r>
        <w:rPr>
          <w:rFonts w:ascii="Arial" w:hAnsi="Arial"/>
          <w:sz w:val="20"/>
        </w:rPr>
        <w:t>Require documented change tickets and dual approval for sensitive changes and resets.</w:t>
      </w:r>
    </w:p>
    <w:p>
      <w:r>
        <w:rPr>
          <w:rFonts w:ascii="Arial" w:hAnsi="Arial"/>
          <w:sz w:val="20"/>
        </w:rPr>
        <w:t>Train IT staff to recognize urgency, authority pressure, vendor impersonation, and bypass requests.</w:t>
      </w:r>
    </w:p>
    <w:p>
      <w:r>
        <w:rPr>
          <w:rFonts w:ascii="Arial" w:hAnsi="Arial"/>
          <w:sz w:val="20"/>
        </w:rPr>
        <w:t>Patch internet-facing services and remove services that are not required.</w:t>
      </w:r>
    </w:p>
    <w:p>
      <w:r>
        <w:rPr>
          <w:rFonts w:ascii="Arial" w:hAnsi="Arial"/>
          <w:sz w:val="20"/>
        </w:rPr>
        <w:t>Limit exposed service banners and administrative interfaces; restrict management access.</w:t>
      </w:r>
    </w:p>
    <w:p>
      <w:r>
        <w:rPr>
          <w:rFonts w:ascii="Arial" w:hAnsi="Arial"/>
          <w:sz w:val="20"/>
        </w:rPr>
        <w:t>Use centralized logging, alerting, and periodic authorized external attack-surface reviews.</w:t>
      </w:r>
    </w:p>
    <w:p>
      <w:r>
        <w:rPr>
          <w:rFonts w:ascii="Arial" w:hAnsi="Arial"/>
          <w:sz w:val="20"/>
        </w:rPr>
        <w:t>Enforce MFA and least privilege; never share passwords or MFA codes.</w:t>
      </w:r>
    </w:p>
    <w:p>
      <w:pPr>
        <w:pStyle w:val="Heading2"/>
      </w:pPr>
      <w:r>
        <w:rPr>
          <w:rFonts w:ascii="Arial" w:hAnsi="Arial"/>
          <w:sz w:val="20"/>
        </w:rPr>
        <w:t>5. Conclusion</w:t>
      </w:r>
    </w:p>
    <w:p>
      <w:r>
        <w:rPr>
          <w:rFonts w:ascii="Arial" w:hAnsi="Arial"/>
          <w:sz w:val="20"/>
        </w:rPr>
        <w:t>TheHarvester, GoPhish, and Nmap represent public-information reconnaissance, controlled awareness measurement, and technical service discovery. Treat tool output as evidence with limitations. Reduce unnecessary exposure, verify requests independently, strengthen authentication, train users, and maintain a clear incident-reporting process.</w:t>
      </w:r>
    </w:p>
    <w:p>
      <w:r>
        <w:rPr>
          <w:rFonts w:ascii="Arial" w:hAnsi="Arial"/>
          <w:sz w:val="20"/>
        </w:rPr>
        <w:t>Student: A. Manoj Reddy</w:t>
      </w:r>
    </w:p>
    <w:p>
      <w:r>
        <w:rPr>
          <w:rFonts w:ascii="Arial" w:hAnsi="Arial"/>
          <w:sz w:val="20"/>
        </w:rPr>
        <w:t>Signature: A. Manoj Reddy</w:t>
      </w:r>
    </w:p>
    <w:p>
      <w:r>
        <w:br w:type="page"/>
      </w:r>
    </w:p>
    <w:p>
      <w:pPr>
        <w:pStyle w:val="Heading1"/>
      </w:pPr>
      <w:r>
        <w:t>RUBRICS FOR CALCULATION</w:t>
      </w:r>
    </w:p>
    <w:tbl>
      <w:tblPr>
        <w:tblW w:type="auto" w:w="0"/>
        <w:tblLook w:firstColumn="1" w:firstRow="1" w:lastColumn="0" w:lastRow="0" w:noHBand="0" w:noVBand="1" w:val="04A0"/>
      </w:tblPr>
      <w:tblGrid>
        <w:gridCol w:w="2617"/>
        <w:gridCol w:w="2617"/>
        <w:gridCol w:w="2617"/>
        <w:gridCol w:w="2617"/>
      </w:tblGrid>
      <w:tr>
        <w:tc>
          <w:tcPr>
            <w:tcW w:type="dxa" w:w="2617"/>
          </w:tcPr>
          <w:p>
            <w:r>
              <w:t>Criteria</w:t>
            </w:r>
          </w:p>
        </w:tc>
        <w:tc>
          <w:tcPr>
            <w:tcW w:type="dxa" w:w="2617"/>
          </w:tcPr>
          <w:p>
            <w:r>
              <w:t>Weightage</w:t>
            </w:r>
          </w:p>
        </w:tc>
        <w:tc>
          <w:tcPr>
            <w:tcW w:type="dxa" w:w="2617"/>
          </w:tcPr>
          <w:p>
            <w:r>
              <w:t>Level 4 (Exemplary)</w:t>
            </w:r>
          </w:p>
        </w:tc>
        <w:tc>
          <w:tcPr>
            <w:tcW w:type="dxa" w:w="2617"/>
          </w:tcPr>
          <w:p>
            <w:r>
              <w:t>Level 3 (Proficient) / Level 2 (Developing) / Level 1 (Beginning)</w:t>
            </w:r>
          </w:p>
        </w:tc>
      </w:tr>
      <w:tr>
        <w:tc>
          <w:tcPr>
            <w:tcW w:type="dxa" w:w="2617"/>
          </w:tcPr>
          <w:p>
            <w:r>
              <w:t>Understanding of Social Engineering Scenario</w:t>
            </w:r>
          </w:p>
        </w:tc>
        <w:tc>
          <w:tcPr>
            <w:tcW w:type="dxa" w:w="2617"/>
          </w:tcPr>
          <w:p>
            <w:r>
              <w:t>20%</w:t>
            </w:r>
          </w:p>
        </w:tc>
        <w:tc>
          <w:tcPr>
            <w:tcW w:type="dxa" w:w="2617"/>
          </w:tcPr>
          <w:p>
            <w:r>
              <w:t>Comprehensive understanding of the scenario, attack techniques, and security context.</w:t>
            </w:r>
          </w:p>
        </w:tc>
        <w:tc>
          <w:tcPr>
            <w:tcW w:type="dxa" w:w="2617"/>
          </w:tcPr>
          <w:p>
            <w:r>
              <w:t>Level 3: Good understanding with minor omissions. Level 2: Partial understanding, missing important aspects. Level 1: Fails to understand or misinterprets the scenario.</w:t>
            </w:r>
          </w:p>
        </w:tc>
      </w:tr>
      <w:tr>
        <w:tc>
          <w:tcPr>
            <w:tcW w:type="dxa" w:w="2617"/>
          </w:tcPr>
          <w:p>
            <w:r>
              <w:t>Identification of Attack and Vulnerabilities</w:t>
            </w:r>
          </w:p>
        </w:tc>
        <w:tc>
          <w:tcPr>
            <w:tcW w:type="dxa" w:w="2617"/>
          </w:tcPr>
          <w:p>
            <w:r>
              <w:t>20%</w:t>
            </w:r>
          </w:p>
        </w:tc>
        <w:tc>
          <w:tcPr>
            <w:tcW w:type="dxa" w:w="2617"/>
          </w:tcPr>
          <w:p>
            <w:r>
              <w:t>Correctly identifies the attack type, exploited vulnerabilities, and affected assets with complete accuracy.</w:t>
            </w:r>
          </w:p>
        </w:tc>
        <w:tc>
          <w:tcPr>
            <w:tcW w:type="dxa" w:w="2617"/>
          </w:tcPr>
          <w:p>
            <w:r>
              <w:t>Level 3: Identifies most techniques with minor errors. Level 2: Identifies some methods and vulnerabilities. Level 1: Unable to identify attack type or associated vulnerabilities.</w:t>
            </w:r>
          </w:p>
        </w:tc>
      </w:tr>
      <w:tr>
        <w:tc>
          <w:tcPr>
            <w:tcW w:type="dxa" w:w="2617"/>
          </w:tcPr>
          <w:p>
            <w:r>
              <w:t>Application of Security Concepts and Countermeasures</w:t>
            </w:r>
          </w:p>
        </w:tc>
        <w:tc>
          <w:tcPr>
            <w:tcW w:type="dxa" w:w="2617"/>
          </w:tcPr>
          <w:p>
            <w:r>
              <w:t>25%</w:t>
            </w:r>
          </w:p>
        </w:tc>
        <w:tc>
          <w:tcPr>
            <w:tcW w:type="dxa" w:w="2617"/>
          </w:tcPr>
          <w:p>
            <w:r>
              <w:t>Effectively applies cybersecurity concepts and recommends appropriate preventive, detective, and corrective countermeasures.</w:t>
            </w:r>
          </w:p>
        </w:tc>
        <w:tc>
          <w:tcPr>
            <w:tcW w:type="dxa" w:w="2617"/>
          </w:tcPr>
          <w:p>
            <w:r>
              <w:t>Level 3: Applies relevant concepts with minor errors and suitable countermeasures. Level 2: Partial application with limited recommendations. Level 1: Unable to apply relevant concepts or recommend suitable countermeasures.</w:t>
            </w:r>
          </w:p>
        </w:tc>
      </w:tr>
      <w:tr>
        <w:tc>
          <w:tcPr>
            <w:tcW w:type="dxa" w:w="2617"/>
          </w:tcPr>
          <w:p>
            <w:r>
              <w:t>Risk Analysis and Decision Making</w:t>
            </w:r>
          </w:p>
        </w:tc>
        <w:tc>
          <w:tcPr>
            <w:tcW w:type="dxa" w:w="2617"/>
          </w:tcPr>
          <w:p>
            <w:r>
              <w:t>20%</w:t>
            </w:r>
          </w:p>
        </w:tc>
        <w:tc>
          <w:tcPr>
            <w:tcW w:type="dxa" w:w="2617"/>
          </w:tcPr>
          <w:p>
            <w:r>
              <w:t>Logical risk analysis, evaluates business impact, and provides well-justified security decisions.</w:t>
            </w:r>
          </w:p>
        </w:tc>
        <w:tc>
          <w:tcPr>
            <w:tcW w:type="dxa" w:w="2617"/>
          </w:tcPr>
          <w:p>
            <w:r>
              <w:t>Level 3: Reasonable analysis with adequate justification. Level 2: Limited analysis with weak justification. Level 1: No meaningful analysis or justification.</w:t>
            </w:r>
          </w:p>
        </w:tc>
      </w:tr>
      <w:tr>
        <w:tc>
          <w:tcPr>
            <w:tcW w:type="dxa" w:w="2617"/>
          </w:tcPr>
          <w:p>
            <w:r>
              <w:t>Clarity, Documentation and Technical Presentation</w:t>
            </w:r>
          </w:p>
        </w:tc>
        <w:tc>
          <w:tcPr>
            <w:tcW w:type="dxa" w:w="2617"/>
          </w:tcPr>
          <w:p>
            <w:r>
              <w:t>15%</w:t>
            </w:r>
          </w:p>
        </w:tc>
        <w:tc>
          <w:tcPr>
            <w:tcW w:type="dxa" w:w="2617"/>
          </w:tcPr>
          <w:p>
            <w:r>
              <w:t>Well-organized, technically accurate, professionally documented, and logically presented.</w:t>
            </w:r>
          </w:p>
        </w:tc>
        <w:tc>
          <w:tcPr>
            <w:tcW w:type="dxa" w:w="2617"/>
          </w:tcPr>
          <w:p>
            <w:r>
              <w:t>Level 3: Clear with minor documentation/presentation issues. Level 2: Lacks organization and contains technical inaccuracies. Level 1: Poorly organized, incomplete, and difficult to understand.</w:t>
            </w:r>
          </w:p>
        </w:tc>
      </w:tr>
    </w:tbl>
    <w:sectPr>
      <w:pgSz w:h="16834" w:w="11909"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tYGUm/c/OJ3kfRrFu4caozS92Q==">CgMxLjAyDmguYXN0YWtnb2J0amsxMg5oLmI2ZHdqNjd3YjcycTgAciExdlZYa2pMVm9YZE5rbnlOZzFQbllTRjBYUWNoWG1oamo=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