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rFonts w:ascii="Arial" w:hAnsi="Arial"/>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rFonts w:ascii="Arial" w:hAnsi="Arial"/>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Fonts w:ascii="Arial" w:hAnsi="Arial"/>
          <w:sz w:val="20"/>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sz w:val="20"/>
          <w:rtl w:val="0"/>
        </w:rPr>
        <w:t xml:space="preserve">COURSE NAME:</w:t>
      </w:r>
      <w:r w:rsidDel="00000000" w:rsidR="00000000" w:rsidRPr="00000000">
        <w:rPr>
          <w:rFonts w:ascii="Arial" w:cs="Arial" w:eastAsia="Arial" w:hAnsi="Arial"/>
          <w:sz w:val="20"/>
          <w:rtl w:val="0"/>
        </w:rPr>
        <w:t xml:space="preserve"> </w:t>
      </w:r>
      <w:r w:rsidDel="00000000" w:rsidR="00000000" w:rsidRPr="00000000">
        <w:rPr>
          <w:rFonts w:ascii="Arial" w:cs="Arial" w:eastAsia="Arial" w:hAnsi="Arial"/>
          <w:b w:val="1"/>
          <w:bCs w:val="1"/>
          <w:sz w:val="20"/>
          <w:rtl w:val="0"/>
        </w:rPr>
        <w:t xml:space="preserve">Ethical Hacking</w:t>
        <w:tab/>
        <w:t xml:space="preserve">                      COURSE CODE: ITA14 </w:t>
        <w:tab/>
        <w:tab/>
        <w:tab/>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6559550" cy="58419"/>
                <wp:effectExtent b="0" l="0" r="0" t="0"/>
                <wp:docPr id="2" name=""/>
                <a:graphic>
                  <a:graphicData uri="http://schemas.microsoft.com/office/word/2010/wordprocessingShape">
                    <wps:wsp>
                      <wps:cNvSpPr/>
                      <wps:cNvPr id="3" name="Shape 3"/>
                      <wps:spPr>
                        <a:xfrm>
                          <a:off x="2072575" y="3757141"/>
                          <a:ext cx="654685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59550" cy="58419"/>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59550" cy="58419"/>
                        </a:xfrm>
                        <a:prstGeom prst="rect"/>
                        <a:ln/>
                      </pic:spPr>
                    </pic:pic>
                  </a:graphicData>
                </a:graphic>
              </wp:inline>
            </w:drawing>
          </mc:Fallback>
        </mc:AlternateContent>
      </w:r>
      <w:r w:rsidDel="00000000" w:rsidR="00000000" w:rsidRPr="00000000">
        <w:rPr>
          <w:rFonts w:ascii="Arial" w:hAnsi="Arial"/>
          <w:sz w:val="20"/>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hAnsi="Arial"/>
          <w:sz w:val="20"/>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sz w:val="20"/>
          <w:rtl w:val="0"/>
        </w:rPr>
        <w:t xml:space="preserve">COURSE OUTCOME COVERED</w:t>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hAnsi="Arial"/>
          <w:sz w:val="20"/>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hAnsi="Arial"/>
          <w:b w:val="1"/>
          <w:bCs w:val="1"/>
          <w:color w:val="000000"/>
          <w:sz w:val="20"/>
          <w:rtl w:val="0"/>
        </w:rPr>
        <w:t xml:space="preserve">CO2: </w:t>
      </w:r>
      <w:r w:rsidDel="00000000" w:rsidR="00000000" w:rsidRPr="00000000">
        <w:rPr>
          <w:rFonts w:ascii="Arial" w:hAnsi="Arial"/>
          <w:sz w:val="20"/>
          <w:rtl w:val="0"/>
        </w:rPr>
        <w:t xml:space="preserve">Execute footprinting in social engineering such as DNS analysis, competitive intelligence gathering, and attack simulations to collect relevant information for identifying potential security risks.</w:t>
      </w:r>
      <w:r w:rsidDel="00000000" w:rsidR="00000000" w:rsidRPr="00000000">
        <w:rPr>
          <w:rFonts w:ascii="Arial" w:hAnsi="Arial"/>
          <w:color w:val="000000"/>
          <w:sz w:val="20"/>
          <w:rtl w:val="0"/>
        </w:rPr>
        <w:t xml:space="preserve">. (</w:t>
      </w:r>
      <w:r w:rsidDel="00000000" w:rsidR="00000000" w:rsidRPr="00000000">
        <w:rPr>
          <w:rFonts w:ascii="Arial" w:hAnsi="Arial"/>
          <w:sz w:val="20"/>
          <w:rtl w:val="0"/>
        </w:rPr>
        <w:t xml:space="preserve">BT4)</w:t>
      </w:r>
      <w:r w:rsidDel="00000000" w:rsidR="00000000" w:rsidRPr="00000000">
        <w:rPr>
          <w:rFonts w:ascii="Arial" w:cs="Arial" w:eastAsia="Arial" w:hAnsi="Arial"/>
          <w:b w:val="1"/>
          <w:bCs w:val="1"/>
          <w:color w:val="000000"/>
          <w:sz w:val="20"/>
          <w:rtl w:val="0"/>
        </w:rPr>
        <w:tab/>
      </w:r>
    </w:p>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color w:val="000000"/>
        </w:rPr>
      </w:pPr>
      <w:r w:rsidDel="00000000" w:rsidR="00000000" w:rsidRPr="00000000">
        <w:rPr>
          <w:rFonts w:ascii="Arial" w:cs="Arial" w:eastAsia="Arial" w:hAnsi="Arial"/>
          <w:b w:val="1"/>
          <w:bCs w:val="1"/>
          <w:color w:val="000000"/>
          <w:sz w:val="20"/>
          <w:rtl w:val="0"/>
        </w:rPr>
        <w:tab/>
        <w:tab/>
      </w:r>
      <w:r w:rsidDel="00000000" w:rsidR="00000000" w:rsidRPr="00000000">
        <w:rPr>
          <w:rFonts w:ascii="Arial" w:hAnsi="Arial"/>
          <w:sz w:val="20"/>
          <w:rtl w:val="0"/>
        </w:rPr>
      </w:r>
    </w:p>
    <w:p w:rsidR="00000000" w:rsidDel="00000000" w:rsidP="00000000" w:rsidRDefault="00000000" w:rsidRPr="00000000" w14:paraId="0000000B">
      <w:pPr>
        <w:rPr>
          <w:rFonts w:ascii="Arial" w:cs="Arial" w:eastAsia="Arial" w:hAnsi="Arial"/>
          <w:i w:val="1"/>
          <w:iCs w:val="1"/>
        </w:rPr>
      </w:pPr>
      <w:r w:rsidDel="00000000" w:rsidR="00000000" w:rsidRPr="00000000">
        <w:rPr>
          <w:rFonts w:ascii="Arial" w:cs="Arial" w:eastAsia="Arial" w:hAnsi="Arial"/>
          <w:i w:val="1"/>
          <w:iCs w:val="1"/>
          <w:sz w:val="20"/>
          <w:rtl w:val="0"/>
        </w:rPr>
        <w:t xml:space="preserve">Assessment Tool Weightage: 30%</w:t>
      </w:r>
    </w:p>
    <w:p w:rsidR="00000000" w:rsidDel="00000000" w:rsidP="00000000" w:rsidRDefault="00000000" w:rsidRPr="00000000" w14:paraId="0000000C">
      <w:pPr>
        <w:rPr>
          <w:b w:val="1"/>
          <w:bCs w:val="1"/>
          <w:color w:val="000000"/>
        </w:rPr>
      </w:pPr>
      <w:r w:rsidDel="00000000" w:rsidR="00000000" w:rsidRPr="00000000">
        <w:rPr>
          <w:rFonts w:ascii="Arial" w:hAnsi="Arial"/>
          <w:sz w:val="20"/>
          <w:rtl w:val="0"/>
        </w:rPr>
      </w:r>
    </w:p>
    <w:p w:rsidR="00000000" w:rsidDel="00000000" w:rsidP="00000000" w:rsidRDefault="00000000" w:rsidRPr="00000000" w14:paraId="0000000D">
      <w:pPr>
        <w:rPr>
          <w:b w:val="1"/>
          <w:bCs w:val="1"/>
          <w:color w:val="000000"/>
        </w:rPr>
      </w:pPr>
      <w:r w:rsidDel="00000000" w:rsidR="00000000" w:rsidRPr="00000000">
        <w:rPr>
          <w:rFonts w:ascii="Arial" w:hAnsi="Arial"/>
          <w:b w:val="1"/>
          <w:bCs w:val="1"/>
          <w:color w:val="000000"/>
          <w:sz w:val="20"/>
          <w:rtl w:val="0"/>
        </w:rPr>
        <w:t xml:space="preserve">Duration: 90 min                                                                                                 Total Marks: 50</w:t>
      </w:r>
    </w:p>
    <w:p w:rsidR="00000000" w:rsidDel="00000000" w:rsidP="00000000" w:rsidRDefault="00000000" w:rsidRPr="00000000" w14:paraId="0000000E">
      <w:pPr>
        <w:rPr>
          <w:rFonts w:ascii="Arial" w:cs="Arial" w:eastAsia="Arial" w:hAnsi="Arial"/>
        </w:rPr>
      </w:pPr>
      <w:r w:rsidDel="00000000" w:rsidR="00000000" w:rsidRPr="00000000">
        <w:rPr>
          <w:rFonts w:ascii="Arial" w:hAnsi="Arial"/>
          <w:sz w:val="22"/>
          <w:szCs w:val="22"/>
        </w:rPr>
        <mc:AlternateContent>
          <mc:Choice Requires="wpg">
            <w:drawing>
              <wp:inline distB="0" distT="0" distL="114300" distR="114300">
                <wp:extent cx="6502400" cy="58419"/>
                <wp:effectExtent b="0" l="0" r="0" t="0"/>
                <wp:docPr id="1" name=""/>
                <a:graphic>
                  <a:graphicData uri="http://schemas.microsoft.com/office/word/2010/wordprocessingShape">
                    <wps:wsp>
                      <wps:cNvSpPr/>
                      <wps:cNvPr id="2" name="Shape 2"/>
                      <wps:spPr>
                        <a:xfrm>
                          <a:off x="2101150" y="3757141"/>
                          <a:ext cx="648970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02400" cy="5841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02400" cy="58419"/>
                        </a:xfrm>
                        <a:prstGeom prst="rect"/>
                        <a:ln/>
                      </pic:spPr>
                    </pic:pic>
                  </a:graphicData>
                </a:graphic>
              </wp:inline>
            </w:drawing>
          </mc:Fallback>
        </mc:AlternateContent>
      </w:r>
      <w:r w:rsidDel="00000000" w:rsidR="00000000" w:rsidRPr="00000000">
        <w:rPr>
          <w:rFonts w:ascii="Arial" w:hAnsi="Arial"/>
          <w:sz w:val="20"/>
          <w:rtl w:val="0"/>
        </w:rPr>
      </w:r>
    </w:p>
    <w:p w:rsidR="00000000" w:rsidDel="00000000" w:rsidP="00000000" w:rsidRDefault="00000000" w:rsidRPr="00000000" w14:paraId="0000000F">
      <w:pPr>
        <w:ind w:left="1440" w:firstLine="720"/>
        <w:jc w:val="both"/>
        <w:rPr>
          <w:rFonts w:ascii="Arial" w:cs="Arial" w:eastAsia="Arial" w:hAnsi="Arial"/>
        </w:rPr>
      </w:pPr>
      <w:r w:rsidDel="00000000" w:rsidR="00000000" w:rsidRPr="00000000">
        <w:rPr>
          <w:rFonts w:ascii="Arial" w:hAnsi="Arial"/>
          <w:sz w:val="20"/>
          <w:rtl w:val="0"/>
        </w:rPr>
      </w:r>
    </w:p>
    <w:p w:rsidR="00000000" w:rsidDel="00000000" w:rsidP="00000000" w:rsidRDefault="00000000" w:rsidRPr="00000000" w14:paraId="00000010">
      <w:pPr>
        <w:jc w:val="center"/>
        <w:rPr>
          <w:b w:val="1"/>
          <w:bCs w:val="1"/>
          <w:sz w:val="32"/>
          <w:szCs w:val="32"/>
        </w:rPr>
      </w:pPr>
      <w:r w:rsidDel="00000000" w:rsidR="00000000" w:rsidRPr="00000000">
        <w:rPr>
          <w:rFonts w:ascii="Arial" w:hAnsi="Arial"/>
          <w:b w:val="1"/>
          <w:bCs w:val="1"/>
          <w:sz w:val="32"/>
          <w:szCs w:val="32"/>
          <w:rtl w:val="0"/>
        </w:rPr>
        <w:t xml:space="preserve">Scenario-Based Assessment</w:t>
      </w:r>
    </w:p>
    <w:p w:rsidR="00000000" w:rsidDel="00000000" w:rsidP="00000000" w:rsidRDefault="00000000" w:rsidRPr="00000000" w14:paraId="00000011">
      <w:pPr>
        <w:jc w:val="center"/>
        <w:rPr>
          <w:b w:val="1"/>
          <w:bCs w:val="1"/>
          <w:sz w:val="36"/>
          <w:szCs w:val="36"/>
        </w:rPr>
      </w:pPr>
      <w:r w:rsidDel="00000000" w:rsidR="00000000" w:rsidRPr="00000000">
        <w:rPr>
          <w:rFonts w:ascii="Arial" w:hAnsi="Arial"/>
          <w:sz w:val="20"/>
          <w:rtl w:val="0"/>
        </w:rPr>
      </w:r>
    </w:p>
    <w:p w:rsidR="00000000" w:rsidDel="00000000" w:rsidP="00000000" w:rsidRDefault="00000000" w:rsidRPr="00000000" w14:paraId="00000012">
      <w:pPr>
        <w:rPr>
          <w:b w:val="1"/>
          <w:bCs w:val="1"/>
        </w:rPr>
      </w:pPr>
      <w:r w:rsidDel="00000000" w:rsidR="00000000" w:rsidRPr="00000000">
        <w:rPr>
          <w:rFonts w:ascii="Arial" w:hAnsi="Arial"/>
          <w:b w:val="1"/>
          <w:bCs w:val="1"/>
          <w:sz w:val="20"/>
          <w:rtl w:val="0"/>
        </w:rPr>
        <w:t xml:space="preserve">Topic 1: Footprinting Tools – Conducting Competitive Intelligence</w:t>
      </w:r>
    </w:p>
    <w:p w:rsidR="00000000" w:rsidDel="00000000" w:rsidP="00000000" w:rsidRDefault="00000000" w:rsidRPr="00000000" w14:paraId="00000013">
      <w:pPr>
        <w:rPr>
          <w:b w:val="1"/>
          <w:bCs w:val="1"/>
        </w:rPr>
      </w:pPr>
      <w:r w:rsidDel="00000000" w:rsidR="00000000" w:rsidRPr="00000000">
        <w:rPr>
          <w:rFonts w:ascii="Arial" w:hAnsi="Arial"/>
          <w:sz w:val="20"/>
          <w:rtl w:val="0"/>
        </w:rPr>
      </w:r>
    </w:p>
    <w:p w:rsidR="00000000" w:rsidDel="00000000" w:rsidP="00000000" w:rsidRDefault="00000000" w:rsidRPr="00000000" w14:paraId="00000014">
      <w:pPr>
        <w:rPr>
          <w:b w:val="1"/>
          <w:bCs w:val="1"/>
        </w:rPr>
      </w:pPr>
      <w:r w:rsidDel="00000000" w:rsidR="00000000" w:rsidRPr="00000000">
        <w:rPr>
          <w:rFonts w:ascii="Arial" w:hAnsi="Arial"/>
          <w:b w:val="1"/>
          <w:bCs w:val="1"/>
          <w:sz w:val="20"/>
          <w:rtl w:val="0"/>
        </w:rPr>
        <w:t xml:space="preserve">Q1. (L3 – Apply) – 15 Marks</w:t>
      </w:r>
    </w:p>
    <w:p w:rsidR="00000000" w:rsidDel="00000000" w:rsidP="00000000" w:rsidRDefault="00000000" w:rsidRPr="00000000" w14:paraId="00000015">
      <w:pPr>
        <w:rPr/>
      </w:pPr>
      <w:r w:rsidDel="00000000" w:rsidR="00000000" w:rsidRPr="00000000">
        <w:rPr>
          <w:rFonts w:ascii="Arial" w:hAnsi="Arial"/>
          <w:sz w:val="20"/>
          <w:rtl w:val="0"/>
        </w:rPr>
      </w:r>
    </w:p>
    <w:p w:rsidR="00000000" w:rsidDel="00000000" w:rsidP="00000000" w:rsidRDefault="00000000" w:rsidRPr="00000000" w14:paraId="00000016">
      <w:pPr>
        <w:rPr/>
      </w:pPr>
      <w:r w:rsidDel="00000000" w:rsidR="00000000" w:rsidRPr="00000000">
        <w:rPr>
          <w:rFonts w:ascii="Arial" w:hAnsi="Arial"/>
          <w:sz w:val="20"/>
          <w:rtl w:val="0"/>
        </w:rPr>
        <w:t xml:space="preserve">A cybersecurity consultant has been assigned to perform a passive security assessment for a company named ABC Technologies. The consultant must collect publicly available information without directly interacting with the company’s servers.</w:t>
      </w:r>
    </w:p>
    <w:p w:rsidR="00000000" w:rsidDel="00000000" w:rsidP="00000000" w:rsidRDefault="00000000" w:rsidRPr="00000000" w14:paraId="00000017">
      <w:pPr>
        <w:rPr/>
      </w:pPr>
      <w:r w:rsidDel="00000000" w:rsidR="00000000" w:rsidRPr="00000000">
        <w:rPr>
          <w:rFonts w:ascii="Arial" w:hAnsi="Arial"/>
          <w:sz w:val="20"/>
          <w:rtl w:val="0"/>
        </w:rPr>
      </w:r>
    </w:p>
    <w:p w:rsidR="00000000" w:rsidDel="00000000" w:rsidP="00000000" w:rsidRDefault="00000000" w:rsidRPr="00000000" w14:paraId="00000018">
      <w:pPr>
        <w:rPr/>
      </w:pPr>
      <w:r w:rsidDel="00000000" w:rsidR="00000000" w:rsidRPr="00000000">
        <w:rPr>
          <w:rFonts w:ascii="Arial" w:hAnsi="Arial"/>
          <w:b w:val="1"/>
          <w:bCs w:val="1"/>
          <w:sz w:val="20"/>
          <w:rtl w:val="0"/>
        </w:rPr>
        <w:t xml:space="preserve">Task:</w:t>
      </w:r>
      <w:r w:rsidDel="00000000" w:rsidR="00000000" w:rsidRPr="00000000">
        <w:rPr>
          <w:rFonts w:ascii="Arial" w:hAnsi="Arial"/>
          <w:sz w:val="20"/>
          <w:rtl w:val="0"/>
        </w:rPr>
        <w:t xml:space="preserve"> Apply suitable footprinting tools to identify the company’s:</w:t>
      </w:r>
    </w:p>
    <w:p w:rsidR="00000000" w:rsidDel="00000000" w:rsidP="00000000" w:rsidRDefault="00000000" w:rsidRPr="00000000" w14:paraId="00000019">
      <w:pPr>
        <w:rPr/>
      </w:pPr>
      <w:r w:rsidDel="00000000" w:rsidR="00000000" w:rsidRPr="00000000">
        <w:rPr>
          <w:rFonts w:ascii="Arial" w:hAnsi="Arial"/>
          <w:sz w:val="20"/>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registration details,</w:t>
      </w:r>
    </w:p>
    <w:p w:rsidR="00000000" w:rsidDel="00000000" w:rsidP="00000000" w:rsidRDefault="00000000" w:rsidRPr="00000000" w14:paraId="0000001B">
      <w:pPr>
        <w:rPr/>
      </w:pPr>
      <w:r w:rsidDel="00000000" w:rsidR="00000000" w:rsidRPr="00000000">
        <w:rPr>
          <w:rFonts w:ascii="Arial" w:hAnsi="Arial"/>
          <w:sz w:val="20"/>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email addresses,</w:t>
      </w:r>
    </w:p>
    <w:p w:rsidR="00000000" w:rsidDel="00000000" w:rsidP="00000000" w:rsidRDefault="00000000" w:rsidRPr="00000000" w14:paraId="0000001D">
      <w:pPr>
        <w:rPr/>
      </w:pPr>
      <w:r w:rsidDel="00000000" w:rsidR="00000000" w:rsidRPr="00000000">
        <w:rPr>
          <w:rFonts w:ascii="Arial" w:hAnsi="Arial"/>
          <w:sz w:val="20"/>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stack,</w:t>
      </w:r>
    </w:p>
    <w:p w:rsidR="00000000" w:rsidDel="00000000" w:rsidP="00000000" w:rsidRDefault="00000000" w:rsidRPr="00000000" w14:paraId="0000001F">
      <w:pPr>
        <w:rPr/>
      </w:pPr>
      <w:r w:rsidDel="00000000" w:rsidR="00000000" w:rsidRPr="00000000">
        <w:rPr>
          <w:rFonts w:ascii="Arial" w:hAnsi="Arial"/>
          <w:sz w:val="20"/>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publicly exposed subdomains.</w:t>
      </w:r>
    </w:p>
    <w:p w:rsidR="00000000" w:rsidDel="00000000" w:rsidP="00000000" w:rsidRDefault="00000000" w:rsidRPr="00000000" w14:paraId="00000021">
      <w:pPr>
        <w:rPr/>
      </w:pPr>
      <w:r w:rsidDel="00000000" w:rsidR="00000000" w:rsidRPr="00000000">
        <w:rPr>
          <w:rFonts w:ascii="Arial" w:hAnsi="Arial"/>
          <w:sz w:val="20"/>
          <w:rtl w:val="0"/>
        </w:rPr>
      </w:r>
    </w:p>
    <w:p w:rsidR="00000000" w:rsidDel="00000000" w:rsidP="00000000" w:rsidRDefault="00000000" w:rsidRPr="00000000" w14:paraId="00000022">
      <w:pPr>
        <w:rPr/>
      </w:pPr>
      <w:r w:rsidDel="00000000" w:rsidR="00000000" w:rsidRPr="00000000">
        <w:rPr>
          <w:rFonts w:ascii="Arial" w:hAnsi="Arial"/>
          <w:sz w:val="20"/>
          <w:rtl w:val="0"/>
        </w:rPr>
        <w:t xml:space="preserve">Explain how each selected tool helps in conducting competitive intelligence.</w:t>
      </w:r>
    </w:p>
    <w:p w:rsidR="00000000" w:rsidDel="00000000" w:rsidP="00000000" w:rsidRDefault="00000000" w:rsidRPr="00000000" w14:paraId="00000023">
      <w:pPr>
        <w:rPr/>
      </w:pPr>
      <w:r w:rsidDel="00000000" w:rsidR="00000000" w:rsidRPr="00000000">
        <w:rPr>
          <w:rFonts w:ascii="Arial" w:hAnsi="Arial"/>
          <w:sz w:val="20"/>
          <w:rtl w:val="0"/>
        </w:rPr>
      </w:r>
    </w:p>
    <w:p w:rsidR="00000000" w:rsidDel="00000000" w:rsidP="00000000" w:rsidRDefault="00000000" w:rsidRPr="00000000" w14:paraId="00000024">
      <w:pPr>
        <w:rPr>
          <w:b w:val="1"/>
          <w:bCs w:val="1"/>
        </w:rPr>
      </w:pPr>
      <w:r w:rsidDel="00000000" w:rsidR="00000000" w:rsidRPr="00000000">
        <w:rPr>
          <w:rFonts w:ascii="Arial" w:hAnsi="Arial"/>
          <w:b w:val="1"/>
          <w:bCs w:val="1"/>
          <w:sz w:val="20"/>
          <w:rtl w:val="0"/>
        </w:rPr>
        <w:t xml:space="preserve">Topic 2: DNS Zone Transfers</w:t>
      </w:r>
    </w:p>
    <w:p w:rsidR="00000000" w:rsidDel="00000000" w:rsidP="00000000" w:rsidRDefault="00000000" w:rsidRPr="00000000" w14:paraId="00000025">
      <w:pPr>
        <w:rPr>
          <w:b w:val="1"/>
          <w:bCs w:val="1"/>
        </w:rPr>
      </w:pPr>
      <w:r w:rsidDel="00000000" w:rsidR="00000000" w:rsidRPr="00000000">
        <w:rPr>
          <w:rFonts w:ascii="Arial" w:hAnsi="Arial"/>
          <w:sz w:val="20"/>
          <w:rtl w:val="0"/>
        </w:rPr>
      </w:r>
    </w:p>
    <w:p w:rsidR="00000000" w:rsidDel="00000000" w:rsidP="00000000" w:rsidRDefault="00000000" w:rsidRPr="00000000" w14:paraId="00000026">
      <w:pPr>
        <w:rPr>
          <w:b w:val="1"/>
          <w:bCs w:val="1"/>
        </w:rPr>
      </w:pPr>
      <w:r w:rsidDel="00000000" w:rsidR="00000000" w:rsidRPr="00000000">
        <w:rPr>
          <w:rFonts w:ascii="Arial" w:hAnsi="Arial"/>
          <w:b w:val="1"/>
          <w:bCs w:val="1"/>
          <w:sz w:val="20"/>
          <w:rtl w:val="0"/>
        </w:rPr>
        <w:t xml:space="preserve">Q2. (L3 – Apply) – 15 Marks</w:t>
      </w:r>
    </w:p>
    <w:p w:rsidR="00000000" w:rsidDel="00000000" w:rsidP="00000000" w:rsidRDefault="00000000" w:rsidRPr="00000000" w14:paraId="00000027">
      <w:pPr>
        <w:rPr/>
      </w:pPr>
      <w:r w:rsidDel="00000000" w:rsidR="00000000" w:rsidRPr="00000000">
        <w:rPr>
          <w:rFonts w:ascii="Arial" w:hAnsi="Arial"/>
          <w:sz w:val="20"/>
          <w:rtl w:val="0"/>
        </w:rPr>
      </w:r>
    </w:p>
    <w:p w:rsidR="00000000" w:rsidDel="00000000" w:rsidP="00000000" w:rsidRDefault="00000000" w:rsidRPr="00000000" w14:paraId="00000028">
      <w:pPr>
        <w:rPr/>
      </w:pPr>
      <w:r w:rsidDel="00000000" w:rsidR="00000000" w:rsidRPr="00000000">
        <w:rPr>
          <w:rFonts w:ascii="Arial" w:hAnsi="Arial"/>
          <w:sz w:val="20"/>
          <w:rtl w:val="0"/>
        </w:rPr>
        <w:t xml:space="preserve">During an authorized penetration test, a security analyst suspects that the target organization’s DNS server is misconfigured and may allow unauthorized DNS zone transfers.</w:t>
      </w:r>
    </w:p>
    <w:p w:rsidR="00000000" w:rsidDel="00000000" w:rsidP="00000000" w:rsidRDefault="00000000" w:rsidRPr="00000000" w14:paraId="00000029">
      <w:pPr>
        <w:rPr>
          <w:b w:val="1"/>
          <w:bCs w:val="1"/>
        </w:rPr>
      </w:pPr>
      <w:r w:rsidDel="00000000" w:rsidR="00000000" w:rsidRPr="00000000">
        <w:rPr>
          <w:rFonts w:ascii="Arial" w:hAnsi="Arial"/>
          <w:sz w:val="20"/>
          <w:rtl w:val="0"/>
        </w:rPr>
      </w:r>
    </w:p>
    <w:p w:rsidR="00000000" w:rsidDel="00000000" w:rsidP="00000000" w:rsidRDefault="00000000" w:rsidRPr="00000000" w14:paraId="0000002A">
      <w:pPr>
        <w:rPr/>
      </w:pPr>
      <w:r w:rsidDel="00000000" w:rsidR="00000000" w:rsidRPr="00000000">
        <w:rPr>
          <w:rFonts w:ascii="Arial" w:hAnsi="Arial"/>
          <w:b w:val="1"/>
          <w:bCs w:val="1"/>
          <w:sz w:val="20"/>
          <w:rtl w:val="0"/>
        </w:rPr>
        <w:t xml:space="preserve">Task:</w:t>
      </w:r>
      <w:r w:rsidDel="00000000" w:rsidR="00000000" w:rsidRPr="00000000">
        <w:rPr>
          <w:rFonts w:ascii="Arial" w:hAnsi="Arial"/>
          <w:sz w:val="20"/>
          <w:rtl w:val="0"/>
        </w:rPr>
        <w:t xml:space="preserve"> Apply the appropriate DNS command or tool to verify whether zone transfers are permitted. If the transfer succeeds, explain how the retrieved DNS records can be used to identify internal hosts, mail servers, and subdomains during reconnaissance.</w:t>
      </w:r>
    </w:p>
    <w:p w:rsidR="00000000" w:rsidDel="00000000" w:rsidP="00000000" w:rsidRDefault="00000000" w:rsidRPr="00000000" w14:paraId="0000002B">
      <w:pPr>
        <w:rPr>
          <w:b w:val="1"/>
          <w:bCs w:val="1"/>
        </w:rPr>
      </w:pPr>
      <w:r w:rsidDel="00000000" w:rsidR="00000000" w:rsidRPr="00000000">
        <w:rPr>
          <w:rFonts w:ascii="Arial" w:hAnsi="Arial"/>
          <w:sz w:val="20"/>
        </w:rPr>
        <w:br w:type="page"/>
      </w:r>
      <w:r w:rsidDel="00000000" w:rsidR="00000000" w:rsidRPr="00000000">
        <w:rPr>
          <w:rFonts w:ascii="Arial" w:hAnsi="Arial"/>
          <w:sz w:val="20"/>
          <w:rtl w:val="0"/>
        </w:rPr>
      </w:r>
    </w:p>
    <w:p w:rsidR="00000000" w:rsidDel="00000000" w:rsidP="00000000" w:rsidRDefault="00000000" w:rsidRPr="00000000" w14:paraId="0000002C">
      <w:pPr>
        <w:rPr>
          <w:b w:val="1"/>
          <w:bCs w:val="1"/>
        </w:rPr>
      </w:pPr>
      <w:r w:rsidDel="00000000" w:rsidR="00000000" w:rsidRPr="00000000">
        <w:rPr>
          <w:rFonts w:ascii="Arial" w:hAnsi="Arial"/>
          <w:sz w:val="20"/>
          <w:rtl w:val="0"/>
        </w:rPr>
      </w:r>
    </w:p>
    <w:p w:rsidR="00000000" w:rsidDel="00000000" w:rsidP="00000000" w:rsidRDefault="00000000" w:rsidRPr="00000000" w14:paraId="0000002D">
      <w:pPr>
        <w:rPr>
          <w:b w:val="1"/>
          <w:bCs w:val="1"/>
        </w:rPr>
      </w:pPr>
      <w:r w:rsidDel="00000000" w:rsidR="00000000" w:rsidRPr="00000000">
        <w:rPr>
          <w:rFonts w:ascii="Arial" w:hAnsi="Arial"/>
          <w:sz w:val="20"/>
          <w:rtl w:val="0"/>
        </w:rPr>
      </w:r>
    </w:p>
    <w:p w:rsidR="00000000" w:rsidDel="00000000" w:rsidP="00000000" w:rsidRDefault="00000000" w:rsidRPr="00000000" w14:paraId="0000002E">
      <w:pPr>
        <w:rPr>
          <w:b w:val="1"/>
          <w:bCs w:val="1"/>
        </w:rPr>
      </w:pPr>
      <w:r w:rsidDel="00000000" w:rsidR="00000000" w:rsidRPr="00000000">
        <w:rPr>
          <w:rFonts w:ascii="Arial" w:hAnsi="Arial"/>
          <w:b w:val="1"/>
          <w:bCs w:val="1"/>
          <w:sz w:val="20"/>
          <w:rtl w:val="0"/>
        </w:rPr>
        <w:t xml:space="preserve">Topic 3: Introduction to Social Engineering – Social Engineering Attacks and Countermeasures</w:t>
      </w:r>
    </w:p>
    <w:p w:rsidR="00000000" w:rsidDel="00000000" w:rsidP="00000000" w:rsidRDefault="00000000" w:rsidRPr="00000000" w14:paraId="0000002F">
      <w:pPr>
        <w:rPr>
          <w:b w:val="1"/>
          <w:bCs w:val="1"/>
        </w:rPr>
      </w:pPr>
      <w:r w:rsidDel="00000000" w:rsidR="00000000" w:rsidRPr="00000000">
        <w:rPr>
          <w:rFonts w:ascii="Arial" w:hAnsi="Arial"/>
          <w:sz w:val="20"/>
          <w:rtl w:val="0"/>
        </w:rPr>
      </w:r>
    </w:p>
    <w:p w:rsidR="00000000" w:rsidDel="00000000" w:rsidP="00000000" w:rsidRDefault="00000000" w:rsidRPr="00000000" w14:paraId="00000030">
      <w:pPr>
        <w:rPr>
          <w:b w:val="1"/>
          <w:bCs w:val="1"/>
        </w:rPr>
      </w:pPr>
      <w:r w:rsidDel="00000000" w:rsidR="00000000" w:rsidRPr="00000000">
        <w:rPr>
          <w:rFonts w:ascii="Arial" w:hAnsi="Arial"/>
          <w:b w:val="1"/>
          <w:bCs w:val="1"/>
          <w:sz w:val="20"/>
          <w:rtl w:val="0"/>
        </w:rPr>
        <w:t xml:space="preserve">Q3. (L3 – Apply) – 20 Marks</w:t>
      </w:r>
    </w:p>
    <w:p w:rsidR="00000000" w:rsidDel="00000000" w:rsidP="00000000" w:rsidRDefault="00000000" w:rsidRPr="00000000" w14:paraId="00000031">
      <w:pPr>
        <w:rPr/>
      </w:pPr>
      <w:r w:rsidDel="00000000" w:rsidR="00000000" w:rsidRPr="00000000">
        <w:rPr>
          <w:rFonts w:ascii="Arial" w:hAnsi="Arial"/>
          <w:sz w:val="20"/>
          <w:rtl w:val="0"/>
        </w:rPr>
      </w:r>
    </w:p>
    <w:p w:rsidR="00000000" w:rsidDel="00000000" w:rsidP="00000000" w:rsidRDefault="00000000" w:rsidRPr="00000000" w14:paraId="00000032">
      <w:pPr>
        <w:rPr/>
      </w:pPr>
      <w:r w:rsidDel="00000000" w:rsidR="00000000" w:rsidRPr="00000000">
        <w:rPr>
          <w:rFonts w:ascii="Arial" w:hAnsi="Arial"/>
          <w:sz w:val="20"/>
          <w:rtl w:val="0"/>
        </w:rPr>
        <w:t xml:space="preserve">Employees of an organization receive an email claiming to be from the IT department, asking them to verify their login credentials through a provided link because of an urgent security update.</w:t>
      </w:r>
    </w:p>
    <w:p w:rsidR="00000000" w:rsidDel="00000000" w:rsidP="00000000" w:rsidRDefault="00000000" w:rsidRPr="00000000" w14:paraId="00000033">
      <w:pPr>
        <w:rPr/>
      </w:pPr>
      <w:r w:rsidDel="00000000" w:rsidR="00000000" w:rsidRPr="00000000">
        <w:rPr>
          <w:rFonts w:ascii="Arial" w:hAnsi="Arial"/>
          <w:sz w:val="20"/>
          <w:rtl w:val="0"/>
        </w:rPr>
      </w:r>
    </w:p>
    <w:p w:rsidR="00000000" w:rsidDel="00000000" w:rsidP="00000000" w:rsidRDefault="00000000" w:rsidRPr="00000000" w14:paraId="00000034">
      <w:pPr>
        <w:rPr>
          <w:b w:val="1"/>
          <w:bCs w:val="1"/>
        </w:rPr>
      </w:pPr>
      <w:r w:rsidDel="00000000" w:rsidR="00000000" w:rsidRPr="00000000">
        <w:rPr>
          <w:rFonts w:ascii="Arial" w:hAnsi="Arial"/>
          <w:sz w:val="20"/>
          <w:rtl w:val="0"/>
        </w:rPr>
        <w:t xml:space="preserve">Task: Identify the type of social engineering attack and apply suitable countermeasures that employees should follow before responding to the email. Explain how these actions help prevent credential theft.</w:t>
      </w:r>
      <w:r w:rsidDel="00000000" w:rsidR="00000000" w:rsidRPr="00000000">
        <w:rPr>
          <w:rFonts w:ascii="Arial" w:hAnsi="Arial"/>
          <w:sz w:val="20"/>
          <w:rtl w:val="0"/>
        </w:rPr>
      </w:r>
    </w:p>
    <w:p w:rsidR="00000000" w:rsidDel="00000000" w:rsidP="00000000" w:rsidRDefault="00000000" w:rsidRPr="00000000" w14:paraId="00000035">
      <w:pPr>
        <w:rPr/>
      </w:pPr>
      <w:r w:rsidDel="00000000" w:rsidR="00000000" w:rsidRPr="00000000">
        <w:rPr>
          <w:rFonts w:ascii="Arial" w:hAnsi="Arial"/>
          <w:sz w:val="20"/>
          <w:rtl w:val="0"/>
        </w:rPr>
      </w:r>
    </w:p>
    <w:p w:rsidR="00000000" w:rsidDel="00000000" w:rsidP="00000000" w:rsidRDefault="00000000" w:rsidRPr="00000000" w14:paraId="00000036">
      <w:pPr>
        <w:rPr/>
      </w:pPr>
      <w:r w:rsidDel="00000000" w:rsidR="00000000" w:rsidRPr="00000000">
        <w:rPr>
          <w:rFonts w:ascii="Arial" w:hAnsi="Arial"/>
          <w:sz w:val="20"/>
          <w:rtl w:val="0"/>
        </w:rPr>
      </w:r>
    </w:p>
    <w:p w:rsidR="00000000" w:rsidDel="00000000" w:rsidP="00000000" w:rsidRDefault="00000000" w:rsidRPr="00000000" w14:paraId="00000037">
      <w:pPr>
        <w:rPr/>
      </w:pPr>
      <w:r w:rsidDel="00000000" w:rsidR="00000000" w:rsidRPr="00000000">
        <w:rPr>
          <w:rFonts w:ascii="Arial" w:hAnsi="Arial"/>
          <w:b w:val="1"/>
          <w:bCs w:val="1"/>
          <w:i w:val="1"/>
          <w:iCs w:val="1"/>
          <w:sz w:val="20"/>
          <w:rtl w:val="0"/>
        </w:rPr>
        <w:t xml:space="preserve">Code of Conduct:</w:t>
      </w:r>
      <w:r w:rsidDel="00000000" w:rsidR="00000000" w:rsidRPr="00000000">
        <w:rPr>
          <w:rFonts w:ascii="Arial" w:hAnsi="Arial"/>
          <w:sz w:val="20"/>
          <w:rtl w:val="0"/>
        </w:rPr>
      </w:r>
    </w:p>
    <w:p w:rsidR="00000000" w:rsidDel="00000000" w:rsidP="00000000" w:rsidRDefault="00000000" w:rsidRPr="00000000" w14:paraId="00000038">
      <w:pPr>
        <w:rPr/>
      </w:pPr>
      <w:r w:rsidDel="00000000" w:rsidR="00000000" w:rsidRPr="00000000">
        <w:rPr>
          <w:rFonts w:ascii="Arial" w:hAnsi="Arial"/>
          <w:sz w:val="20"/>
          <w:rtl w:val="0"/>
        </w:rPr>
      </w:r>
    </w:p>
    <w:p w:rsidR="00000000" w:rsidDel="00000000" w:rsidP="00000000" w:rsidRDefault="00000000" w:rsidRPr="00000000" w14:paraId="00000039">
      <w:pPr>
        <w:jc w:val="both"/>
        <w:rPr/>
      </w:pPr>
      <w:r>
        <w:rPr>
          <w:rFonts w:ascii="Arial" w:hAnsi="Arial"/>
          <w:sz w:val="20"/>
        </w:rPr>
        <w:t>I A. Manoj Reddy ____________________ (Reg No.) certify that this submission is my original work and that I have adhered to the guidelines specified for this assessment.</w:t>
      </w:r>
    </w:p>
    <w:p w:rsidR="00000000" w:rsidDel="00000000" w:rsidP="00000000" w:rsidRDefault="00000000" w:rsidRPr="00000000" w14:paraId="0000003A">
      <w:pPr>
        <w:jc w:val="both"/>
        <w:rPr/>
      </w:pPr>
      <w:r w:rsidDel="00000000" w:rsidR="00000000" w:rsidRPr="00000000">
        <w:rPr>
          <w:rFonts w:ascii="Arial" w:hAnsi="Arial"/>
          <w:i w:val="1"/>
          <w:iCs w:val="1"/>
          <w:sz w:val="20"/>
          <w:rtl w:val="0"/>
        </w:rPr>
        <w:t xml:space="preserve">I understand that any violation of academic integrity rules will result in disciplinary action.</w:t>
      </w:r>
      <w:r w:rsidDel="00000000" w:rsidR="00000000" w:rsidRPr="00000000">
        <w:rPr>
          <w:rFonts w:ascii="Arial" w:hAnsi="Arial"/>
          <w:sz w:val="20"/>
          <w:rtl w:val="0"/>
        </w:rPr>
      </w:r>
    </w:p>
    <w:p w:rsidR="00000000" w:rsidDel="00000000" w:rsidP="00000000" w:rsidRDefault="00000000" w:rsidRPr="00000000" w14:paraId="0000003B">
      <w:pPr>
        <w:rPr/>
      </w:pPr>
      <w:r w:rsidDel="00000000" w:rsidR="00000000" w:rsidRPr="00000000">
        <w:rPr>
          <w:rFonts w:ascii="Arial" w:hAnsi="Arial"/>
          <w:sz w:val="20"/>
          <w:rtl w:val="0"/>
        </w:rPr>
      </w:r>
    </w:p>
    <w:p w:rsidR="00000000" w:rsidDel="00000000" w:rsidP="00000000" w:rsidRDefault="00000000" w:rsidRPr="00000000" w14:paraId="0000003C">
      <w:pPr>
        <w:rPr/>
      </w:pPr>
      <w:r>
        <w:rPr>
          <w:rFonts w:ascii="Arial" w:hAnsi="Arial"/>
          <w:sz w:val="20"/>
        </w:rPr>
        <w:t>Signature of the student: A. Manoj Reddy</w:t>
      </w:r>
    </w:p>
    <w:p w:rsidR="00000000" w:rsidDel="00000000" w:rsidP="00000000" w:rsidRDefault="00000000" w:rsidRPr="00000000" w14:paraId="0000003D">
      <w:pPr>
        <w:rPr/>
      </w:pPr>
      <w:r w:rsidDel="00000000" w:rsidR="00000000" w:rsidRPr="00000000">
        <w:rPr>
          <w:rFonts w:ascii="Arial" w:hAnsi="Arial"/>
          <w:sz w:val="20"/>
          <w:rtl w:val="0"/>
        </w:rPr>
      </w:r>
    </w:p>
    <w:p w:rsidR="00000000" w:rsidDel="00000000" w:rsidP="00000000" w:rsidRDefault="00000000" w:rsidRPr="00000000" w14:paraId="0000003E">
      <w:pPr>
        <w:rPr/>
      </w:pPr>
      <w:r w:rsidDel="00000000" w:rsidR="00000000" w:rsidRPr="00000000">
        <w:rPr>
          <w:rFonts w:ascii="Arial" w:hAnsi="Arial"/>
          <w:sz w:val="20"/>
          <w:rtl w:val="0"/>
        </w:rPr>
      </w:r>
    </w:p>
    <w:p w:rsidR="00000000" w:rsidDel="00000000" w:rsidP="00000000" w:rsidRDefault="00000000" w:rsidRPr="00000000" w14:paraId="0000003F">
      <w:pPr>
        <w:rPr/>
      </w:pPr>
      <w:r w:rsidDel="00000000" w:rsidR="00000000" w:rsidRPr="00000000">
        <w:rPr>
          <w:rFonts w:ascii="Arial" w:hAnsi="Arial"/>
          <w:sz w:val="20"/>
          <w:rtl w:val="0"/>
        </w:rPr>
      </w:r>
    </w:p>
    <w:p w:rsidR="00000000" w:rsidDel="00000000" w:rsidP="00000000" w:rsidRDefault="00000000" w:rsidRPr="00000000" w14:paraId="00000040">
      <w:pPr>
        <w:rPr/>
      </w:pPr>
      <w:r w:rsidDel="00000000" w:rsidR="00000000" w:rsidRPr="00000000">
        <w:rPr>
          <w:rFonts w:ascii="Arial" w:hAnsi="Arial"/>
          <w:sz w:val="20"/>
        </w:rPr>
        <w:br w:type="page"/>
      </w:r>
      <w:r w:rsidDel="00000000" w:rsidR="00000000" w:rsidRPr="00000000">
        <w:rPr>
          <w:rFonts w:ascii="Arial" w:hAnsi="Arial"/>
          <w:sz w:val="20"/>
          <w:rtl w:val="0"/>
        </w:rPr>
      </w:r>
    </w:p>
    <w:p w:rsidR="00000000" w:rsidDel="00000000" w:rsidP="00000000" w:rsidRDefault="00000000" w:rsidRPr="00000000" w14:paraId="00000041">
      <w:pPr>
        <w:rPr/>
      </w:pPr>
      <w:r w:rsidDel="00000000" w:rsidR="00000000" w:rsidRPr="00000000">
        <w:rPr>
          <w:rFonts w:ascii="Arial" w:hAnsi="Arial"/>
          <w:sz w:val="20"/>
          <w:rtl w:val="0"/>
        </w:rPr>
      </w:r>
    </w:p>
    <w:p w:rsidR="00000000" w:rsidDel="00000000" w:rsidP="00000000" w:rsidRDefault="00000000" w:rsidRPr="00000000" w14:paraId="00000042">
      <w:pPr>
        <w:rPr/>
      </w:pPr>
      <w:r w:rsidDel="00000000" w:rsidR="00000000" w:rsidRPr="00000000">
        <w:rPr>
          <w:rFonts w:ascii="Arial" w:hAnsi="Arial"/>
          <w:sz w:val="20"/>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Fonts w:ascii="Arial" w:hAnsi="Arial"/>
          <w:sz w:val="20"/>
          <w:rtl w:val="0"/>
        </w:rPr>
      </w:r>
    </w:p>
    <w:tbl>
      <w:tblPr>
        <w:tblStyle w:val="Table1"/>
        <w:tblW w:w="10179.0" w:type="dxa"/>
        <w:jc w:val="left"/>
        <w:tblLayout w:type="fixed"/>
        <w:tblLook w:val="0000"/>
      </w:tblPr>
      <w:tblGrid>
        <w:gridCol w:w="1517"/>
        <w:gridCol w:w="1354"/>
        <w:gridCol w:w="1983"/>
        <w:gridCol w:w="1798"/>
        <w:gridCol w:w="1765"/>
        <w:gridCol w:w="1762"/>
        <w:tblGridChange w:id="0">
          <w:tblGrid>
            <w:gridCol w:w="1517"/>
            <w:gridCol w:w="1354"/>
            <w:gridCol w:w="1983"/>
            <w:gridCol w:w="1798"/>
            <w:gridCol w:w="1765"/>
            <w:gridCol w:w="1762"/>
          </w:tblGrid>
        </w:tblGridChange>
      </w:tblGrid>
      <w:tr>
        <w:trPr>
          <w:cantSplit w:val="0"/>
          <w:trHeight w:val="757" w:hRule="atLeast"/>
          <w:tblHeader w:val="0"/>
        </w:trPr>
        <w:tc>
          <w:tcPr>
            <w:gridSpan w:val="6"/>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Google Sans" w:cs="Google Sans" w:eastAsia="Google Sans" w:hAnsi="Google Sans"/>
                <w:b w:val="1"/>
                <w:bCs w:val="1"/>
                <w:color w:val="222222"/>
              </w:rPr>
            </w:pPr>
            <w:r w:rsidDel="00000000" w:rsidR="00000000" w:rsidRPr="00000000">
              <w:rPr>
                <w:rFonts w:ascii="Google Sans" w:cs="Google Sans" w:eastAsia="Google Sans" w:hAnsi="Google Sans"/>
                <w:b w:val="1"/>
                <w:bCs w:val="1"/>
                <w:color w:val="222222"/>
                <w:rtl w:val="0"/>
              </w:rPr>
              <w:t xml:space="preserve">Scenario Based Assessment</w:t>
            </w:r>
          </w:p>
        </w:tc>
      </w:tr>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Weightage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1 (Beginning)</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Understanding of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Demonstrates clear and complete understanding of the scenario and context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Shows good understanding with minor gaps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Partial understanding; misses key aspects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Misinterprets or fails to understand the scenario</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Identification of Key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Accurately identifies all relevant issues and factors involved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most key issues with minor omissions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limited issues; some irrelevant points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identify key issues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Application of Concepts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appropriate concepts effectively to address the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Limited or partially correct application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apply relevant concepts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 Making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well-reasoned, logical decisions with strong rationale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reasonable decisions with some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Makes weak decisions with limited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clear decisions made or rationale provided</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Clarity of Response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clear, structured, and logically presented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Generally clear with minor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Somewhat unclear or poorly structured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Disorganized and difficult to understand</w:t>
            </w:r>
          </w:p>
        </w:tc>
      </w:tr>
    </w:tbl>
    <w:p w:rsidR="00000000" w:rsidDel="00000000" w:rsidP="00000000" w:rsidRDefault="00000000" w:rsidRPr="00000000" w14:paraId="0000006F">
      <w:pPr>
        <w:rPr>
          <w:rFonts w:ascii="Arial" w:cs="Arial" w:eastAsia="Arial" w:hAnsi="Arial"/>
          <w:b w:val="1"/>
          <w:bCs w:val="1"/>
          <w:color w:val="000000"/>
        </w:rPr>
      </w:pPr>
      <w:r w:rsidDel="00000000" w:rsidR="00000000" w:rsidRPr="00000000">
        <w:rPr>
          <w:rFonts w:ascii="Arial" w:hAnsi="Arial"/>
          <w:sz w:val="20"/>
          <w:rtl w:val="0"/>
        </w:rPr>
      </w:r>
    </w:p>
    <w:p>
      <w:r>
        <w:rPr>
          <w:rFonts w:ascii="Arial" w:hAnsi="Arial"/>
          <w:sz w:val="20"/>
        </w:rPr>
        <w:br w:type="page"/>
      </w:r>
    </w:p>
    <w:p>
      <w:pPr>
        <w:pStyle w:val="Title"/>
        <w:jc w:val="center"/>
      </w:pPr>
      <w:r>
        <w:rPr>
          <w:rFonts w:ascii="Arial" w:hAnsi="Arial"/>
          <w:sz w:val="20"/>
        </w:rPr>
        <w:t>SOLVED ASSESSMENT TOOL 3 – SCENARIO-BASED ASSESSMENT</w:t>
      </w:r>
    </w:p>
    <w:p>
      <w:pPr>
        <w:jc w:val="center"/>
      </w:pPr>
      <w:r>
        <w:rPr>
          <w:rFonts w:ascii="Arial" w:hAnsi="Arial"/>
          <w:b/>
          <w:sz w:val="20"/>
        </w:rPr>
        <w:t>Name: A. Manoj Reddy</w:t>
        <w:br/>
        <w:t>Course: Ethical Hacking | Course Code: ITA14</w:t>
      </w:r>
    </w:p>
    <w:p>
      <w:r>
        <w:rPr>
          <w:rFonts w:ascii="Arial" w:hAnsi="Arial"/>
          <w:sz w:val="20"/>
        </w:rPr>
        <w:t>Note: The case gives the organization name “ABC Technologies” but does not provide its domain. Use the actual domain authorized by your instructor in place of example.com. The results below are procedures and interpretation guidance; no live findings are invented.</w:t>
      </w:r>
    </w:p>
    <w:p>
      <w:pPr>
        <w:pStyle w:val="Heading1"/>
      </w:pPr>
      <w:r>
        <w:rPr>
          <w:rFonts w:ascii="Arial" w:hAnsi="Arial"/>
          <w:sz w:val="20"/>
        </w:rPr>
        <w:t>Q1. Footprinting Tools – Conducting Competitive Intelligence (15 Marks)</w:t>
      </w:r>
    </w:p>
    <w:p>
      <w:pPr>
        <w:pStyle w:val="Heading2"/>
      </w:pPr>
      <w:r>
        <w:rPr>
          <w:rFonts w:ascii="Arial" w:hAnsi="Arial"/>
          <w:sz w:val="20"/>
        </w:rPr>
        <w:t>Aim</w:t>
      </w:r>
    </w:p>
    <w:p>
      <w:r>
        <w:rPr>
          <w:rFonts w:ascii="Arial" w:hAnsi="Arial"/>
          <w:sz w:val="20"/>
        </w:rPr>
        <w:t>To collect publicly available information about ABC Technologies without directly interacting with its servers, and use the information to understand its public-facing presence and technology choices.</w:t>
      </w:r>
    </w:p>
    <w:p>
      <w:pPr>
        <w:pStyle w:val="Heading2"/>
      </w:pPr>
      <w:r>
        <w:rPr>
          <w:rFonts w:ascii="Arial" w:hAnsi="Arial"/>
          <w:sz w:val="20"/>
        </w:rPr>
        <w:t>1. Domain registration details – WHOIS / RDAP</w:t>
      </w:r>
    </w:p>
    <w:p>
      <w:r>
        <w:rPr>
          <w:rFonts w:ascii="Arial" w:hAnsi="Arial"/>
          <w:sz w:val="20"/>
        </w:rPr>
        <w:t>Tool: WHOIS or an official RDAP lookup. These services can reveal registrar, registration and expiry dates, domain status, and nameservers. Registrant details may be privacy-protected.</w:t>
      </w:r>
    </w:p>
    <w:p>
      <w:r>
        <w:rPr>
          <w:rFonts w:ascii="Arial" w:hAnsi="Arial"/>
          <w:sz w:val="20"/>
        </w:rPr>
        <w:t>Example command (replace example.com with the authorized domain):</w:t>
      </w:r>
    </w:p>
    <w:p>
      <w:r>
        <w:rPr>
          <w:rFonts w:ascii="Arial" w:hAnsi="Arial"/>
          <w:sz w:val="20"/>
        </w:rPr>
        <w:t>whois example.com</w:t>
      </w:r>
    </w:p>
    <w:p>
      <w:r>
        <w:rPr>
          <w:rFonts w:ascii="Arial" w:hAnsi="Arial"/>
          <w:sz w:val="20"/>
        </w:rPr>
        <w:t>Competitive-intelligence value: registration dates and nameservers help establish domain ownership context, identify DNS providers, and understand changes in the organization's public footprint. Treat the data as clues; privacy services and outdated records may limit accuracy.</w:t>
      </w:r>
    </w:p>
    <w:p>
      <w:pPr>
        <w:pStyle w:val="Heading2"/>
      </w:pPr>
      <w:r>
        <w:rPr>
          <w:rFonts w:ascii="Arial" w:hAnsi="Arial"/>
          <w:sz w:val="20"/>
        </w:rPr>
        <w:t>2. Public employee email addresses – theHarvester</w:t>
      </w:r>
    </w:p>
    <w:p>
      <w:r>
        <w:rPr>
          <w:rFonts w:ascii="Arial" w:hAnsi="Arial"/>
          <w:sz w:val="20"/>
        </w:rPr>
        <w:t>Tool: theHarvester, using a public-source provider supported by the installed version. Run only passive searches and remain within the instructor-approved scope.</w:t>
      </w:r>
    </w:p>
    <w:p>
      <w:r>
        <w:rPr>
          <w:rFonts w:ascii="Arial" w:hAnsi="Arial"/>
          <w:sz w:val="20"/>
        </w:rPr>
        <w:t>Example commands:</w:t>
      </w:r>
    </w:p>
    <w:p>
      <w:r>
        <w:rPr>
          <w:rFonts w:ascii="Arial" w:hAnsi="Arial"/>
          <w:sz w:val="20"/>
        </w:rPr>
        <w:t>theHarvester -h</w:t>
      </w:r>
    </w:p>
    <w:p>
      <w:r>
        <w:rPr>
          <w:rFonts w:ascii="Arial" w:hAnsi="Arial"/>
          <w:sz w:val="20"/>
        </w:rPr>
        <w:t>theHarvester -d example.com -b crtsh -l 100</w:t>
      </w:r>
    </w:p>
    <w:p>
      <w:r>
        <w:rPr>
          <w:rFonts w:ascii="Arial" w:hAnsi="Arial"/>
          <w:sz w:val="20"/>
        </w:rPr>
        <w:t>Record only addresses returned by the tool, note the source, remove duplicates, and mark uncertain role classifications as unverified. Do not send emails or attempt logins.</w:t>
      </w:r>
    </w:p>
    <w:p>
      <w:r>
        <w:rPr>
          <w:rFonts w:ascii="Arial" w:hAnsi="Arial"/>
          <w:sz w:val="20"/>
        </w:rPr>
        <w:t>Competitive-intelligence value: public contact patterns may indicate how departments communicate and which business functions have public contact channels. The data may be incomplete or include false positives.</w:t>
      </w:r>
    </w:p>
    <w:p>
      <w:pPr>
        <w:pStyle w:val="Heading2"/>
      </w:pPr>
      <w:r>
        <w:rPr>
          <w:rFonts w:ascii="Arial" w:hAnsi="Arial"/>
          <w:sz w:val="20"/>
        </w:rPr>
        <w:t>3. Technology stack – Wappalyzer / BuiltWith</w:t>
      </w:r>
    </w:p>
    <w:p>
      <w:r>
        <w:rPr>
          <w:rFonts w:ascii="Arial" w:hAnsi="Arial"/>
          <w:sz w:val="20"/>
        </w:rPr>
        <w:t>Tools: Wappalyzer browser extension or BuiltWith public lookup. Review the organization's publicly accessible website or domain report without probing private systems.</w:t>
      </w:r>
    </w:p>
    <w:p>
      <w:r>
        <w:rPr>
          <w:rFonts w:ascii="Arial" w:hAnsi="Arial"/>
          <w:sz w:val="20"/>
        </w:rPr>
        <w:t>Record evidence such as CMS, analytics, CDN, web server clues, JavaScript frameworks, and publicly identified services. Do not claim a technology unless the tool actually reports it.</w:t>
      </w:r>
    </w:p>
    <w:p>
      <w:r>
        <w:rPr>
          <w:rFonts w:ascii="Arial" w:hAnsi="Arial"/>
          <w:sz w:val="20"/>
        </w:rPr>
        <w:t>Competitive-intelligence value: a technology profile can help compare public web capabilities and identify third-party dependencies. Fingerprinting is probabilistic, and technologies may be hidden or misidentified.</w:t>
      </w:r>
    </w:p>
    <w:p>
      <w:pPr>
        <w:pStyle w:val="Heading2"/>
      </w:pPr>
      <w:r>
        <w:rPr>
          <w:rFonts w:ascii="Arial" w:hAnsi="Arial"/>
          <w:sz w:val="20"/>
        </w:rPr>
        <w:t>4. Public subdomains – Certificate Transparency / DNS tools</w:t>
      </w:r>
    </w:p>
    <w:p>
      <w:r>
        <w:rPr>
          <w:rFonts w:ascii="Arial" w:hAnsi="Arial"/>
          <w:sz w:val="20"/>
        </w:rPr>
        <w:t>Tools: Certificate Transparency search (for example, crt.sh) and passive DNS/subdomain lookup services. Use the approved domain and record source and date.</w:t>
      </w:r>
    </w:p>
    <w:p>
      <w:r>
        <w:rPr>
          <w:rFonts w:ascii="Arial" w:hAnsi="Arial"/>
          <w:sz w:val="20"/>
        </w:rPr>
        <w:t>Example URL: https://crt.sh/?q=%25.example.com</w:t>
      </w:r>
    </w:p>
    <w:p>
      <w:r>
        <w:rPr>
          <w:rFonts w:ascii="Arial" w:hAnsi="Arial"/>
          <w:sz w:val="20"/>
        </w:rPr>
        <w:t>Optional DNS query for a known public hostname: nslookup www.example.com</w:t>
      </w:r>
    </w:p>
    <w:p>
      <w:r>
        <w:rPr>
          <w:rFonts w:ascii="Arial" w:hAnsi="Arial"/>
          <w:sz w:val="20"/>
        </w:rPr>
        <w:t>Competitive-intelligence value: public subdomains may reveal product names, regional sites, test environments, or service categories. A discovered hostname does not prove that it is active, internal, or vulnerable.</w:t>
      </w:r>
    </w:p>
    <w:p>
      <w:pPr>
        <w:pStyle w:val="Heading2"/>
      </w:pPr>
      <w:r>
        <w:rPr>
          <w:rFonts w:ascii="Arial" w:hAnsi="Arial"/>
          <w:sz w:val="20"/>
        </w:rPr>
        <w:t>Findings summary table</w:t>
      </w:r>
    </w:p>
    <w:tbl>
      <w:tblPr>
        <w:tblW w:type="auto" w:w="0"/>
        <w:tblLook w:firstColumn="1" w:firstRow="1" w:lastColumn="0" w:lastRow="0" w:noHBand="0" w:noVBand="1" w:val="04A0"/>
      </w:tblPr>
      <w:tblGrid>
        <w:gridCol w:w="2617"/>
        <w:gridCol w:w="2617"/>
        <w:gridCol w:w="2617"/>
        <w:gridCol w:w="2617"/>
      </w:tblGrid>
      <w:tr>
        <w:tc>
          <w:tcPr>
            <w:tcW w:type="dxa" w:w="2617"/>
          </w:tcPr>
          <w:p>
            <w:r>
              <w:t>Information sought</w:t>
            </w:r>
          </w:p>
        </w:tc>
        <w:tc>
          <w:tcPr>
            <w:tcW w:type="dxa" w:w="2617"/>
          </w:tcPr>
          <w:p>
            <w:r>
              <w:t>Suitable tool</w:t>
            </w:r>
          </w:p>
        </w:tc>
        <w:tc>
          <w:tcPr>
            <w:tcW w:type="dxa" w:w="2617"/>
          </w:tcPr>
          <w:p>
            <w:r>
              <w:t>Evidence to record</w:t>
            </w:r>
          </w:p>
        </w:tc>
        <w:tc>
          <w:tcPr>
            <w:tcW w:type="dxa" w:w="2617"/>
          </w:tcPr>
          <w:p>
            <w:r>
              <w:t>Result</w:t>
            </w:r>
          </w:p>
        </w:tc>
      </w:tr>
      <w:tr>
        <w:tc>
          <w:tcPr>
            <w:tcW w:type="dxa" w:w="2617"/>
          </w:tcPr>
          <w:p>
            <w:r>
              <w:t>Domain registration</w:t>
            </w:r>
          </w:p>
        </w:tc>
        <w:tc>
          <w:tcPr>
            <w:tcW w:type="dxa" w:w="2617"/>
          </w:tcPr>
          <w:p>
            <w:r>
              <w:t>WHOIS / RDAP</w:t>
            </w:r>
          </w:p>
        </w:tc>
        <w:tc>
          <w:tcPr>
            <w:tcW w:type="dxa" w:w="2617"/>
          </w:tcPr>
          <w:p>
            <w:r>
              <w:t>Registrar, dates, status, nameservers</w:t>
            </w:r>
          </w:p>
        </w:tc>
        <w:tc>
          <w:tcPr>
            <w:tcW w:type="dxa" w:w="2617"/>
          </w:tcPr>
          <w:p>
            <w:r>
              <w:t>Fill from actual lookup</w:t>
            </w:r>
          </w:p>
        </w:tc>
      </w:tr>
      <w:tr>
        <w:tc>
          <w:tcPr>
            <w:tcW w:type="dxa" w:w="2617"/>
          </w:tcPr>
          <w:p>
            <w:r>
              <w:t>Employee emails</w:t>
            </w:r>
          </w:p>
        </w:tc>
        <w:tc>
          <w:tcPr>
            <w:tcW w:type="dxa" w:w="2617"/>
          </w:tcPr>
          <w:p>
            <w:r>
              <w:t>theHarvester</w:t>
            </w:r>
          </w:p>
        </w:tc>
        <w:tc>
          <w:tcPr>
            <w:tcW w:type="dxa" w:w="2617"/>
          </w:tcPr>
          <w:p>
            <w:r>
              <w:t>Address, public source, confidence</w:t>
            </w:r>
          </w:p>
        </w:tc>
        <w:tc>
          <w:tcPr>
            <w:tcW w:type="dxa" w:w="2617"/>
          </w:tcPr>
          <w:p>
            <w:r>
              <w:t>Fill from actual output</w:t>
            </w:r>
          </w:p>
        </w:tc>
      </w:tr>
      <w:tr>
        <w:tc>
          <w:tcPr>
            <w:tcW w:type="dxa" w:w="2617"/>
          </w:tcPr>
          <w:p>
            <w:r>
              <w:t>Technology stack</w:t>
            </w:r>
          </w:p>
        </w:tc>
        <w:tc>
          <w:tcPr>
            <w:tcW w:type="dxa" w:w="2617"/>
          </w:tcPr>
          <w:p>
            <w:r>
              <w:t>Wappalyzer / BuiltWith</w:t>
            </w:r>
          </w:p>
        </w:tc>
        <w:tc>
          <w:tcPr>
            <w:tcW w:type="dxa" w:w="2617"/>
          </w:tcPr>
          <w:p>
            <w:r>
              <w:t>Detected technology and page/source</w:t>
            </w:r>
          </w:p>
        </w:tc>
        <w:tc>
          <w:tcPr>
            <w:tcW w:type="dxa" w:w="2617"/>
          </w:tcPr>
          <w:p>
            <w:r>
              <w:t>Fill from actual lookup</w:t>
            </w:r>
          </w:p>
        </w:tc>
      </w:tr>
      <w:tr>
        <w:tc>
          <w:tcPr>
            <w:tcW w:type="dxa" w:w="2617"/>
          </w:tcPr>
          <w:p>
            <w:r>
              <w:t>Subdomains</w:t>
            </w:r>
          </w:p>
        </w:tc>
        <w:tc>
          <w:tcPr>
            <w:tcW w:type="dxa" w:w="2617"/>
          </w:tcPr>
          <w:p>
            <w:r>
              <w:t>Certificate Transparency / passive DNS</w:t>
            </w:r>
          </w:p>
        </w:tc>
        <w:tc>
          <w:tcPr>
            <w:tcW w:type="dxa" w:w="2617"/>
          </w:tcPr>
          <w:p>
            <w:r>
              <w:t>Hostname, source, date, validation status</w:t>
            </w:r>
          </w:p>
        </w:tc>
        <w:tc>
          <w:tcPr>
            <w:tcW w:type="dxa" w:w="2617"/>
          </w:tcPr>
          <w:p>
            <w:r>
              <w:t>Fill from actual output</w:t>
            </w:r>
          </w:p>
        </w:tc>
      </w:tr>
    </w:tbl>
    <w:p>
      <w:pPr>
        <w:pStyle w:val="Heading2"/>
      </w:pPr>
      <w:r>
        <w:rPr>
          <w:rFonts w:ascii="Arial" w:hAnsi="Arial"/>
          <w:sz w:val="20"/>
        </w:rPr>
        <w:t>Risk and ethical considerations</w:t>
      </w:r>
    </w:p>
    <w:p>
      <w:r>
        <w:rPr>
          <w:rFonts w:ascii="Arial" w:hAnsi="Arial"/>
          <w:sz w:val="20"/>
        </w:rPr>
        <w:t>• Keep the activity passive as required by the scenario; do not scan or test ABC Technologies' servers for this question.</w:t>
      </w:r>
    </w:p>
    <w:p>
      <w:r>
        <w:rPr>
          <w:rFonts w:ascii="Arial" w:hAnsi="Arial"/>
          <w:sz w:val="20"/>
        </w:rPr>
        <w:t>• Public information can enable targeted phishing, impersonation, vendor mapping, or discovery of overlooked test environments.</w:t>
      </w:r>
    </w:p>
    <w:p>
      <w:r>
        <w:rPr>
          <w:rFonts w:ascii="Arial" w:hAnsi="Arial"/>
          <w:sz w:val="20"/>
        </w:rPr>
        <w:t>• Validate findings across reputable sources and note uncertainty, dates, and false-positive risk.</w:t>
      </w:r>
    </w:p>
    <w:p>
      <w:r>
        <w:rPr>
          <w:rFonts w:ascii="Arial" w:hAnsi="Arial"/>
          <w:sz w:val="20"/>
        </w:rPr>
        <w:t>• Recommended defenses include minimizing unnecessary public contact data, monitoring certificate transparency and DNS records, reviewing third-party exposure, and training staff to verify unusual requests.</w:t>
      </w:r>
    </w:p>
    <w:p>
      <w:r>
        <w:rPr>
          <w:rFonts w:ascii="Arial" w:hAnsi="Arial"/>
          <w:sz w:val="20"/>
        </w:rPr>
        <w:t>Conclusion: WHOIS/RDAP, theHarvester, Wappalyzer/BuiltWith, and Certificate Transparency searches serve different purposes. Combined carefully, they build a public footprint profile without directly interacting with company servers.</w:t>
      </w:r>
    </w:p>
    <w:p>
      <w:r>
        <w:rPr>
          <w:rFonts w:ascii="Arial" w:hAnsi="Arial"/>
          <w:sz w:val="20"/>
        </w:rPr>
        <w:br w:type="page"/>
      </w:r>
    </w:p>
    <w:p>
      <w:pPr>
        <w:pStyle w:val="Heading1"/>
      </w:pPr>
      <w:r>
        <w:rPr>
          <w:rFonts w:ascii="Arial" w:hAnsi="Arial"/>
          <w:sz w:val="20"/>
        </w:rPr>
        <w:t>Q2. DNS Zone Transfers (15 Marks)</w:t>
      </w:r>
    </w:p>
    <w:p>
      <w:pPr>
        <w:pStyle w:val="Heading2"/>
      </w:pPr>
      <w:r>
        <w:rPr>
          <w:rFonts w:ascii="Arial" w:hAnsi="Arial"/>
          <w:sz w:val="20"/>
        </w:rPr>
        <w:t>Aim</w:t>
      </w:r>
    </w:p>
    <w:p>
      <w:r>
        <w:rPr>
          <w:rFonts w:ascii="Arial" w:hAnsi="Arial"/>
          <w:sz w:val="20"/>
        </w:rPr>
        <w:t>Verify, during an authorized penetration test, whether a target authoritative DNS server permits an AXFR zone transfer to an unauthorized client.</w:t>
      </w:r>
    </w:p>
    <w:p>
      <w:pPr>
        <w:pStyle w:val="Heading2"/>
      </w:pPr>
      <w:r>
        <w:rPr>
          <w:rFonts w:ascii="Arial" w:hAnsi="Arial"/>
          <w:sz w:val="20"/>
        </w:rPr>
        <w:t>Procedure and commands</w:t>
      </w:r>
    </w:p>
    <w:p>
      <w:r>
        <w:rPr>
          <w:rFonts w:ascii="Arial" w:hAnsi="Arial"/>
          <w:sz w:val="20"/>
        </w:rPr>
        <w:t>1. Identify the domain and its authoritative name servers using approved DNS lookup tools:</w:t>
      </w:r>
    </w:p>
    <w:p>
      <w:r>
        <w:rPr>
          <w:rFonts w:ascii="Arial" w:hAnsi="Arial"/>
          <w:sz w:val="20"/>
        </w:rPr>
        <w:t>dig NS example.com</w:t>
      </w:r>
    </w:p>
    <w:p>
      <w:r>
        <w:rPr>
          <w:rFonts w:ascii="Arial" w:hAnsi="Arial"/>
          <w:sz w:val="20"/>
        </w:rPr>
        <w:t>2. Select an authoritative name server from the result and test AXFR only with written authorization:</w:t>
      </w:r>
    </w:p>
    <w:p>
      <w:r>
        <w:rPr>
          <w:rFonts w:ascii="Arial" w:hAnsi="Arial"/>
          <w:sz w:val="20"/>
        </w:rPr>
        <w:t>dig @ns1.example.com example.com AXFR</w:t>
      </w:r>
    </w:p>
    <w:p>
      <w:r>
        <w:rPr>
          <w:rFonts w:ascii="Arial" w:hAnsi="Arial"/>
          <w:sz w:val="20"/>
        </w:rPr>
        <w:t>Alternative tool:</w:t>
      </w:r>
    </w:p>
    <w:p>
      <w:r>
        <w:rPr>
          <w:rFonts w:ascii="Arial" w:hAnsi="Arial"/>
          <w:sz w:val="20"/>
        </w:rPr>
        <w:t>host -l example.com ns1.example.com</w:t>
      </w:r>
    </w:p>
    <w:p>
      <w:r>
        <w:rPr>
          <w:rFonts w:ascii="Arial" w:hAnsi="Arial"/>
          <w:sz w:val="20"/>
        </w:rPr>
        <w:t>Replace example.com and ns1.example.com with the in-scope domain and authoritative server. Do not test unrelated organizations.</w:t>
      </w:r>
    </w:p>
    <w:p>
      <w:pPr>
        <w:pStyle w:val="Heading2"/>
      </w:pPr>
      <w:r>
        <w:rPr>
          <w:rFonts w:ascii="Arial" w:hAnsi="Arial"/>
          <w:sz w:val="20"/>
        </w:rPr>
        <w:t>How to interpret results</w:t>
      </w:r>
    </w:p>
    <w:p>
      <w:r>
        <w:rPr>
          <w:rFonts w:ascii="Arial" w:hAnsi="Arial"/>
          <w:sz w:val="20"/>
        </w:rPr>
        <w:t>• If the transfer succeeds, the response may contain many zone records, such as A/AAAA records, CNAME aliases, MX mail-server records, NS records, TXT records, and other published DNS data.</w:t>
      </w:r>
    </w:p>
    <w:p>
      <w:r>
        <w:rPr>
          <w:rFonts w:ascii="Arial" w:hAnsi="Arial"/>
          <w:sz w:val="20"/>
        </w:rPr>
        <w:t>• If the server refuses the transfer or times out, that does not necessarily prove the configuration is secure; network filtering or server policy may affect the result. Record the exact output and time.</w:t>
      </w:r>
    </w:p>
    <w:p>
      <w:r>
        <w:rPr>
          <w:rFonts w:ascii="Arial" w:hAnsi="Arial"/>
          <w:sz w:val="20"/>
        </w:rPr>
        <w:t>• A successful transfer can expose host naming patterns, mail infrastructure, service aliases, and subdomains. Some names may describe internal systems, but only classify them as internal after authorized validation.</w:t>
      </w:r>
    </w:p>
    <w:p>
      <w:pPr>
        <w:pStyle w:val="Heading2"/>
      </w:pPr>
      <w:r>
        <w:rPr>
          <w:rFonts w:ascii="Arial" w:hAnsi="Arial"/>
          <w:sz w:val="20"/>
        </w:rPr>
        <w:t>Reconnaissance implications</w:t>
      </w:r>
    </w:p>
    <w:p>
      <w:r>
        <w:rPr>
          <w:rFonts w:ascii="Arial" w:hAnsi="Arial"/>
          <w:sz w:val="20"/>
        </w:rPr>
        <w:t>Mail servers: MX records identify mail exchangers and may reveal the organization's email provider or mail gateway.</w:t>
      </w:r>
    </w:p>
    <w:p>
      <w:r>
        <w:rPr>
          <w:rFonts w:ascii="Arial" w:hAnsi="Arial"/>
          <w:sz w:val="20"/>
        </w:rPr>
        <w:t>Hosts: A/AAAA records map names to IPv4/IPv6 addresses; naming patterns can suggest roles such as VPN, portal, dev, or staging, but names alone are not proof.</w:t>
      </w:r>
    </w:p>
    <w:p>
      <w:r>
        <w:rPr>
          <w:rFonts w:ascii="Arial" w:hAnsi="Arial"/>
          <w:sz w:val="20"/>
        </w:rPr>
        <w:t>Subdomains and aliases: CNAME and NS records may reveal additional services, delegated zones, or third-party hosting relationships.</w:t>
      </w:r>
    </w:p>
    <w:p>
      <w:r>
        <w:rPr>
          <w:rFonts w:ascii="Arial" w:hAnsi="Arial"/>
          <w:sz w:val="20"/>
        </w:rPr>
        <w:t>Security risk: an exposed full zone can make asset discovery easier and help attackers tailor social-engineering pretexts. DNS records alone do not establish exploitability.</w:t>
      </w:r>
    </w:p>
    <w:p>
      <w:pPr>
        <w:pStyle w:val="Heading2"/>
      </w:pPr>
      <w:r>
        <w:rPr>
          <w:rFonts w:ascii="Arial" w:hAnsi="Arial"/>
          <w:sz w:val="20"/>
        </w:rPr>
        <w:t>Defensive recommendations</w:t>
      </w:r>
    </w:p>
    <w:p>
      <w:r>
        <w:rPr>
          <w:rFonts w:ascii="Arial" w:hAnsi="Arial"/>
          <w:sz w:val="20"/>
        </w:rPr>
        <w:t>Restrict AXFR to explicitly authorized secondary name servers using ACLs and firewall rules.</w:t>
      </w:r>
    </w:p>
    <w:p>
      <w:r>
        <w:rPr>
          <w:rFonts w:ascii="Arial" w:hAnsi="Arial"/>
          <w:sz w:val="20"/>
        </w:rPr>
        <w:t>Review every authoritative DNS server and verify that unauthorized clients receive a refusal.</w:t>
      </w:r>
    </w:p>
    <w:p>
      <w:r>
        <w:rPr>
          <w:rFonts w:ascii="Arial" w:hAnsi="Arial"/>
          <w:sz w:val="20"/>
        </w:rPr>
        <w:t>Monitor DNS configuration changes and log transfer attempts.</w:t>
      </w:r>
    </w:p>
    <w:p>
      <w:r>
        <w:rPr>
          <w:rFonts w:ascii="Arial" w:hAnsi="Arial"/>
          <w:sz w:val="20"/>
        </w:rPr>
        <w:t>Minimize unnecessary DNS records and remove stale hostnames.</w:t>
      </w:r>
    </w:p>
    <w:p>
      <w:r>
        <w:rPr>
          <w:rFonts w:ascii="Arial" w:hAnsi="Arial"/>
          <w:sz w:val="20"/>
        </w:rPr>
        <w:t>Retest after remediation and preserve evidence in the authorized penetration-test report.</w:t>
      </w:r>
    </w:p>
    <w:p>
      <w:r>
        <w:rPr>
          <w:rFonts w:ascii="Arial" w:hAnsi="Arial"/>
          <w:sz w:val="20"/>
        </w:rPr>
        <w:t>Conclusion: A permitted AXFR response should contain zone data; a refusal is expected for unauthorized clients. The report should state the exact command, target server, timestamp, and observed result.</w:t>
      </w:r>
    </w:p>
    <w:p>
      <w:r>
        <w:rPr>
          <w:rFonts w:ascii="Arial" w:hAnsi="Arial"/>
          <w:sz w:val="20"/>
        </w:rPr>
        <w:br w:type="page"/>
      </w:r>
    </w:p>
    <w:p>
      <w:pPr>
        <w:pStyle w:val="Heading1"/>
      </w:pPr>
      <w:r>
        <w:rPr>
          <w:rFonts w:ascii="Arial" w:hAnsi="Arial"/>
          <w:sz w:val="20"/>
        </w:rPr>
        <w:t>Q3. Social Engineering Attack and Countermeasures (20 Marks)</w:t>
      </w:r>
    </w:p>
    <w:p>
      <w:pPr>
        <w:pStyle w:val="Heading2"/>
      </w:pPr>
      <w:r>
        <w:rPr>
          <w:rFonts w:ascii="Arial" w:hAnsi="Arial"/>
          <w:sz w:val="20"/>
        </w:rPr>
        <w:t>Attack identification</w:t>
      </w:r>
    </w:p>
    <w:p>
      <w:r>
        <w:rPr>
          <w:rFonts w:ascii="Arial" w:hAnsi="Arial"/>
          <w:sz w:val="20"/>
        </w:rPr>
        <w:t>The email is a phishing attempt. It uses IT-department impersonation, urgency (“urgent security update”), and a link asking employees to verify login credentials. These are common signs of credential-phishing and may also involve pretexting or authority pressure.</w:t>
      </w:r>
    </w:p>
    <w:p>
      <w:pPr>
        <w:pStyle w:val="Heading2"/>
      </w:pPr>
      <w:r>
        <w:rPr>
          <w:rFonts w:ascii="Arial" w:hAnsi="Arial"/>
          <w:sz w:val="20"/>
        </w:rPr>
        <w:t>Warning signs</w:t>
      </w:r>
    </w:p>
    <w:p>
      <w:r>
        <w:rPr>
          <w:rFonts w:ascii="Arial" w:hAnsi="Arial"/>
          <w:sz w:val="20"/>
        </w:rPr>
        <w:t>Urgent or threatening language designed to make the recipient act without checking.</w:t>
      </w:r>
    </w:p>
    <w:p>
      <w:r>
        <w:rPr>
          <w:rFonts w:ascii="Arial" w:hAnsi="Arial"/>
          <w:sz w:val="20"/>
        </w:rPr>
        <w:t>A request to enter credentials after following an email link.</w:t>
      </w:r>
    </w:p>
    <w:p>
      <w:r>
        <w:rPr>
          <w:rFonts w:ascii="Arial" w:hAnsi="Arial"/>
          <w:sz w:val="20"/>
        </w:rPr>
        <w:t>A sender display name that claims to be IT but may not match the real sender address or domain.</w:t>
      </w:r>
    </w:p>
    <w:p>
      <w:r>
        <w:rPr>
          <w:rFonts w:ascii="Arial" w:hAnsi="Arial"/>
          <w:sz w:val="20"/>
        </w:rPr>
        <w:t>A link whose actual destination may differ from its displayed text or use a look-alike domain.</w:t>
      </w:r>
    </w:p>
    <w:p>
      <w:r>
        <w:rPr>
          <w:rFonts w:ascii="Arial" w:hAnsi="Arial"/>
          <w:sz w:val="20"/>
        </w:rPr>
        <w:t>Unexpected security notices that are not confirmed through an official channel.</w:t>
      </w:r>
    </w:p>
    <w:p>
      <w:pPr>
        <w:pStyle w:val="Heading2"/>
      </w:pPr>
      <w:r>
        <w:rPr>
          <w:rFonts w:ascii="Arial" w:hAnsi="Arial"/>
          <w:sz w:val="20"/>
        </w:rPr>
        <w:t>Countermeasures employees should apply</w:t>
      </w:r>
    </w:p>
    <w:p>
      <w:r>
        <w:rPr>
          <w:rFonts w:ascii="Arial" w:hAnsi="Arial"/>
          <w:sz w:val="20"/>
        </w:rPr>
        <w:t>Do not click the link or enter credentials. Open the organization's known official portal using a saved bookmark or typed address instead.</w:t>
      </w:r>
    </w:p>
    <w:p>
      <w:r>
        <w:rPr>
          <w:rFonts w:ascii="Arial" w:hAnsi="Arial"/>
          <w:sz w:val="20"/>
        </w:rPr>
        <w:t>Inspect the full sender address and link destination carefully, but do not rely on appearance alone; sender addresses can be spoofed and links can be deceptive.</w:t>
      </w:r>
    </w:p>
    <w:p>
      <w:r>
        <w:rPr>
          <w:rFonts w:ascii="Arial" w:hAnsi="Arial"/>
          <w:sz w:val="20"/>
        </w:rPr>
        <w:t>Verify the request through a separate trusted channel, such as the published IT help-desk number or official ticketing system.</w:t>
      </w:r>
    </w:p>
    <w:p>
      <w:r>
        <w:rPr>
          <w:rFonts w:ascii="Arial" w:hAnsi="Arial"/>
          <w:sz w:val="20"/>
        </w:rPr>
        <w:t>Report the message using the organization's phishing-report button or security team process; do not forward it widely.</w:t>
      </w:r>
    </w:p>
    <w:p>
      <w:r>
        <w:rPr>
          <w:rFonts w:ascii="Arial" w:hAnsi="Arial"/>
          <w:sz w:val="20"/>
        </w:rPr>
        <w:t>Never share passwords, one-time passcodes, or approve unexpected MFA prompts in response to an email.</w:t>
      </w:r>
    </w:p>
    <w:p>
      <w:r>
        <w:rPr>
          <w:rFonts w:ascii="Arial" w:hAnsi="Arial"/>
          <w:sz w:val="20"/>
        </w:rPr>
        <w:t>If credentials were entered, immediately contact IT/security, change the password through the official site, revoke active sessions if instructed, and review MFA/account activity.</w:t>
      </w:r>
    </w:p>
    <w:p>
      <w:pPr>
        <w:pStyle w:val="Heading2"/>
      </w:pPr>
      <w:r>
        <w:rPr>
          <w:rFonts w:ascii="Arial" w:hAnsi="Arial"/>
          <w:sz w:val="20"/>
        </w:rPr>
        <w:t>How these actions prevent credential theft</w:t>
      </w:r>
    </w:p>
    <w:p>
      <w:r>
        <w:rPr>
          <w:rFonts w:ascii="Arial" w:hAnsi="Arial"/>
          <w:sz w:val="20"/>
        </w:rPr>
        <w:t>Avoiding the link prevents the user from being directed to a fraudulent sign-in page. Independent verification defeats the attacker's impersonation and urgency tactics. Reporting helps security teams block the sender or URL and warn other employees. MFA—preferably phishing-resistant methods such as passkeys/security keys—reduces the value of stolen passwords. Rapid response after accidental entry can limit the time an attacker has to use compromised credentials.</w:t>
      </w:r>
    </w:p>
    <w:p>
      <w:pPr>
        <w:pStyle w:val="Heading2"/>
      </w:pPr>
      <w:r>
        <w:rPr>
          <w:rFonts w:ascii="Arial" w:hAnsi="Arial"/>
          <w:sz w:val="20"/>
        </w:rPr>
        <w:t>Organizational controls</w:t>
      </w:r>
    </w:p>
    <w:p>
      <w:r>
        <w:rPr>
          <w:rFonts w:ascii="Arial" w:hAnsi="Arial"/>
          <w:sz w:val="20"/>
        </w:rPr>
        <w:t>• Configure SPF, DKIM, and DMARC and monitor authentication failures.</w:t>
      </w:r>
    </w:p>
    <w:p>
      <w:r>
        <w:rPr>
          <w:rFonts w:ascii="Arial" w:hAnsi="Arial"/>
          <w:sz w:val="20"/>
        </w:rPr>
        <w:t>• Use email filtering, URL protection, attachment analysis, and external-sender warnings.</w:t>
      </w:r>
    </w:p>
    <w:p>
      <w:r>
        <w:rPr>
          <w:rFonts w:ascii="Arial" w:hAnsi="Arial"/>
          <w:sz w:val="20"/>
        </w:rPr>
        <w:t>• Provide regular awareness training and easy reporting channels.</w:t>
      </w:r>
    </w:p>
    <w:p>
      <w:r>
        <w:rPr>
          <w:rFonts w:ascii="Arial" w:hAnsi="Arial"/>
          <w:sz w:val="20"/>
        </w:rPr>
        <w:t>• Require phishing-resistant MFA for sensitive accounts and monitor unusual sign-ins.</w:t>
      </w:r>
    </w:p>
    <w:p>
      <w:r>
        <w:rPr>
          <w:rFonts w:ascii="Arial" w:hAnsi="Arial"/>
          <w:sz w:val="20"/>
        </w:rPr>
        <w:t>• Maintain an incident-response process for credential compromise.</w:t>
      </w:r>
    </w:p>
    <w:p>
      <w:r>
        <w:rPr>
          <w:rFonts w:ascii="Arial" w:hAnsi="Arial"/>
          <w:sz w:val="20"/>
        </w:rPr>
        <w:t>Conclusion: The message should be treated as suspicious phishing. Employees should pause, verify independently, avoid credential entry, and report the email. These steps reduce the chance of password theft and help the organization respond quickly.</w:t>
      </w:r>
    </w:p>
    <w:p>
      <w:r>
        <w:rPr>
          <w:rFonts w:ascii="Arial" w:hAnsi="Arial"/>
          <w:sz w:val="20"/>
        </w:rPr>
        <w:br w:type="page"/>
      </w:r>
    </w:p>
    <w:sectPr>
      <w:pgSz w:h="16834" w:w="11909" w:orient="portrait"/>
      <w:pgMar w:bottom="720" w:top="720" w:left="720" w:right="720" w:header="720" w:footer="720"/>
      <w:pgNumType w:start="1"/>
    </w:sect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Fonts w:ascii="Arial" w:cs="Arial" w:eastAsia="Arial" w:hAnsi="Arial"/>
          <w:b w:val="1"/>
          <w:bCs w:val="1"/>
          <w:color w:val="000000"/>
          <w:sz w:val="20"/>
          <w:rtl w:val="0"/>
        </w:rPr>
        <w:t xml:space="preserve">RUBRICS FOR CALCULATION</w:t>
      </w:r>
      <w:r w:rsidDel="00000000" w:rsidR="00000000" w:rsidRPr="00000000">
        <w:rPr>
          <w:rFonts w:ascii="Arial" w:hAnsi="Arial"/>
          <w:sz w:val="20"/>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sqsE2Bojo22qu8Bm8A4Y6I6Fw==">CgMxLjA4AHIhMVotRWI5cHQ0cGFGQ21zREFUbU5yNmJUaDlzcEhkY0N4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