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Control Tower — Operation and Evidence Guide</w:t>
      </w:r>
    </w:p>
    <w:p>
      <w:r>
        <w:rPr>
          <w:b w:val="0"/>
          <w:i w:val="0"/>
        </w:rPr>
        <w:t>Catalog: 2026.10.12 · Source baseline: BRD Employee Onboarding (AHRO), Draft for Review, 13-Aug-2026; conflicting version labels retained</w:t>
      </w:r>
    </w:p>
    <w:p>
      <w:r>
        <w:rPr>
          <w:b w:val="0"/>
          <w:i w:val="0"/>
        </w:rPr>
        <w:t>Historical test records are restricted, read-only and permanently non-operational. They cannot dispatch, gain authority, satisfy readiness gates or enter real outcome metrics. Static mappings are not executed assertions, source authentication, vendor certification or evidence of live readiness.</w:t>
      </w:r>
    </w:p>
    <w:p>
      <w:pPr>
        <w:pStyle w:val="Heading1"/>
      </w:pPr>
      <w:r>
        <w:rPr>
          <w:b w:val="0"/>
          <w:i w:val="0"/>
        </w:rPr>
        <w:t>Navigation and operational queues</w:t>
      </w:r>
    </w:p>
    <w:p>
      <w:r>
        <w:rPr>
          <w:b w:val="0"/>
          <w:i w:val="0"/>
        </w:rPr>
        <w:t>Use the Control Tower for authorized operational work. Historical test records are separate, read-only and non-operational.</w:t>
      </w:r>
    </w:p>
    <w:p>
      <w:r>
        <w:rPr>
          <w:b w:val="0"/>
          <w:i w:val="0"/>
        </w:rPr>
        <w:t>Authorized area: /</w:t>
      </w:r>
    </w:p>
    <w:p>
      <w:pPr>
        <w:pStyle w:val="Heading2"/>
      </w:pPr>
      <w:r>
        <w:rPr>
          <w:b w:val="0"/>
          <w:i w:val="0"/>
        </w:rPr>
        <w:t>Instructions</w:t>
      </w:r>
    </w:p>
    <w:p>
      <w:pPr>
        <w:pStyle w:val="ListBullet"/>
      </w:pPr>
      <w:r>
        <w:rPr>
          <w:b w:val="0"/>
          <w:i w:val="0"/>
        </w:rPr>
        <w:t>Select your authorized workspace.</w:t>
      </w:r>
    </w:p>
    <w:p>
      <w:pPr>
        <w:pStyle w:val="ListBullet"/>
      </w:pPr>
      <w:r>
        <w:rPr>
          <w:b w:val="0"/>
          <w:i w:val="0"/>
        </w:rPr>
        <w:t>Review current operational queues and ownership.</w:t>
      </w:r>
    </w:p>
    <w:p>
      <w:pPr>
        <w:pStyle w:val="ListBullet"/>
      </w:pPr>
      <w:r>
        <w:rPr>
          <w:b w:val="0"/>
          <w:i w:val="0"/>
        </w:rPr>
        <w:t>Use Cases history for retained records, never as evidence of live work.</w:t>
      </w:r>
    </w:p>
    <w:p>
      <w:pPr>
        <w:pStyle w:val="Heading2"/>
      </w:pPr>
      <w:r>
        <w:rPr>
          <w:b w:val="0"/>
          <w:i w:val="0"/>
        </w:rPr>
        <w:t>Evidence requirements</w:t>
      </w:r>
    </w:p>
    <w:p>
      <w:pPr>
        <w:pStyle w:val="ListBullet"/>
      </w:pPr>
      <w:r>
        <w:rPr>
          <w:b w:val="0"/>
          <w:i w:val="0"/>
        </w:rPr>
        <w:t>Current workspace and scoped access</w:t>
      </w:r>
    </w:p>
    <w:p>
      <w:pPr>
        <w:pStyle w:val="ListBullet"/>
      </w:pPr>
      <w:r>
        <w:rPr>
          <w:b w:val="0"/>
          <w:i w:val="0"/>
        </w:rPr>
        <w:t>Dated operational events</w:t>
      </w:r>
    </w:p>
    <w:p>
      <w:pPr>
        <w:pStyle w:val="Heading2"/>
      </w:pPr>
      <w:r>
        <w:rPr>
          <w:b w:val="0"/>
          <w:i w:val="0"/>
        </w:rPr>
        <w:t>Limits and exceptions</w:t>
      </w:r>
    </w:p>
    <w:p>
      <w:pPr>
        <w:pStyle w:val="ListBullet"/>
      </w:pPr>
      <w:r>
        <w:rPr>
          <w:b w:val="0"/>
          <w:i w:val="0"/>
        </w:rPr>
        <w:t>Shared demo identities cannot create cases or acquire real workflow authority.</w:t>
      </w:r>
    </w:p>
    <w:p>
      <w:pPr>
        <w:pStyle w:val="Heading1"/>
      </w:pPr>
      <w:r>
        <w:rPr>
          <w:b w:val="0"/>
          <w:i w:val="0"/>
        </w:rPr>
        <w:t>Intake and onboarding stages</w:t>
      </w:r>
    </w:p>
    <w:p>
      <w:r>
        <w:rPr>
          <w:b w:val="0"/>
          <w:i w:val="0"/>
        </w:rPr>
        <w:t>Ordinary authenticated intake uses real case facts and explicit governance grants. The business stages are Offer-Acceptance Package, Background Checks, and Day-1 Readiness.</w:t>
      </w:r>
    </w:p>
    <w:p>
      <w:r>
        <w:rPr>
          <w:b w:val="0"/>
          <w:i w:val="0"/>
        </w:rPr>
        <w:t>Authorized area: /cases</w:t>
      </w:r>
    </w:p>
    <w:p>
      <w:pPr>
        <w:pStyle w:val="Heading2"/>
      </w:pPr>
      <w:r>
        <w:rPr>
          <w:b w:val="0"/>
          <w:i w:val="0"/>
        </w:rPr>
        <w:t>Instructions</w:t>
      </w:r>
    </w:p>
    <w:p>
      <w:pPr>
        <w:pStyle w:val="ListBullet"/>
      </w:pPr>
      <w:r>
        <w:rPr>
          <w:b w:val="0"/>
          <w:i w:val="0"/>
        </w:rPr>
        <w:t>Create a case only with current case-flow and profile-edit access.</w:t>
      </w:r>
    </w:p>
    <w:p>
      <w:pPr>
        <w:pStyle w:val="ListBullet"/>
      </w:pPr>
      <w:r>
        <w:rPr>
          <w:b w:val="0"/>
          <w:i w:val="0"/>
        </w:rPr>
        <w:t>Confirm the Offer-Acceptance Package through its dedicated evidence-backed review.</w:t>
      </w:r>
    </w:p>
    <w:p>
      <w:pPr>
        <w:pStyle w:val="ListBullet"/>
      </w:pPr>
      <w:r>
        <w:rPr>
          <w:b w:val="0"/>
          <w:i w:val="0"/>
        </w:rPr>
        <w:t>Resolve Background Checks and mandatory workstreams before requesting the fresh human Day-1 Readiness review.</w:t>
      </w:r>
    </w:p>
    <w:p>
      <w:pPr>
        <w:pStyle w:val="Heading2"/>
      </w:pPr>
      <w:r>
        <w:rPr>
          <w:b w:val="0"/>
          <w:i w:val="0"/>
        </w:rPr>
        <w:t>Evidence requirements</w:t>
      </w:r>
    </w:p>
    <w:p>
      <w:pPr>
        <w:pStyle w:val="ListBullet"/>
      </w:pPr>
      <w:r>
        <w:rPr>
          <w:b w:val="0"/>
          <w:i w:val="0"/>
        </w:rPr>
        <w:t>Approved policy snapshot</w:t>
      </w:r>
    </w:p>
    <w:p>
      <w:pPr>
        <w:pStyle w:val="ListBullet"/>
      </w:pPr>
      <w:r>
        <w:rPr>
          <w:b w:val="0"/>
          <w:i w:val="0"/>
        </w:rPr>
        <w:t>Source evidence and approval version</w:t>
      </w:r>
    </w:p>
    <w:p>
      <w:pPr>
        <w:pStyle w:val="ListBullet"/>
      </w:pPr>
      <w:r>
        <w:rPr>
          <w:b w:val="0"/>
          <w:i w:val="0"/>
        </w:rPr>
        <w:t>Current scoped human decision</w:t>
      </w:r>
    </w:p>
    <w:p>
      <w:pPr>
        <w:pStyle w:val="Heading2"/>
      </w:pPr>
      <w:r>
        <w:rPr>
          <w:b w:val="0"/>
          <w:i w:val="0"/>
        </w:rPr>
        <w:t>Limits and exceptions</w:t>
      </w:r>
    </w:p>
    <w:p>
      <w:pPr>
        <w:pStyle w:val="ListBullet"/>
      </w:pPr>
      <w:r>
        <w:rPr>
          <w:b w:val="0"/>
          <w:i w:val="0"/>
        </w:rPr>
        <w:t>General intake does not collect free-form candidate notes or medical details.</w:t>
      </w:r>
    </w:p>
    <w:p>
      <w:pPr>
        <w:pStyle w:val="ListBullet"/>
      </w:pPr>
      <w:r>
        <w:rPr>
          <w:b w:val="0"/>
          <w:i w:val="0"/>
        </w:rPr>
        <w:t>A score or status label never substitutes for authority or safety gates.</w:t>
      </w:r>
    </w:p>
    <w:p>
      <w:pPr>
        <w:pStyle w:val="Heading1"/>
      </w:pPr>
      <w:r>
        <w:rPr>
          <w:b w:val="0"/>
          <w:i w:val="0"/>
        </w:rPr>
        <w:t>Candidate documents and Employee Vault</w:t>
      </w:r>
    </w:p>
    <w:p>
      <w:r>
        <w:rPr>
          <w:b w:val="0"/>
          <w:i w:val="0"/>
        </w:rPr>
        <w:t>Private uploads, scanning, authenticity checks and consent are distinct controls.</w:t>
      </w:r>
    </w:p>
    <w:p>
      <w:r>
        <w:rPr>
          <w:b w:val="0"/>
          <w:i w:val="0"/>
        </w:rPr>
        <w:t>Authorized area: /cases</w:t>
      </w:r>
    </w:p>
    <w:p>
      <w:pPr>
        <w:pStyle w:val="Heading2"/>
      </w:pPr>
      <w:r>
        <w:rPr>
          <w:b w:val="0"/>
          <w:i w:val="0"/>
        </w:rPr>
        <w:t>Instructions</w:t>
      </w:r>
    </w:p>
    <w:p>
      <w:pPr>
        <w:pStyle w:val="ListBullet"/>
      </w:pPr>
      <w:r>
        <w:rPr>
          <w:b w:val="0"/>
          <w:i w:val="0"/>
        </w:rPr>
        <w:t>Issue candidate access only through authorized ordinary workflows.</w:t>
      </w:r>
    </w:p>
    <w:p>
      <w:pPr>
        <w:pStyle w:val="ListBullet"/>
      </w:pPr>
      <w:r>
        <w:rPr>
          <w:b w:val="0"/>
          <w:i w:val="0"/>
        </w:rPr>
        <w:t>Keep quarantined or uncertain evidence blocked.</w:t>
      </w:r>
    </w:p>
    <w:p>
      <w:pPr>
        <w:pStyle w:val="ListBullet"/>
      </w:pPr>
      <w:r>
        <w:rPr>
          <w:b w:val="0"/>
          <w:i w:val="0"/>
        </w:rPr>
        <w:t>Apply all-required evidence and fresh consent checks to Vault reuse.</w:t>
      </w:r>
    </w:p>
    <w:p>
      <w:pPr>
        <w:pStyle w:val="Heading2"/>
      </w:pPr>
      <w:r>
        <w:rPr>
          <w:b w:val="0"/>
          <w:i w:val="0"/>
        </w:rPr>
        <w:t>Evidence requirements</w:t>
      </w:r>
    </w:p>
    <w:p>
      <w:pPr>
        <w:pStyle w:val="ListBullet"/>
      </w:pPr>
      <w:r>
        <w:rPr>
          <w:b w:val="0"/>
          <w:i w:val="0"/>
        </w:rPr>
        <w:t>Private file references</w:t>
      </w:r>
    </w:p>
    <w:p>
      <w:pPr>
        <w:pStyle w:val="ListBullet"/>
      </w:pPr>
      <w:r>
        <w:rPr>
          <w:b w:val="0"/>
          <w:i w:val="0"/>
        </w:rPr>
        <w:t>Current scanner and source-verification receipts</w:t>
      </w:r>
    </w:p>
    <w:p>
      <w:pPr>
        <w:pStyle w:val="ListBullet"/>
      </w:pPr>
      <w:r>
        <w:rPr>
          <w:b w:val="0"/>
          <w:i w:val="0"/>
        </w:rPr>
        <w:t>Consent and reuse scope</w:t>
      </w:r>
    </w:p>
    <w:p>
      <w:pPr>
        <w:pStyle w:val="Heading2"/>
      </w:pPr>
      <w:r>
        <w:rPr>
          <w:b w:val="0"/>
          <w:i w:val="0"/>
        </w:rPr>
        <w:t>Limits and exceptions</w:t>
      </w:r>
    </w:p>
    <w:p>
      <w:pPr>
        <w:pStyle w:val="ListBullet"/>
      </w:pPr>
      <w:r>
        <w:rPr>
          <w:b w:val="0"/>
          <w:i w:val="0"/>
        </w:rPr>
        <w:t>Local file checks do not prove identity or source authenticity.</w:t>
      </w:r>
    </w:p>
    <w:p>
      <w:pPr>
        <w:pStyle w:val="ListBullet"/>
      </w:pPr>
      <w:r>
        <w:rPr>
          <w:b w:val="0"/>
          <w:i w:val="0"/>
        </w:rPr>
        <w:t>Retained test portals cannot accept new uploads.</w:t>
      </w:r>
    </w:p>
    <w:p>
      <w:pPr>
        <w:pStyle w:val="ListBullet"/>
      </w:pPr>
      <w:r>
        <w:rPr>
          <w:b w:val="0"/>
          <w:i w:val="0"/>
        </w:rPr>
        <w:t>Privacy withdrawal remains independent of new collection approval.</w:t>
      </w:r>
    </w:p>
    <w:p>
      <w:pPr>
        <w:pStyle w:val="Heading1"/>
      </w:pPr>
      <w:r>
        <w:rPr>
          <w:b w:val="0"/>
          <w:i w:val="0"/>
        </w:rPr>
        <w:t>Human decisions and specialist handoffs</w:t>
      </w:r>
    </w:p>
    <w:p>
      <w:r>
        <w:rPr>
          <w:b w:val="0"/>
          <w:i w:val="0"/>
        </w:rPr>
        <w:t>Membership, assignment and mailbox personas are not professional authority.</w:t>
      </w:r>
    </w:p>
    <w:p>
      <w:r>
        <w:rPr>
          <w:b w:val="0"/>
          <w:i w:val="0"/>
        </w:rPr>
        <w:t>Authorized area: /approvals</w:t>
      </w:r>
    </w:p>
    <w:p>
      <w:pPr>
        <w:pStyle w:val="Heading2"/>
      </w:pPr>
      <w:r>
        <w:rPr>
          <w:b w:val="0"/>
          <w:i w:val="0"/>
        </w:rPr>
        <w:t>Instructions</w:t>
      </w:r>
    </w:p>
    <w:p>
      <w:pPr>
        <w:pStyle w:val="ListBullet"/>
      </w:pPr>
      <w:r>
        <w:rPr>
          <w:b w:val="0"/>
          <w:i w:val="0"/>
        </w:rPr>
        <w:t>Review the exact case and evidence revision.</w:t>
      </w:r>
    </w:p>
    <w:p>
      <w:pPr>
        <w:pStyle w:val="ListBullet"/>
      </w:pPr>
      <w:r>
        <w:rPr>
          <w:b w:val="0"/>
          <w:i w:val="0"/>
        </w:rPr>
        <w:t>Check current specialist role, jurisdiction and scope.</w:t>
      </w:r>
    </w:p>
    <w:p>
      <w:pPr>
        <w:pStyle w:val="ListBullet"/>
      </w:pPr>
      <w:r>
        <w:rPr>
          <w:b w:val="0"/>
          <w:i w:val="0"/>
        </w:rPr>
        <w:t>Record the accountable decision without inventing external completion.</w:t>
      </w:r>
    </w:p>
    <w:p>
      <w:pPr>
        <w:pStyle w:val="Heading2"/>
      </w:pPr>
      <w:r>
        <w:rPr>
          <w:b w:val="0"/>
          <w:i w:val="0"/>
        </w:rPr>
        <w:t>Evidence requirements</w:t>
      </w:r>
    </w:p>
    <w:p>
      <w:pPr>
        <w:pStyle w:val="ListBullet"/>
      </w:pPr>
      <w:r>
        <w:rPr>
          <w:b w:val="0"/>
          <w:i w:val="0"/>
        </w:rPr>
        <w:t>Scoped authority</w:t>
      </w:r>
    </w:p>
    <w:p>
      <w:pPr>
        <w:pStyle w:val="ListBullet"/>
      </w:pPr>
      <w:r>
        <w:rPr>
          <w:b w:val="0"/>
          <w:i w:val="0"/>
        </w:rPr>
        <w:t>Versioned approval</w:t>
      </w:r>
    </w:p>
    <w:p>
      <w:pPr>
        <w:pStyle w:val="ListBullet"/>
      </w:pPr>
      <w:r>
        <w:rPr>
          <w:b w:val="0"/>
          <w:i w:val="0"/>
        </w:rPr>
        <w:t>Protected audit receipt</w:t>
      </w:r>
    </w:p>
    <w:p>
      <w:pPr>
        <w:pStyle w:val="Heading2"/>
      </w:pPr>
      <w:r>
        <w:rPr>
          <w:b w:val="0"/>
          <w:i w:val="0"/>
        </w:rPr>
        <w:t>Limits and exceptions</w:t>
      </w:r>
    </w:p>
    <w:p>
      <w:pPr>
        <w:pStyle w:val="ListBullet"/>
      </w:pPr>
      <w:r>
        <w:rPr>
          <w:b w:val="0"/>
          <w:i w:val="0"/>
        </w:rPr>
        <w:t>Stale decisions and historical test records cannot authorize operations.</w:t>
      </w:r>
    </w:p>
    <w:p>
      <w:pPr>
        <w:pStyle w:val="Heading1"/>
      </w:pPr>
      <w:r>
        <w:rPr>
          <w:b w:val="0"/>
          <w:i w:val="0"/>
        </w:rPr>
        <w:t>Workforce context, frontline release and early tenure</w:t>
      </w:r>
    </w:p>
    <w:p>
      <w:r>
        <w:rPr>
          <w:b w:val="0"/>
          <w:i w:val="0"/>
        </w:rPr>
        <w:t>Approved country-specific policies govern context and safety requirements.</w:t>
      </w:r>
    </w:p>
    <w:p>
      <w:r>
        <w:rPr>
          <w:b w:val="0"/>
          <w:i w:val="0"/>
        </w:rPr>
        <w:t>Authorized area: /settings</w:t>
      </w:r>
    </w:p>
    <w:p>
      <w:pPr>
        <w:pStyle w:val="Heading2"/>
      </w:pPr>
      <w:r>
        <w:rPr>
          <w:b w:val="0"/>
          <w:i w:val="0"/>
        </w:rPr>
        <w:t>Instructions</w:t>
      </w:r>
    </w:p>
    <w:p>
      <w:pPr>
        <w:pStyle w:val="ListBullet"/>
      </w:pPr>
      <w:r>
        <w:rPr>
          <w:b w:val="0"/>
          <w:i w:val="0"/>
        </w:rPr>
        <w:t>Confirm work country and approved policy revision.</w:t>
      </w:r>
    </w:p>
    <w:p>
      <w:pPr>
        <w:pStyle w:val="ListBullet"/>
      </w:pPr>
      <w:r>
        <w:rPr>
          <w:b w:val="0"/>
          <w:i w:val="0"/>
        </w:rPr>
        <w:t>Keep medical, safety and BGV gates independent of weighted readiness.</w:t>
      </w:r>
    </w:p>
    <w:p>
      <w:pPr>
        <w:pStyle w:val="ListBullet"/>
      </w:pPr>
      <w:r>
        <w:rPr>
          <w:b w:val="0"/>
          <w:i w:val="0"/>
        </w:rPr>
        <w:t>Record actual start and dated human follow-ups under current authority.</w:t>
      </w:r>
    </w:p>
    <w:p>
      <w:pPr>
        <w:pStyle w:val="Heading2"/>
      </w:pPr>
      <w:r>
        <w:rPr>
          <w:b w:val="0"/>
          <w:i w:val="0"/>
        </w:rPr>
        <w:t>Evidence requirements</w:t>
      </w:r>
    </w:p>
    <w:p>
      <w:pPr>
        <w:pStyle w:val="ListBullet"/>
      </w:pPr>
      <w:r>
        <w:rPr>
          <w:b w:val="0"/>
          <w:i w:val="0"/>
        </w:rPr>
        <w:t>Policy adoption</w:t>
      </w:r>
    </w:p>
    <w:p>
      <w:pPr>
        <w:pStyle w:val="ListBullet"/>
      </w:pPr>
      <w:r>
        <w:rPr>
          <w:b w:val="0"/>
          <w:i w:val="0"/>
        </w:rPr>
        <w:t>Independent release evidence</w:t>
      </w:r>
    </w:p>
    <w:p>
      <w:pPr>
        <w:pStyle w:val="ListBullet"/>
      </w:pPr>
      <w:r>
        <w:rPr>
          <w:b w:val="0"/>
          <w:i w:val="0"/>
        </w:rPr>
        <w:t>Actual-start revision</w:t>
      </w:r>
    </w:p>
    <w:p>
      <w:pPr>
        <w:pStyle w:val="Heading2"/>
      </w:pPr>
      <w:r>
        <w:rPr>
          <w:b w:val="0"/>
          <w:i w:val="0"/>
        </w:rPr>
        <w:t>Limits and exceptions</w:t>
      </w:r>
    </w:p>
    <w:p>
      <w:pPr>
        <w:pStyle w:val="ListBullet"/>
      </w:pPr>
      <w:r>
        <w:rPr>
          <w:b w:val="0"/>
          <w:i w:val="0"/>
        </w:rPr>
        <w:t>Unapproved starter policies are proposals, not runtime authority.</w:t>
      </w:r>
    </w:p>
    <w:p>
      <w:pPr>
        <w:pStyle w:val="ListBullet"/>
      </w:pPr>
      <w:r>
        <w:rPr>
          <w:b w:val="0"/>
          <w:i w:val="0"/>
        </w:rPr>
        <w:t>Do not infer historical success from current checklists.</w:t>
      </w:r>
    </w:p>
    <w:p>
      <w:pPr>
        <w:pStyle w:val="Heading1"/>
      </w:pPr>
      <w:r>
        <w:rPr>
          <w:b w:val="0"/>
          <w:i w:val="0"/>
        </w:rPr>
        <w:t>Workforce transfers</w:t>
      </w:r>
    </w:p>
    <w:p>
      <w:r>
        <w:rPr>
          <w:b w:val="0"/>
          <w:i w:val="0"/>
        </w:rPr>
        <w:t>Transfers require country-specific approval, source-attested execution and evidence-fenced cutover.</w:t>
      </w:r>
    </w:p>
    <w:p>
      <w:r>
        <w:rPr>
          <w:b w:val="0"/>
          <w:i w:val="0"/>
        </w:rPr>
        <w:t>Authorized area: /workforce-transfers</w:t>
      </w:r>
    </w:p>
    <w:p>
      <w:pPr>
        <w:pStyle w:val="Heading2"/>
      </w:pPr>
      <w:r>
        <w:rPr>
          <w:b w:val="0"/>
          <w:i w:val="0"/>
        </w:rPr>
        <w:t>Instructions</w:t>
      </w:r>
    </w:p>
    <w:p>
      <w:pPr>
        <w:pStyle w:val="ListBullet"/>
      </w:pPr>
      <w:r>
        <w:rPr>
          <w:b w:val="0"/>
          <w:i w:val="0"/>
        </w:rPr>
        <w:t>Review population, legal basis and required objections.</w:t>
      </w:r>
    </w:p>
    <w:p>
      <w:pPr>
        <w:pStyle w:val="ListBullet"/>
      </w:pPr>
      <w:r>
        <w:rPr>
          <w:b w:val="0"/>
          <w:i w:val="0"/>
        </w:rPr>
        <w:t>Reconcile source and target evidence.</w:t>
      </w:r>
    </w:p>
    <w:p>
      <w:pPr>
        <w:pStyle w:val="ListBullet"/>
      </w:pPr>
      <w:r>
        <w:rPr>
          <w:b w:val="0"/>
          <w:i w:val="0"/>
        </w:rPr>
        <w:t>Obtain current independent cutover sign-offs.</w:t>
      </w:r>
    </w:p>
    <w:p>
      <w:pPr>
        <w:pStyle w:val="Heading2"/>
      </w:pPr>
      <w:r>
        <w:rPr>
          <w:b w:val="0"/>
          <w:i w:val="0"/>
        </w:rPr>
        <w:t>Evidence requirements</w:t>
      </w:r>
    </w:p>
    <w:p>
      <w:pPr>
        <w:pStyle w:val="ListBullet"/>
      </w:pPr>
      <w:r>
        <w:rPr>
          <w:b w:val="0"/>
          <w:i w:val="0"/>
        </w:rPr>
        <w:t>Approved country policy</w:t>
      </w:r>
    </w:p>
    <w:p>
      <w:pPr>
        <w:pStyle w:val="ListBullet"/>
      </w:pPr>
      <w:r>
        <w:rPr>
          <w:b w:val="0"/>
          <w:i w:val="0"/>
        </w:rPr>
        <w:t>Source-attested completion</w:t>
      </w:r>
    </w:p>
    <w:p>
      <w:pPr>
        <w:pStyle w:val="ListBullet"/>
      </w:pPr>
      <w:r>
        <w:rPr>
          <w:b w:val="0"/>
          <w:i w:val="0"/>
        </w:rPr>
        <w:t>Generation-bound sign-off</w:t>
      </w:r>
    </w:p>
    <w:p>
      <w:pPr>
        <w:pStyle w:val="Heading2"/>
      </w:pPr>
      <w:r>
        <w:rPr>
          <w:b w:val="0"/>
          <w:i w:val="0"/>
        </w:rPr>
        <w:t>Limits and exceptions</w:t>
      </w:r>
    </w:p>
    <w:p>
      <w:pPr>
        <w:pStyle w:val="ListBullet"/>
      </w:pPr>
      <w:r>
        <w:rPr>
          <w:b w:val="0"/>
          <w:i w:val="0"/>
        </w:rPr>
        <w:t>A Go label is not payroll or legal certification.</w:t>
      </w:r>
    </w:p>
    <w:p>
      <w:pPr>
        <w:pStyle w:val="Heading1"/>
      </w:pPr>
      <w:r>
        <w:rPr>
          <w:b w:val="0"/>
          <w:i w:val="0"/>
        </w:rPr>
        <w:t>AI-supported work and guardrails</w:t>
      </w:r>
    </w:p>
    <w:p>
      <w:r>
        <w:rPr>
          <w:b w:val="0"/>
          <w:i w:val="0"/>
        </w:rPr>
        <w:t>Generated plans are advisory; explanations describe recorded evidence rather than hidden reasoning.</w:t>
      </w:r>
    </w:p>
    <w:p>
      <w:r>
        <w:rPr>
          <w:b w:val="0"/>
          <w:i w:val="0"/>
        </w:rPr>
        <w:t>Authorized area: /agents</w:t>
      </w:r>
    </w:p>
    <w:p>
      <w:pPr>
        <w:pStyle w:val="Heading2"/>
      </w:pPr>
      <w:r>
        <w:rPr>
          <w:b w:val="0"/>
          <w:i w:val="0"/>
        </w:rPr>
        <w:t>Instructions</w:t>
      </w:r>
    </w:p>
    <w:p>
      <w:pPr>
        <w:pStyle w:val="ListBullet"/>
      </w:pPr>
      <w:r>
        <w:rPr>
          <w:b w:val="0"/>
          <w:i w:val="0"/>
        </w:rPr>
        <w:t>Review drafts before adoption.</w:t>
      </w:r>
    </w:p>
    <w:p>
      <w:pPr>
        <w:pStyle w:val="ListBullet"/>
      </w:pPr>
      <w:r>
        <w:rPr>
          <w:b w:val="0"/>
          <w:i w:val="0"/>
        </w:rPr>
        <w:t>Verify citations and limitations.</w:t>
      </w:r>
    </w:p>
    <w:p>
      <w:pPr>
        <w:pStyle w:val="ListBullet"/>
      </w:pPr>
      <w:r>
        <w:rPr>
          <w:b w:val="0"/>
          <w:i w:val="0"/>
        </w:rPr>
        <w:t>Escalate uncertain or adverse evidence to accountable humans.</w:t>
      </w:r>
    </w:p>
    <w:p>
      <w:pPr>
        <w:pStyle w:val="Heading2"/>
      </w:pPr>
      <w:r>
        <w:rPr>
          <w:b w:val="0"/>
          <w:i w:val="0"/>
        </w:rPr>
        <w:t>Evidence requirements</w:t>
      </w:r>
    </w:p>
    <w:p>
      <w:pPr>
        <w:pStyle w:val="ListBullet"/>
      </w:pPr>
      <w:r>
        <w:rPr>
          <w:b w:val="0"/>
          <w:i w:val="0"/>
        </w:rPr>
        <w:t>Approved source context</w:t>
      </w:r>
    </w:p>
    <w:p>
      <w:pPr>
        <w:pStyle w:val="ListBullet"/>
      </w:pPr>
      <w:r>
        <w:rPr>
          <w:b w:val="0"/>
          <w:i w:val="0"/>
        </w:rPr>
        <w:t>Recorded limitations</w:t>
      </w:r>
    </w:p>
    <w:p>
      <w:pPr>
        <w:pStyle w:val="ListBullet"/>
      </w:pPr>
      <w:r>
        <w:rPr>
          <w:b w:val="0"/>
          <w:i w:val="0"/>
        </w:rPr>
        <w:t>Reviewed action proposal</w:t>
      </w:r>
    </w:p>
    <w:p>
      <w:pPr>
        <w:pStyle w:val="Heading2"/>
      </w:pPr>
      <w:r>
        <w:rPr>
          <w:b w:val="0"/>
          <w:i w:val="0"/>
        </w:rPr>
        <w:t>Limits and exceptions</w:t>
      </w:r>
    </w:p>
    <w:p>
      <w:pPr>
        <w:pStyle w:val="ListBullet"/>
      </w:pPr>
      <w:r>
        <w:rPr>
          <w:b w:val="0"/>
          <w:i w:val="0"/>
        </w:rPr>
        <w:t>AI output never grants authority or proves an external effect.</w:t>
      </w:r>
    </w:p>
    <w:p>
      <w:pPr>
        <w:pStyle w:val="Heading1"/>
      </w:pPr>
      <w:r>
        <w:rPr>
          <w:b w:val="0"/>
          <w:i w:val="0"/>
        </w:rPr>
        <w:t>Policy library and grounded answers</w:t>
      </w:r>
    </w:p>
    <w:p>
      <w:r>
        <w:rPr>
          <w:b w:val="0"/>
          <w:i w:val="0"/>
        </w:rPr>
        <w:t>Source extracts, case evidence and policy decisions remain separate.</w:t>
      </w:r>
    </w:p>
    <w:p>
      <w:r>
        <w:rPr>
          <w:b w:val="0"/>
          <w:i w:val="0"/>
        </w:rPr>
        <w:t>Authorized area: /hr-policy-library</w:t>
      </w:r>
    </w:p>
    <w:p>
      <w:pPr>
        <w:pStyle w:val="Heading2"/>
      </w:pPr>
      <w:r>
        <w:rPr>
          <w:b w:val="0"/>
          <w:i w:val="0"/>
        </w:rPr>
        <w:t>Instructions</w:t>
      </w:r>
    </w:p>
    <w:p>
      <w:pPr>
        <w:pStyle w:val="ListBullet"/>
      </w:pPr>
      <w:r>
        <w:rPr>
          <w:b w:val="0"/>
          <w:i w:val="0"/>
        </w:rPr>
        <w:t>Maintain drafts under scoped access.</w:t>
      </w:r>
    </w:p>
    <w:p>
      <w:pPr>
        <w:pStyle w:val="ListBullet"/>
      </w:pPr>
      <w:r>
        <w:rPr>
          <w:b w:val="0"/>
          <w:i w:val="0"/>
        </w:rPr>
        <w:t>Obtain required review before publication.</w:t>
      </w:r>
    </w:p>
    <w:p>
      <w:pPr>
        <w:pStyle w:val="ListBullet"/>
      </w:pPr>
      <w:r>
        <w:rPr>
          <w:b w:val="0"/>
          <w:i w:val="0"/>
        </w:rPr>
        <w:t>Check audience, jurisdiction, dates and source context at disclosure.</w:t>
      </w:r>
    </w:p>
    <w:p>
      <w:pPr>
        <w:pStyle w:val="Heading2"/>
      </w:pPr>
      <w:r>
        <w:rPr>
          <w:b w:val="0"/>
          <w:i w:val="0"/>
        </w:rPr>
        <w:t>Evidence requirements</w:t>
      </w:r>
    </w:p>
    <w:p>
      <w:pPr>
        <w:pStyle w:val="ListBullet"/>
      </w:pPr>
      <w:r>
        <w:rPr>
          <w:b w:val="0"/>
          <w:i w:val="0"/>
        </w:rPr>
        <w:t>Versioned source</w:t>
      </w:r>
    </w:p>
    <w:p>
      <w:pPr>
        <w:pStyle w:val="ListBullet"/>
      </w:pPr>
      <w:r>
        <w:rPr>
          <w:b w:val="0"/>
          <w:i w:val="0"/>
        </w:rPr>
        <w:t>Approved extract</w:t>
      </w:r>
    </w:p>
    <w:p>
      <w:pPr>
        <w:pStyle w:val="ListBullet"/>
      </w:pPr>
      <w:r>
        <w:rPr>
          <w:b w:val="0"/>
          <w:i w:val="0"/>
        </w:rPr>
        <w:t>Current publication review</w:t>
      </w:r>
    </w:p>
    <w:p>
      <w:pPr>
        <w:pStyle w:val="Heading2"/>
      </w:pPr>
      <w:r>
        <w:rPr>
          <w:b w:val="0"/>
          <w:i w:val="0"/>
        </w:rPr>
        <w:t>Limits and exceptions</w:t>
      </w:r>
    </w:p>
    <w:p>
      <w:pPr>
        <w:pStyle w:val="ListBullet"/>
      </w:pPr>
      <w:r>
        <w:rPr>
          <w:b w:val="0"/>
          <w:i w:val="0"/>
        </w:rPr>
        <w:t>Retired evaluations cannot provide a current accuracy or fairness claim.</w:t>
      </w:r>
    </w:p>
    <w:p>
      <w:pPr>
        <w:pStyle w:val="Heading1"/>
      </w:pPr>
      <w:r>
        <w:rPr>
          <w:b w:val="0"/>
          <w:i w:val="0"/>
        </w:rPr>
        <w:t>Provider systems and authorized channel checks</w:t>
      </w:r>
    </w:p>
    <w:p>
      <w:r>
        <w:rPr>
          <w:b w:val="0"/>
          <w:i w:val="0"/>
        </w:rPr>
        <w:t>Separately authorized operational tests remain available; configuration alone does not prove provider execution.</w:t>
      </w:r>
    </w:p>
    <w:p>
      <w:r>
        <w:rPr>
          <w:b w:val="0"/>
          <w:i w:val="0"/>
        </w:rPr>
        <w:t>Authorized area: /systems</w:t>
      </w:r>
    </w:p>
    <w:p>
      <w:pPr>
        <w:pStyle w:val="Heading2"/>
      </w:pPr>
      <w:r>
        <w:rPr>
          <w:b w:val="0"/>
          <w:i w:val="0"/>
        </w:rPr>
        <w:t>Instructions</w:t>
      </w:r>
    </w:p>
    <w:p>
      <w:pPr>
        <w:pStyle w:val="ListBullet"/>
      </w:pPr>
      <w:r>
        <w:rPr>
          <w:b w:val="0"/>
          <w:i w:val="0"/>
        </w:rPr>
        <w:t>Review connector mode and approved estate.</w:t>
      </w:r>
    </w:p>
    <w:p>
      <w:pPr>
        <w:pStyle w:val="ListBullet"/>
      </w:pPr>
      <w:r>
        <w:rPr>
          <w:b w:val="0"/>
          <w:i w:val="0"/>
        </w:rPr>
        <w:t>Use explicit, authorized operational channel checks only.</w:t>
      </w:r>
    </w:p>
    <w:p>
      <w:pPr>
        <w:pStyle w:val="ListBullet"/>
      </w:pPr>
      <w:r>
        <w:rPr>
          <w:b w:val="0"/>
          <w:i w:val="0"/>
        </w:rPr>
        <w:t>Reconcile uncertain effects without automatic non-idempotent redispatch.</w:t>
      </w:r>
    </w:p>
    <w:p>
      <w:pPr>
        <w:pStyle w:val="Heading2"/>
      </w:pPr>
      <w:r>
        <w:rPr>
          <w:b w:val="0"/>
          <w:i w:val="0"/>
        </w:rPr>
        <w:t>Evidence requirements</w:t>
      </w:r>
    </w:p>
    <w:p>
      <w:pPr>
        <w:pStyle w:val="ListBullet"/>
      </w:pPr>
      <w:r>
        <w:rPr>
          <w:b w:val="0"/>
          <w:i w:val="0"/>
        </w:rPr>
        <w:t>Verified provider receipt</w:t>
      </w:r>
    </w:p>
    <w:p>
      <w:pPr>
        <w:pStyle w:val="ListBullet"/>
      </w:pPr>
      <w:r>
        <w:rPr>
          <w:b w:val="0"/>
          <w:i w:val="0"/>
        </w:rPr>
        <w:t>Stable effect-journal payload</w:t>
      </w:r>
    </w:p>
    <w:p>
      <w:pPr>
        <w:pStyle w:val="ListBullet"/>
      </w:pPr>
      <w:r>
        <w:rPr>
          <w:b w:val="0"/>
          <w:i w:val="0"/>
        </w:rPr>
        <w:t>Current recipient authorization</w:t>
      </w:r>
    </w:p>
    <w:p>
      <w:pPr>
        <w:pStyle w:val="Heading2"/>
      </w:pPr>
      <w:r>
        <w:rPr>
          <w:b w:val="0"/>
          <w:i w:val="0"/>
        </w:rPr>
        <w:t>Limits and exceptions</w:t>
      </w:r>
    </w:p>
    <w:p>
      <w:pPr>
        <w:pStyle w:val="ListBullet"/>
      </w:pPr>
      <w:r>
        <w:rPr>
          <w:b w:val="0"/>
          <w:i w:val="0"/>
        </w:rPr>
        <w:t>Historical test records remain permanently denied dispatch.</w:t>
      </w:r>
    </w:p>
    <w:p>
      <w:pPr>
        <w:pStyle w:val="ListBullet"/>
      </w:pPr>
      <w:r>
        <w:rPr>
          <w:b w:val="0"/>
          <w:i w:val="0"/>
        </w:rPr>
        <w:t>No simulated integration is represented as genuine external work.</w:t>
      </w:r>
    </w:p>
    <w:p>
      <w:pPr>
        <w:pStyle w:val="Heading1"/>
      </w:pPr>
      <w:r>
        <w:rPr>
          <w:b w:val="0"/>
          <w:i w:val="0"/>
        </w:rPr>
        <w:t>Communications and monitored replies</w:t>
      </w:r>
    </w:p>
    <w:p>
      <w:r>
        <w:rPr>
          <w:b w:val="0"/>
          <w:i w:val="0"/>
        </w:rPr>
        <w:t>Verified transport, tenant attribution, recipient authorization and responder authority are independent.</w:t>
      </w:r>
    </w:p>
    <w:p>
      <w:r>
        <w:rPr>
          <w:b w:val="0"/>
          <w:i w:val="0"/>
        </w:rPr>
        <w:t>Authorized area: /systems</w:t>
      </w:r>
    </w:p>
    <w:p>
      <w:pPr>
        <w:pStyle w:val="Heading2"/>
      </w:pPr>
      <w:r>
        <w:rPr>
          <w:b w:val="0"/>
          <w:i w:val="0"/>
        </w:rPr>
        <w:t>Instructions</w:t>
      </w:r>
    </w:p>
    <w:p>
      <w:pPr>
        <w:pStyle w:val="ListBullet"/>
      </w:pPr>
      <w:r>
        <w:rPr>
          <w:b w:val="0"/>
          <w:i w:val="0"/>
        </w:rPr>
        <w:t>Check the exact case-bound reply reference.</w:t>
      </w:r>
    </w:p>
    <w:p>
      <w:pPr>
        <w:pStyle w:val="ListBullet"/>
      </w:pPr>
      <w:r>
        <w:rPr>
          <w:b w:val="0"/>
          <w:i w:val="0"/>
        </w:rPr>
        <w:t>Quarantine ambiguous attribution.</w:t>
      </w:r>
    </w:p>
    <w:p>
      <w:pPr>
        <w:pStyle w:val="ListBullet"/>
      </w:pPr>
      <w:r>
        <w:rPr>
          <w:b w:val="0"/>
          <w:i w:val="0"/>
        </w:rPr>
        <w:t>Review durable delivery status and unknown outcomes.</w:t>
      </w:r>
    </w:p>
    <w:p>
      <w:pPr>
        <w:pStyle w:val="Heading2"/>
      </w:pPr>
      <w:r>
        <w:rPr>
          <w:b w:val="0"/>
          <w:i w:val="0"/>
        </w:rPr>
        <w:t>Evidence requirements</w:t>
      </w:r>
    </w:p>
    <w:p>
      <w:pPr>
        <w:pStyle w:val="ListBullet"/>
      </w:pPr>
      <w:r>
        <w:rPr>
          <w:b w:val="0"/>
          <w:i w:val="0"/>
        </w:rPr>
        <w:t>Provider message id</w:t>
      </w:r>
    </w:p>
    <w:p>
      <w:pPr>
        <w:pStyle w:val="ListBullet"/>
      </w:pPr>
      <w:r>
        <w:rPr>
          <w:b w:val="0"/>
          <w:i w:val="0"/>
        </w:rPr>
        <w:t>Verified transport evidence</w:t>
      </w:r>
    </w:p>
    <w:p>
      <w:pPr>
        <w:pStyle w:val="ListBullet"/>
      </w:pPr>
      <w:r>
        <w:rPr>
          <w:b w:val="0"/>
          <w:i w:val="0"/>
        </w:rPr>
        <w:t>Case-bound correlation</w:t>
      </w:r>
    </w:p>
    <w:p>
      <w:pPr>
        <w:pStyle w:val="Heading2"/>
      </w:pPr>
      <w:r>
        <w:rPr>
          <w:b w:val="0"/>
          <w:i w:val="0"/>
        </w:rPr>
        <w:t>Limits and exceptions</w:t>
      </w:r>
    </w:p>
    <w:p>
      <w:pPr>
        <w:pStyle w:val="ListBullet"/>
      </w:pPr>
      <w:r>
        <w:rPr>
          <w:b w:val="0"/>
          <w:i w:val="0"/>
        </w:rPr>
        <w:t>A shared mailbox identity alone cannot authorize a state change.</w:t>
      </w:r>
    </w:p>
    <w:p>
      <w:pPr>
        <w:pStyle w:val="Heading1"/>
      </w:pPr>
      <w:r>
        <w:rPr>
          <w:b w:val="0"/>
          <w:i w:val="0"/>
        </w:rPr>
        <w:t>Operational outcomes and commercial assumptions</w:t>
      </w:r>
    </w:p>
    <w:p>
      <w:r>
        <w:rPr>
          <w:b w:val="0"/>
          <w:i w:val="0"/>
        </w:rPr>
        <w:t>Live metrics exclude historical test records. Commercial what-if estimates remain available with stated assumptions.</w:t>
      </w:r>
    </w:p>
    <w:p>
      <w:r>
        <w:rPr>
          <w:b w:val="0"/>
          <w:i w:val="0"/>
        </w:rPr>
        <w:t>Authorized area: /analytics</w:t>
      </w:r>
    </w:p>
    <w:p>
      <w:pPr>
        <w:pStyle w:val="Heading2"/>
      </w:pPr>
      <w:r>
        <w:rPr>
          <w:b w:val="0"/>
          <w:i w:val="0"/>
        </w:rPr>
        <w:t>Instructions</w:t>
      </w:r>
    </w:p>
    <w:p>
      <w:pPr>
        <w:pStyle w:val="ListBullet"/>
      </w:pPr>
      <w:r>
        <w:rPr>
          <w:b w:val="0"/>
          <w:i w:val="0"/>
        </w:rPr>
        <w:t>Check cohort, dates, source provenance and denominator.</w:t>
      </w:r>
    </w:p>
    <w:p>
      <w:pPr>
        <w:pStyle w:val="ListBullet"/>
      </w:pPr>
      <w:r>
        <w:rPr>
          <w:b w:val="0"/>
          <w:i w:val="0"/>
        </w:rPr>
        <w:t>Distinguish observed outcomes from estimates.</w:t>
      </w:r>
    </w:p>
    <w:p>
      <w:pPr>
        <w:pStyle w:val="ListBullet"/>
      </w:pPr>
      <w:r>
        <w:rPr>
          <w:b w:val="0"/>
          <w:i w:val="0"/>
        </w:rPr>
        <w:t>Do not treat aggregate what-if means as causal forecasts or case-level SLA rates.</w:t>
      </w:r>
    </w:p>
    <w:p>
      <w:pPr>
        <w:pStyle w:val="Heading2"/>
      </w:pPr>
      <w:r>
        <w:rPr>
          <w:b w:val="0"/>
          <w:i w:val="0"/>
        </w:rPr>
        <w:t>Evidence requirements</w:t>
      </w:r>
    </w:p>
    <w:p>
      <w:pPr>
        <w:pStyle w:val="ListBullet"/>
      </w:pPr>
      <w:r>
        <w:rPr>
          <w:b w:val="0"/>
          <w:i w:val="0"/>
        </w:rPr>
        <w:t>Dated source evidence</w:t>
      </w:r>
    </w:p>
    <w:p>
      <w:pPr>
        <w:pStyle w:val="ListBullet"/>
      </w:pPr>
      <w:r>
        <w:rPr>
          <w:b w:val="0"/>
          <w:i w:val="0"/>
        </w:rPr>
        <w:t>Eligible real cohort</w:t>
      </w:r>
    </w:p>
    <w:p>
      <w:pPr>
        <w:pStyle w:val="ListBullet"/>
      </w:pPr>
      <w:r>
        <w:rPr>
          <w:b w:val="0"/>
          <w:i w:val="0"/>
        </w:rPr>
        <w:t>Explicit modeling assumptions</w:t>
      </w:r>
    </w:p>
    <w:p>
      <w:pPr>
        <w:pStyle w:val="Heading2"/>
      </w:pPr>
      <w:r>
        <w:rPr>
          <w:b w:val="0"/>
          <w:i w:val="0"/>
        </w:rPr>
        <w:t>Limits and exceptions</w:t>
      </w:r>
    </w:p>
    <w:p>
      <w:pPr>
        <w:pStyle w:val="ListBullet"/>
      </w:pPr>
      <w:r>
        <w:rPr>
          <w:b w:val="0"/>
          <w:i w:val="0"/>
        </w:rPr>
        <w:t>Historical test activity is not business performance or readiness.</w:t>
      </w:r>
    </w:p>
    <w:p>
      <w:pPr>
        <w:pStyle w:val="Heading1"/>
      </w:pPr>
      <w:r>
        <w:rPr>
          <w:b w:val="0"/>
          <w:i w:val="0"/>
        </w:rPr>
        <w:t>Governance, privacy, retention and audit</w:t>
      </w:r>
    </w:p>
    <w:p>
      <w:r>
        <w:rPr>
          <w:b w:val="0"/>
          <w:i w:val="0"/>
        </w:rPr>
        <w:t>Sensitive access, legal holds, retention, independent audit readiness and release checks remain mandatory.</w:t>
      </w:r>
    </w:p>
    <w:p>
      <w:r>
        <w:rPr>
          <w:b w:val="0"/>
          <w:i w:val="0"/>
        </w:rPr>
        <w:t>Authorized area: /settings</w:t>
      </w:r>
    </w:p>
    <w:p>
      <w:pPr>
        <w:pStyle w:val="Heading2"/>
      </w:pPr>
      <w:r>
        <w:rPr>
          <w:b w:val="0"/>
          <w:i w:val="0"/>
        </w:rPr>
        <w:t>Instructions</w:t>
      </w:r>
    </w:p>
    <w:p>
      <w:pPr>
        <w:pStyle w:val="ListBullet"/>
      </w:pPr>
      <w:r>
        <w:rPr>
          <w:b w:val="0"/>
          <w:i w:val="0"/>
        </w:rPr>
        <w:t>Use scoped access reports and current authority.</w:t>
      </w:r>
    </w:p>
    <w:p>
      <w:pPr>
        <w:pStyle w:val="ListBullet"/>
      </w:pPr>
      <w:r>
        <w:rPr>
          <w:b w:val="0"/>
          <w:i w:val="0"/>
        </w:rPr>
        <w:t>Review approved lifecycle policies and legal holds.</w:t>
      </w:r>
    </w:p>
    <w:p>
      <w:pPr>
        <w:pStyle w:val="ListBullet"/>
      </w:pPr>
      <w:r>
        <w:rPr>
          <w:b w:val="0"/>
          <w:i w:val="0"/>
        </w:rPr>
        <w:t>Verify independent audit receipts before regulated release.</w:t>
      </w:r>
    </w:p>
    <w:p>
      <w:pPr>
        <w:pStyle w:val="Heading2"/>
      </w:pPr>
      <w:r>
        <w:rPr>
          <w:b w:val="0"/>
          <w:i w:val="0"/>
        </w:rPr>
        <w:t>Evidence requirements</w:t>
      </w:r>
    </w:p>
    <w:p>
      <w:pPr>
        <w:pStyle w:val="ListBullet"/>
      </w:pPr>
      <w:r>
        <w:rPr>
          <w:b w:val="0"/>
          <w:i w:val="0"/>
        </w:rPr>
        <w:t>Approved retention policy</w:t>
      </w:r>
    </w:p>
    <w:p>
      <w:pPr>
        <w:pStyle w:val="ListBullet"/>
      </w:pPr>
      <w:r>
        <w:rPr>
          <w:b w:val="0"/>
          <w:i w:val="0"/>
        </w:rPr>
        <w:t>Legal hold</w:t>
      </w:r>
    </w:p>
    <w:p>
      <w:pPr>
        <w:pStyle w:val="ListBullet"/>
      </w:pPr>
      <w:r>
        <w:rPr>
          <w:b w:val="0"/>
          <w:i w:val="0"/>
        </w:rPr>
        <w:t>Independent provider-verified audit receipt</w:t>
      </w:r>
    </w:p>
    <w:p>
      <w:pPr>
        <w:pStyle w:val="Heading2"/>
      </w:pPr>
      <w:r>
        <w:rPr>
          <w:b w:val="0"/>
          <w:i w:val="0"/>
        </w:rPr>
        <w:t>Limits and exceptions</w:t>
      </w:r>
    </w:p>
    <w:p>
      <w:pPr>
        <w:pStyle w:val="ListBullet"/>
      </w:pPr>
      <w:r>
        <w:rPr>
          <w:b w:val="0"/>
          <w:i w:val="0"/>
        </w:rPr>
        <w:t>Tenant administration is not specialist authority.</w:t>
      </w:r>
    </w:p>
    <w:p>
      <w:pPr>
        <w:pStyle w:val="ListBullet"/>
      </w:pPr>
      <w:r>
        <w:rPr>
          <w:b w:val="0"/>
          <w:i w:val="0"/>
        </w:rPr>
        <w:t>Restricted history and protected effect journals are retained; retirement does not purge records.</w:t>
      </w:r>
    </w:p>
    <w:p>
      <w:pPr>
        <w:pStyle w:val="Heading1"/>
      </w:pPr>
      <w:r>
        <w:rPr>
          <w:b w:val="0"/>
          <w:i w:val="0"/>
        </w:rPr>
        <w:t>Current feature inventory</w:t>
      </w:r>
    </w:p>
    <w:p>
      <w:r>
        <w:rPr>
          <w:b w:val="0"/>
          <w:i w:val="0"/>
        </w:rPr>
        <w:t>37 features mapped; no executed assertions are claimed by this document.</w:t>
      </w:r>
    </w:p>
    <w:p>
      <w:pPr>
        <w:sectPr>
          <w:footerReference w:type="default" r:id="rId9"/>
          <w:pgSz w:w="11952" w:h="16848"/>
          <w:pgMar w:top="936" w:right="936" w:bottom="936" w:left="936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2"/>
        <w:gridCol w:w="4992"/>
        <w:gridCol w:w="4992"/>
      </w:tblGrid>
      <w:tr>
        <w:trPr>
          <w:tblHeader/>
        </w:trPr>
        <w:tc>
          <w:tcPr>
            <w:tcW w:type="dxa" w:w="4992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Feature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Authorized area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Evidence boundary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PFC-001 — Control Tower dashboard, stage and workload visibility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Live cards are observed data; empty/loading/error state must be recorded.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PFC-002 — Case search, filters and operational list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/cases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Search results are organization-scoped.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PFC-003 — Individual onboarding intake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/cases/new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Record form validation and duplicate protection.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PFC-004 — Batch and campus/frontline intake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/cases · /cases batch intake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Batch support does not make individual exceptions disappear.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PFC-005 — Case overview, lifecycle and stage state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/cases/:id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Status labels require supporting workstream evidence.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PFC-006 — Case tasks, checklists and business stages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/cases/:id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Mandatory gate behavior is observed; reopening is auditable.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PFC-007 — Case documents, privacy and validation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/cases/:id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Local validation never proves authenticity or clearance.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PFC-008 — Candidate portal and upload journey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/candidate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Candidate access is separate from control-tower membership.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PFC-009 — Document scanner availability and quarantine boundary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/cases/:id · /systems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Unavailable scanning and quarantine remain fail-closed. Only current independently verified scanner evidence can clear a gate.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PFC-010 — Case communications and monitored-email status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/cases/:id · /systems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Real email requires existing approved-mailbox controls.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PFC-011 — Case explanations, activity and audit evidence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/cases/:id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Explanations aid review and do not supersede audit.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PFC-012 — Action Center work items and human handoffs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/approvals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Assignment does not grant specialist decision authority.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PFC-013 — Workforce transfer program lifecycle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/workforce-transfers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Transfer basis remains legally governed.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PFC-014 — Transfer population import and reconciliation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/workforce-transfers/:id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CSV mapping/versions are implemented; legal migration approval is not implied.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PFC-015 — Transfer governance, authority and objections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/workforce-transfers/:id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Role membership is distinct from verified specialist authority.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PFC-016 — Transfer cutover and contingency actions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/workforce-transfers/:id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 Go decision needs observed completed evidence.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PFC-017 — Transfer operations, KPIs and post-transfer tracking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/workforce-transfers/:id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Metrics are not legal or payroll certification.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PFC-018 — AI Agents operational view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/agents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Agent status and outputs remain reviewable.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PFC-019 — Workflow drafting and recommendations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/recommendations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Drafts are advisory and use normal approval boundaries.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PFC-020 — Cited HR Policy Assistant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/policy-assistant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Citations/limitations must be observed for the query.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PFC-021 — Policy library, versions and expiry reminders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/hr-policy-library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Publication/expiry actions are governed.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PFC-022 — Policy review and decision governance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/policy-review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Pending/rejected/stale authority cannot publish.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PFC-023 — Guardrails and restricted action handling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/guardrails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 guardrail result is not a policy approval.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PFC-024 — Systems, provider configuration and monitoring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/systems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Configured status must be observed; no vendor sandbox is claimed.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PFC-025 — Analytics and operational outcome KPIs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/analytics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Historical test records never enter live outcome metrics. Historical business outcomes require dated source evidence.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PFC-026 — Bottleneck simulation and operational recommendations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/analytics · /recommendations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Simulation inputs/assumptions are not observed facts.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PFC-027 — Client setup and organization process configuration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/client-setup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Configuration scope requires authorized observation.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PFC-028 — Process-file management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/client-setup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Files are governed inputs, not executable instructions.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PFC-029 — Organization membership and roles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/settings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Membership changes do not imply specialist authority.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PFC-030 — Audit Trail browse and export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/audit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Audit evidence requires an authorized observed fixture.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PFC-031 — Archive, retention and hold-aware actions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/audit · /settings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Only actually offered actions are tested; no destructive reset.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PFC-032 — Verified specialist authority controls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/settings · /policy-review · /workforce-transfers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Authority is tenant-specific and must be independently evidenced.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PFC-033 — Default checklist configuration and snapshots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/settings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New cases receive a saved snapshot; existing cases do not silently rewrite.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PFC-034 — Targeted checklist profiles and job profiles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/settings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Matching and precedence require observed configuration.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PFC-035 — Readiness/SLA, early-tenure and privacy settings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/settings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Legal/policy defaults cannot be invented.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PFC-036 — Early-tenure Day-1/30/60/90/probation tracking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/settings · /cases/:id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Enabled schedule and human completion must be observed.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PFC-044 — Learning Guide search, navigation and portable download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/learning-guide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The guide describes current authorized operations and retained evidence; catalog coverage is not proof of execution.</w:t>
            </w:r>
          </w:p>
        </w:tc>
      </w:tr>
    </w:tbl>
    <w:p>
      <w:pPr>
        <w:sectPr>
          <w:pgSz w:w="16848" w:h="11952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b w:val="0"/>
          <w:i w:val="0"/>
        </w:rPr>
        <w:t>Source requirements and limitations</w:t>
      </w:r>
    </w:p>
    <w:p>
      <w:r>
        <w:rPr>
          <w:b w:val="0"/>
          <w:i w:val="0"/>
        </w:rPr>
        <w:t>Historical baseline quotations are retained as source evidence, not current feature or execution claims.</w:t>
      </w:r>
    </w:p>
    <w:p>
      <w:pPr>
        <w:sectPr>
          <w:pgSz w:w="11952" w:h="16848"/>
          <w:pgMar w:top="936" w:right="936" w:bottom="936" w:left="936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2"/>
        <w:gridCol w:w="4992"/>
        <w:gridCol w:w="4992"/>
      </w:tblGrid>
      <w:tr>
        <w:trPr>
          <w:tblHeader/>
        </w:trPr>
        <w:tc>
          <w:tcPr>
            <w:tcW w:type="dxa" w:w="4992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Requirement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Source baseline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Availability and evidence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REQ-01 — Create case and checklist on offer acceptance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Auto-create the onboarding case on offer acceptance and instantiate the pre-boarding checklist.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§8 REQ-01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Case ID, checklist snapshot and audit event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REQ-02 — Validate and chase mandatory documents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Ingest and validate new-hire documents against the mandatory checklist; flag and chase deficiencies.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§8 REQ-02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Per-file validation, deficiency and audit evidence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REQ-03 — Initiate and track BGV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Initiate BGV via vendor API and track status against SLA with automated reminders.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§8 REQ-03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Correlated provider receipt and SLA reminder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REQ-04 — Route BGV discrepancy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Route BGV discrepancies to HR/Compliance with the vendor report for disposition.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§8 REQ-04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Human disposition queue/evidence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REQ-05 — Create Oracle HCM record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Create the employee record in Oracle HCM with position, org, manager, and start date on clearance.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§8 REQ-05; §9.1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not-implemented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Oracle source-system receipt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REQ-06 — Raise IT/asset/access requests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Auto-raise IT/asset and role-based access requests via the service catalogue.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§8 REQ-06; §9.1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ITSM request/correlation receipt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REQ-07 — Configure payroll and benefits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Configure payroll and benefits enrolment with validation against the HRIS record.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§8 REQ-07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Payroll/benefits and HRIS evidence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REQ-08 — Maintain five-workstream readiness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Maintain a live onboarding readiness score across the five workstreams.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§8 REQ-08; §4.6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implemented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Readiness breakdown and timestamp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REQ-09 — Enforce Day-1 BGV checkpoint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Enforce a Day-1 readiness checkpoint with BGV clearance as a hard prerequisite.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§8 REQ-09; BR-04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Day-1 Readiness state, BGV and approval evidence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REQ-10 — Guide induction and compliance learning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Provide guided Day-1 induction and mandatory compliance-training enrolment.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§8 REQ-10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not-implemented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Enabled early-tenure/learning configuration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REQ-11 — Buddy and manager connect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Assign a buddy and schedule the structured manager connect.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§8 REQ-11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not-implemented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Enabled schedule and accountable owner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REQ-12 — 30/60/90 and probation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Schedule 30-60-90 check-ins and capture probation confirmation.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§8 REQ-12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not-implemented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Early-tenure settings and human evidence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REQ-13 — SLA breach alert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Generate real-time alerts when any workstream breaches its SLA relative to the joining date.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§8 REQ-13; §4.6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implemented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Run-clock escalation/readiness evidence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REQ-14 — Rehire/conversion reduced collection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Support rehire/conversion with reduced re-collection where prior records are valid.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§8 REQ-14; §4.5.3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Duplicate/identity resolution and policy decision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REQ-15 — Data minimisation and RBAC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Enforce data minimisation and role-based access to sensitive new-hire data.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§8 REQ-15; BR-03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Authorized denial and redacted view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REQ-16 — Immutable audit trail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Maintain an immutable audit trail of steps, approvals, owners, and timestamps.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§8 REQ-16; BR-06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Audit/event export with versions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BR-01 — Access/asset prerequisite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 system access or asset is granted before BGV clearance (or approved conditional join) and active HRIS record.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§10 BR-01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Blocked request or approved human exception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BR-02 — Version-controlled templates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Onboarding checklists and role-based access templates are version-controlled; only HR Operations/IT owners may modify them.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§10 BR-02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Version, authorization and audit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BR-03 — Need-to-know sensitive data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Sensitive new-hire data is collected on a minimisation basis and accessible only on a role-based need-to-know.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§10 BR-03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Denied cross-role access/redacted fields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BR-04 — Day-1 workstream gate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Day-1 readiness requires all mandatory workstreams complete or approved contingency, with BGV as hard prerequisite.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§10 BR-04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Day-1 Readiness blocker/approval evidence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BR-05 — Human BGV disposition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BGV discrepancies are dispositioned only by HR/Compliance; analysts cannot self-approve adverse results.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§10 BR-05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Restricted disposition/authority evidence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BR-06 — Decision/provisioning audit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Every onboarding decision, approval, and provisioning action is logged with owner and timestamp for audit.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§10 BR-06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Audit export/redacted event chain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BR-07 — Bounded reversible agents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Agent actions are bounded and reversible; defined checkpoints require human approval before proceeding.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§10 BR-07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Guardrail/review/audit result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BR-08 — Retention and external sharing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Records are retained per statutory policy; documents are not shared externally.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§10 BR-08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policy-dependent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Retention/hold state and denied external action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APP-A-01 — Frontline intake context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Capture role, site, shift, and skill category for frontline intake.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A §A.4 B1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Batch/frontline context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APP-A-02 — Eligibility evidence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Require ID, age proof and applicable skill/trade evidence before regulated deployment.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A §A.4 GW-A; §A.5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Document blocker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APP-A-03 — Police verification applicability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Perform police verification only where policy and lawful applicability require it.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A §A.4 B3; §A.5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policy-dependent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Policy decision/provider receipt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APP-A-04 — Medical fitness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Require medical fitness evidence before floor/site deployment.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A §A.4 B4/GW-B; §A.9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Hard-gate state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APP-A-05 — Drug-test applicability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Require drug-test evidence only where policy and lawful applicability require it.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A §A.4 B4; §A.5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policy-dependent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Policy decision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APP-A-06 — BGV and fitness review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Require medically-fit and BGV-clear outcomes; route failures to HR/OH review.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A §A.4 GW-B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Hold/review evidence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APP-A-07 — Statutory IDs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Record statutory worker IDs only where applicable before first wage processing.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A §A.4 B5; §A.5; §A.9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policy-dependent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Payroll policy/source receipt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APP-A-08 — Physical provisioning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Issue and record badge, PPE, uniform, tools and locker prerequisites before floor access.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A §A.4 B6; §A.6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Issue/gate record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APP-A-09 — Wage/timesheet setup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Use wage/timesheet setup and applicable statutory payroll registration.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A §A.4 B7; §A.9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Payroll status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APP-A-10 — Safety induction gate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Require safety induction and competency sign-off before floor/site access.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A §A.4 B8/GW-C; §A.2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Safety hard-gate state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APP-A-11 — PPE/emergency data minimisation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Capture PPE size and next-of-kin/emergency-contact data only through an approved, minimised process.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A §A.5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not-implemented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Approved data collection design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APP-A-12 — Applicable labour obligations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Apply age, labour, wage/hour, social-security and contractor-labour obligations only after jurisdiction/contract review.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A §A.9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policy-dependent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Legal review record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APP-A-13 — Frontline records/audit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Retain PPE issuance, safety sign-off, fitness certificates and IDs as auditable evidence.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A §A.9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Audit/retention view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APP-A-14 — Independent safety/medical gates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Keep medical/safety hard gates independent of weighted readiness score.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A §A.7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Score plus unresolved gate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APP-A-15 — Frontline exceptions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Handle restriction, failed competency, PPE stock-out, missing evidence and surge intake without release.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A §A.10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Hold/retrain/surge record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APP-A-16 — Assisted intake/right to work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Support assisted site intake for low-literacy workers and verify applicable right-to-work evidence before deployment.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A §A.1–A.2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not-implemented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Accessibility and legal-review evidence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APP-A-17 — Frontline supervision/early tenure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Assign supervisor/buddy, record OJT or machine-SOP training and probation confirmation.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A §A.4 B9–B11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not-implemented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Human-owned schedule/evidence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APP-A-18 — Site welfare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Manage transport and canteen enrolment where site welfare services are provided.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A §A.6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not-implemented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Configured service evidence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APP-A-19 — Minimum age gate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Verify minimum working age and block under-age deployment before regulated floor/site release.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A §A.9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Age-proof blocker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APP-A-20 — Frontline metrics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Track frontline cycle-time, medical turnaround, safety, PPE, statutory and early-attrition measures as reviewable policy metrics.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A §A.10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not-implemented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Metric configuration/observed gap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APP-A-21 — Separate frontline workstreams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Evaluate documentation, BGV/police, medical/drug, provisioning, payroll and HSE separately, with hard gates.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A §A.7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Separate workstream/gate view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APP-A-22 — Frontline RACI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Assign and preserve frontline RACI responsibilities for intake, verification, medical, provisioning, payroll, safety and OJT.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A §A.8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not-implemented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Role assignment evidence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APP-B-01 — Transfer due diligence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Perform secure HR due diligence over headcount, terms, service and liabilities.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B §B.4 M1; §B.5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Restricted program/audit evidence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APP-B-02 — Transfer basis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Determine transfer basis and applicable law before selecting a transfer pathway.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B §B.1; §B.4 M2/GW-A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policy-dependent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Verified authority decision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APP-B-03 — Consultation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Complete required representative/works-council consultation on the applicable statutory timeline.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B §B.4 M3; §B.7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not-implemented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Legal consultation evidence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APP-B-04 — Transfer communications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Issue individual transfer communications and measures information after legal review.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B §B.4 M4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not-implemented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Legal-reviewed communication audit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APP-B-05 — Objections and terms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Handle objections, opt-outs, redundancy and terms changes under applicable law and approved policy.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B §B.4 GW-B; §B.7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policy-dependent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Authority-gated objection action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APP-B-06 — Bulk migration/service continuity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Bulk-create transfer records while preserving validated original hire/service dates.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B §B.4 M5; §B.5/B.7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Population version and service-date validation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APP-B-07 — Legal Day-1 cutover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Cut over payroll, benefits and access at legal Day-1 with no unreviewed pay-disruption release.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B §B.4 M6/GW-C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Cutover evidence/contingency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APP-B-08 — Cutover contingency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Use a legally reviewed contingency for failed transfer cutover and preserve evidence.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B §B.4 GW-C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Parallel-run/contingency action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APP-B-09 — Integration and harmonisation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Deliver transfer integration induction and approved post-transfer harmonisation.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B §B.4 M7–M8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not-implemented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Approved plan/evidence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APP-B-10 — Transfer data/pension privacy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Lawfully minimise and secure seller employee data and address applicable pension/benefit obligations.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B §B.5; §B.7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policy-dependent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Privacy/legal review and hold state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APP-B-11 — Transfer stabilisation metrics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Confirm workforce stabilisation and track Day-1 pay, migration, consultation, access, attrition and harmonisation measures.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B §B.4 M9; §B.7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not-implemented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Metric/gap observation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APP-B-12 — Transfer RACI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Assign and preserve transfer RACI responsibilities for due diligence, basis, consultation, communications, objections, migration, cutover and harmonisation.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B §B.6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Assigned work/cutover evidence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BRD-PROC-01 — Twelve-step lifecycle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Operate the 12-step backbone from intake through documents, BGV, HRIS, provisioning, payroll, Day-1, induction, buddy and probation.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§4.2 Steps 01–12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Case/workstream/early-tenure evidence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BRD-PROC-02 — Five-workstream SLA model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Track Documentation, BGV, HRIS, IT &amp; assets and Payroll &amp; benefits by joining-date SLA and use the stated 20/25/15/20/20 readiness weights as provisional baseline.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§4.6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Readiness breakdown, clock/SLA evidence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BRD-EXC-01 — No response to deficiency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After a documentation deficiency notice, lapse/escalate no response under SLA and allow joining-date re-plan.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§4.4 Candidate never responds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Deficiency, elapsed clock and escalation evidence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BRD-EXC-02 — Delayed BGV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When BGV exceeds the acceptable window, use an approved conditional join where permitted or defer the start date.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§4.4 BGV delayed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policy-dependent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Blocked/approved exception and date-change audit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BRD-EXC-03 — IT/asset Day-1 contingency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When IT/assets are not provisioned before Day-1, expose manual expedite, interim access or contingency plan rather than silently release.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§4.4 IT/assets not provisioned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ITSM state and contingency/work item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BRD-EXC-04 — Payroll cutoff recovery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When payroll cut-off is missed, record off-cycle payment or next-cycle correction through accountable payroll handling.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§4.4 Payroll cut-off missed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policy-dependent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Payroll exception/cutoff evidence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BRD-EXC-05 — Start-date change resequencing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On start-date changes after setup, update effective date and re-sequence provisioning.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§4.4 Start date changes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Date-change, affected task and audit record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BRD-EXC-06 — Duplicate and rehire conflict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Use master-data check to prevent duplicate employee record and reactivate prior record where appropriate.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§4.4 Duplicate or rehire record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Conflict/review and identity continuity evidence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BRD-EXC-07 — Bulk-volume recovery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Use cohort batch checklist and additional analyst assignment during campus/bulk intake spike.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§4.4 Bulk/campus intake volume spike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Cohort and individual exception evidence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BRD-VAR-01 — Lateral hire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Apply complete documentation, standard BGV and role-based access for lateral/experienced hire.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§4.5.1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Checklist, BGV and access state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BRD-VAR-02 — Campus/fresher cohort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Use common-start cohort onboarding with batch collection, standardised induction and bulk provisioning.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§4.5.2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Cohort receipt/individual exceptions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BRD-VAR-03 — Rehire/conversion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Use expedited policy-controlled re-collection with refreshed BGV/access and HRBP eligibility review.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§4.5.3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Prior-record review and no-duplicate evidence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BRD-VAR-04 — Cross-border/relocation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Add visa/work-authorization, jurisdiction forms and localized payroll/benefits with Legal/Mobility involvement.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§4.5.4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policy-dependent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Dependency/hold and specialist ownership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BRD-VAR-05 — Executive/senior hire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Apply enhanced due diligence, confidentiality handling, tailored induction and executive asset provisioning.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§4.5.5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policy-dependent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Restricted case/owner/exception evidence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BRD-RACI-01 — Core RACI ownership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Preserve accountable ownership for intake, documents, BGV, HRIS, IT, payroll, readiness, induction, buddy and probation activities.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§6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Owner/work-item/audit fields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BRD-SYS-01 — Application landscape boundary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Use Oracle HCM, ServiceNow HRSD, BGV vendor, ITSM, payroll/benefits, Outlook/Teams and Power BI as named system roles without claiming unconfigured integrations.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§9.1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Configured state or blocked/provider evidence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BRD-KPI-01 — Core onboarding measures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Review cycle time, Day-1 readiness, document completeness, BGV turnaround and provisioning-on-time measures; targets remain pending To-Be design.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§7.2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Analytics definition/filter and data limitation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BRD-KPI-02 — Experience and early-tenure measures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Review new-hire eNPS and 0–90-day attrition measures without using analytics for individual employment judgment.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§7.2; POC §14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policy-dependent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Aggregate/suppression evidence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BRD-NFR-01 — Source labels and To-Be status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Preserve Draft for Review source labels and treat grey To-Be content as pending design confirmation rather than SME-approved production policy.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front matter; §5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policy-dependent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Governance decision/version note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UAT-REQ-01 — Test Center access and execution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Authorized users select scenarios, receive role instructions, create/pause/resume/rerun runs and retain versioned history.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Task #271 §14, §18–19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Run version, actor steps and history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UAT-REQ-02 — Fixtures and evidence export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Fixture download and redacted step/evidence report distinguish inputs from observed local parse/content-rule outcomes and from scanner, authenticity or provider evidence; reports preserve result provenance without fabricating backend evidence.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Task #271 §18–19, §23, §27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Fixture manifest, local-result provenance and report export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UAT-REQ-03 — Run-scoped evaluator boundary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The run-owned evaluator may invoke actual production pure predicates only against run-owned fixture/snapshot state; it must not dispatch providers or mutate real cases, readiness, global time, credentials, leases or real deadlines.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Task #271 §20–22, §28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Run evaluator, predicate-result provenance, exchange/clock history and no-dispatch boundary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  <w:tr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UAT-REQ-04 — Scoped cleanup and isolation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Cleanup removes only run-owned UAT state and respects tenant isolation, retention and holds.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Task #271 §14, §28</w:t>
            </w:r>
          </w:p>
        </w:tc>
        <w:tc>
          <w:tcPr>
            <w:tcW w:type="dxa" w:w="4992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Cleanup receipt/denial and isolation result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current independent, authorized observation. Static source mapping does not establish execution, provider certification, source authenticity or readiness.</w:t>
            </w:r>
          </w:p>
        </w:tc>
      </w:tr>
    </w:tbl>
    <w:p>
      <w:pPr>
        <w:sectPr>
          <w:pgSz w:w="16848" w:h="11952" w:orient="landscape"/>
          <w:pgMar w:top="936" w:right="936" w:bottom="936" w:left="936" w:header="720" w:footer="720" w:gutter="0"/>
          <w:cols w:space="720"/>
          <w:docGrid w:linePitch="360"/>
        </w:sectPr>
      </w:pPr>
    </w:p>
    <w:sectPr w:rsidR="00FC693F" w:rsidRPr="0006063C" w:rsidSect="00034616">
      <w:pgSz w:w="11952" w:h="16848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Onboarding Control Tower | User Guide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73B9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73B9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73B9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73B9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Onboarding Control Tower — Product Learning Guide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