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Normal"/>
        <w:rPr>
          <w:rStyle w:val="DefaultParagraphFont"/>
          <w:lang w:eastAsia="en-US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294005</wp:posOffset>
            </wp:positionH>
            <wp:positionV relativeFrom="paragraph">
              <wp:posOffset>268605</wp:posOffset>
            </wp:positionV>
            <wp:extent cx="5736590" cy="141097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38" r="-10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Heading1"/>
        <w:tabs>
          <w:tab w:val="clear" w:pos="720"/>
          <w:tab w:val="left" w:pos="0" w:leader="none"/>
        </w:tabs>
        <w:ind w:start="0" w:hanging="0"/>
        <w:jc w:val="center"/>
        <w:rPr>
          <w:rFonts w:ascii="Times New Roman" w:hAnsi="Times New Roman" w:eastAsia="SimSun;宋体" w:cs="Times New Roman"/>
          <w:b/>
          <w:b/>
          <w:bCs/>
          <w:color w:val="333333"/>
          <w:sz w:val="30"/>
          <w:szCs w:val="28"/>
          <w:lang w:val="el-GR"/>
        </w:rPr>
      </w:pPr>
      <w:r>
        <w:rPr>
          <w:rFonts w:eastAsia="SimSun;宋体" w:cs="Times New Roman"/>
          <w:b/>
          <w:bCs/>
          <w:color w:val="333333"/>
          <w:sz w:val="30"/>
          <w:szCs w:val="28"/>
          <w:lang w:val="el-GR"/>
        </w:rPr>
        <w:t>Αναγνώριση Προτύπων και Ειδικά Θέματα Όρασης Υπολογιστών</w:t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  <w:t>Σύστημα Ανάκτησης Εικόνων</w:t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jc w:val="center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rPr>
          <w:rFonts w:cs="Times New Roman"/>
          <w:b/>
          <w:b/>
          <w:bCs/>
          <w:sz w:val="28"/>
          <w:szCs w:val="28"/>
          <w:lang w:val="el-GR"/>
        </w:rPr>
      </w:pPr>
      <w:r>
        <w:rPr>
          <w:rFonts w:cs="Times New Roman"/>
          <w:b/>
          <w:bCs/>
          <w:sz w:val="28"/>
          <w:szCs w:val="28"/>
          <w:lang w:val="el-GR"/>
        </w:rPr>
      </w:r>
    </w:p>
    <w:p>
      <w:pPr>
        <w:pStyle w:val="Normal"/>
        <w:rPr>
          <w:rFonts w:cs="Times New Roman"/>
          <w:b/>
          <w:b/>
          <w:bCs/>
          <w:lang w:val="el-GR"/>
        </w:rPr>
      </w:pPr>
      <w:r>
        <w:rPr>
          <w:rFonts w:cs="Times New Roman"/>
          <w:b/>
          <w:bCs/>
          <w:lang w:val="el-GR"/>
        </w:rPr>
        <w:t>2η Εργασία</w:t>
      </w:r>
    </w:p>
    <w:p>
      <w:pPr>
        <w:pStyle w:val="Normal"/>
        <w:rPr>
          <w:rFonts w:cs="Times New Roman"/>
          <w:b/>
          <w:b/>
          <w:bCs/>
          <w:lang w:val="el-GR"/>
        </w:rPr>
      </w:pPr>
      <w:r>
        <w:rPr>
          <w:rFonts w:cs="Times New Roman"/>
          <w:b/>
          <w:bCs/>
          <w:lang w:val="el-GR"/>
        </w:rPr>
        <w:t>Εμμανουήλ Παπαδημητρίου</w:t>
      </w:r>
    </w:p>
    <w:p>
      <w:pPr>
        <w:pStyle w:val="Normal"/>
        <w:rPr/>
      </w:pPr>
      <w:r>
        <w:rPr>
          <w:rStyle w:val="DefaultParagraphFont"/>
          <w:rFonts w:cs="Times New Roman"/>
          <w:b/>
          <w:bCs/>
          <w:lang w:val="el-GR"/>
        </w:rPr>
        <w:t xml:space="preserve">ΑΜ: </w:t>
      </w:r>
      <w:r>
        <w:rPr>
          <w:rStyle w:val="DefaultParagraphFont"/>
          <w:rFonts w:cs="Times New Roman"/>
          <w:b/>
          <w:bCs/>
        </w:rPr>
        <w:t>mcse</w:t>
      </w:r>
      <w:r>
        <w:rPr>
          <w:rStyle w:val="DefaultParagraphFont"/>
          <w:rFonts w:cs="Times New Roman"/>
          <w:b/>
          <w:bCs/>
          <w:lang w:val="el-GR"/>
        </w:rPr>
        <w:t>19021</w:t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Default"/>
        <w:rPr>
          <w:lang w:val="el-GR"/>
        </w:rPr>
      </w:pPr>
      <w:r>
        <w:rPr>
          <w:lang w:val="el-GR"/>
        </w:rPr>
        <w:t xml:space="preserve"> </w:t>
      </w:r>
    </w:p>
    <w:p>
      <w:pPr>
        <w:pStyle w:val="Default"/>
        <w:rPr>
          <w:lang w:val="el-GR"/>
        </w:rPr>
      </w:pPr>
      <w:r>
        <w:rPr>
          <w:lang w:val="el-GR"/>
        </w:rPr>
      </w:r>
    </w:p>
    <w:p>
      <w:pPr>
        <w:pStyle w:val="Default"/>
        <w:rPr>
          <w:lang w:val="el-GR"/>
        </w:rPr>
      </w:pPr>
      <w:r>
        <w:rPr>
          <w:lang w:val="el-GR"/>
        </w:rPr>
      </w:r>
    </w:p>
    <w:p>
      <w:pPr>
        <w:pStyle w:val="Default"/>
        <w:rPr>
          <w:lang w:val="el-GR"/>
        </w:rPr>
      </w:pPr>
      <w:r>
        <w:rPr>
          <w:lang w:val="el-GR"/>
        </w:rPr>
      </w:r>
    </w:p>
    <w:p>
      <w:pPr>
        <w:pStyle w:val="Default"/>
        <w:jc w:val="center"/>
        <w:rPr/>
      </w:pPr>
      <w:r>
        <w:rPr>
          <w:rStyle w:val="DefaultParagraphFont"/>
          <w:rFonts w:cs="apple-system;Calibri" w:ascii="apple-system;Calibri" w:hAnsi="apple-system;Calibri"/>
          <w:i/>
          <w:color w:val="212529"/>
          <w:lang w:val="el-GR"/>
        </w:rPr>
        <w:t>Μεταπτυχιακό Πρόγραμμα "Επιστήμη και Τεχνολογία της Πληροφορικής και των Υπολογιστών"</w:t>
      </w:r>
    </w:p>
    <w:p>
      <w:pPr>
        <w:pStyle w:val="Default"/>
        <w:rPr>
          <w:lang w:val="el-GR"/>
        </w:rPr>
      </w:pPr>
      <w:r>
        <w:rPr>
          <w:lang w:val="el-GR"/>
        </w:rPr>
      </w:r>
    </w:p>
    <w:p>
      <w:pPr>
        <w:pStyle w:val="Default"/>
        <w:rPr>
          <w:lang w:val="el-GR"/>
        </w:rPr>
      </w:pPr>
      <w:r>
        <w:rPr>
          <w:lang w:val="el-GR"/>
        </w:rPr>
      </w:r>
    </w:p>
    <w:p>
      <w:pPr>
        <w:pStyle w:val="Default"/>
        <w:rPr>
          <w:lang w:val="el-GR"/>
        </w:rPr>
      </w:pPr>
      <w:r>
        <w:rPr>
          <w:lang w:val="el-GR"/>
        </w:rPr>
      </w:r>
    </w:p>
    <w:p>
      <w:pPr>
        <w:pStyle w:val="Default"/>
        <w:rPr>
          <w:lang w:val="el-GR"/>
        </w:rPr>
      </w:pPr>
      <w:r>
        <w:rPr>
          <w:lang w:val="el-GR"/>
        </w:rPr>
      </w:r>
    </w:p>
    <w:p>
      <w:pPr>
        <w:pStyle w:val="Default"/>
        <w:rPr>
          <w:lang w:val="el-GR"/>
        </w:rPr>
      </w:pPr>
      <w:r>
        <w:rPr>
          <w:lang w:val="el-GR"/>
        </w:rPr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Αρχικά να αναφερθεί, ότι υπάρχουν όλα τα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l-GR"/>
        </w:rPr>
        <w:t>*.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mat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αρχεία που έχουν γίνει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generated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για τις τρεις περιπτώσεις του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kmeans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>για κάθε μέθοδο εξαγωγής των χαρακτηριστικών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Ειδικά για τις περιπτώσεις που το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kmeans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>έχει τιμή 50 και 100, έκανε πάρα πολύ ώρα να εκτελεσθεί και εφόσον απαιτήθηκαν δοκιμές μόνο το τρέξιμο του αλγορίθμου αυτό κατέστησε αναγκαία την αποθήκευση τους.</w:t>
      </w:r>
    </w:p>
    <w:p>
      <w:pPr>
        <w:pStyle w:val="TextBody"/>
        <w:rPr>
          <w:b w:val="false"/>
          <w:b w:val="false"/>
          <w:bCs w:val="false"/>
          <w:sz w:val="24"/>
          <w:szCs w:val="24"/>
          <w:lang w:val="el-GR"/>
        </w:rPr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>Θα βρείτε λοιπόν τους φακέλους: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  <w:lang w:val="el-GR"/>
        </w:rPr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>HOG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sz w:val="24"/>
          <w:szCs w:val="24"/>
          <w:lang w:val="el-GR"/>
        </w:rPr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Για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kmeans =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20 στον φάκελο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hog/kmeans20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sz w:val="24"/>
          <w:szCs w:val="24"/>
          <w:lang w:val="el-GR"/>
        </w:rPr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Για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kmeans =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50 στον φάκελο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hog/kmeans50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sz w:val="24"/>
          <w:szCs w:val="24"/>
          <w:lang w:val="el-GR"/>
        </w:rPr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Για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kmeans =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100 στον φάκελο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hog/kmeans100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>SIFT</w:t>
      </w:r>
    </w:p>
    <w:p>
      <w:pPr>
        <w:pStyle w:val="TextBody"/>
        <w:numPr>
          <w:ilvl w:val="1"/>
          <w:numId w:val="2"/>
        </w:numPr>
        <w:rPr/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Για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kmeans =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20 στον φάκελο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sift/kmeans20</w:t>
      </w:r>
    </w:p>
    <w:p>
      <w:pPr>
        <w:pStyle w:val="TextBody"/>
        <w:numPr>
          <w:ilvl w:val="1"/>
          <w:numId w:val="2"/>
        </w:numPr>
        <w:rPr/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Για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kmeans =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50 στον φάκελο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sift/kmeans50</w:t>
      </w:r>
    </w:p>
    <w:p>
      <w:pPr>
        <w:pStyle w:val="TextBody"/>
        <w:numPr>
          <w:ilvl w:val="1"/>
          <w:numId w:val="2"/>
        </w:numPr>
        <w:rPr/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Για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kmeans =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100 στον φάκελο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sift/kmeans100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Όμως, στον τελικό φάκελο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l-GR"/>
        </w:rPr>
        <w:t>e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 xml:space="preserve">rgasia2,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έχουν τροποποιηθεί τα ονόματα των αρχείων 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l-GR"/>
        </w:rPr>
        <w:t>*.</w:t>
      </w:r>
      <w:r>
        <w:rPr>
          <w:rStyle w:val="DefaultParagraphFont"/>
          <w:rFonts w:ascii="Times New Roman" w:hAnsi="Times New Roman"/>
          <w:b/>
          <w:bCs/>
          <w:sz w:val="24"/>
          <w:szCs w:val="24"/>
          <w:lang w:val="en-US"/>
        </w:rPr>
        <w:t>mat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,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για να μπορείτε να τα εκτελέσετε τα αρχεία χωρίς αλλαγές.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>Συγκεκριμένα, το αρχείο all_classes.mat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>που αντιστοιχεί σε όλα τα αρχεία, έχει ονομαστεί σύμφωνα με τα αρχεία και τις εκτελέσεις.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>Έχει γίνει δυναμική υλοποίηση που προσαρμόζεται στις δύο μεθόδους εξαγωγής χαρακτηριστικών (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HOG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l-GR"/>
        </w:rPr>
        <w:t xml:space="preserve">και </w:t>
      </w:r>
      <w:r>
        <w:rPr>
          <w:rStyle w:val="DefaultParagraphFont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SIFT). </w:t>
      </w:r>
    </w:p>
    <w:p>
      <w:pPr>
        <w:pStyle w:val="TextBody"/>
        <w:rPr>
          <w:rStyle w:val="DefaultParagraphFont"/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>Πειραματικά Αποτελέσματα</w:t>
      </w:r>
    </w:p>
    <w:p>
      <w:pPr>
        <w:pStyle w:val="TextBody"/>
        <w:rPr>
          <w:rStyle w:val="DefaultParagraphFont"/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>i)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Υπολογισμός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Average Precision (AP)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για την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query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εικόνα 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 xml:space="preserve">s10_01.pgm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(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1η εικόνα 10ου προσώπου)</w:t>
      </w:r>
    </w:p>
    <w:tbl>
      <w:tblPr>
        <w:tblW w:w="10001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000"/>
        <w:gridCol w:w="2000"/>
        <w:gridCol w:w="2000"/>
        <w:gridCol w:w="2000"/>
        <w:gridCol w:w="2001"/>
      </w:tblGrid>
      <w:tr>
        <w:trPr/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HOG Patches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No reduction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Cosine similarity 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HOG Patches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No reduction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Voting 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SIFT features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No reduction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Cosine similarity 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SIFT features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No reduction </w:t>
            </w:r>
          </w:p>
          <w:p>
            <w:pPr>
              <w:pStyle w:val="TableContents"/>
              <w:jc w:val="center"/>
              <w:rPr/>
            </w:pPr>
            <w:r>
              <w:rPr/>
              <w:t>V</w:t>
            </w:r>
            <w:r>
              <w:rPr/>
              <w:t xml:space="preserve">oting 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KMeans K=20 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0.1561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0.1746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0.1807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0.1337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KMeans K=100 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0.3762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>
                <w:lang w:val="el-GR"/>
              </w:rPr>
            </w:pPr>
            <w:r>
              <w:rPr>
                <w:lang w:val="el-GR"/>
              </w:rPr>
              <w:t>0.2041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0.1887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0.1281</w:t>
            </w:r>
          </w:p>
        </w:tc>
      </w:tr>
    </w:tbl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>Ερώτηση 1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Παρουσίαση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TOP 5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αποτελεσμάτων για κάθε περίπτωση.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 Τα αποτελέσματα είναι αποθηκευμένα στον πίνακα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top5 δ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ιαστάσεων 5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x2,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με την πρώτη στήλη να περιέχει το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score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για κάθε περίπτωση ανάκτησης (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cosine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και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voting)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και η δεύτερη στήλη περιέχει την θέση που βρίσκεται στον πίνακα,δηλαδή στην ουσία την εικόνα.</w:t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HOG, Kmeans = 20, Cosine</w:t>
      </w:r>
    </w:p>
    <w:tbl>
      <w:tblPr>
        <w:tblW w:w="5310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20"/>
        <w:gridCol w:w="2790"/>
      </w:tblGrid>
      <w:tr>
        <w:trPr/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1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8292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8240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8206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8204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</w:t>
            </w:r>
          </w:p>
        </w:tc>
      </w:tr>
    </w:tbl>
    <w:p>
      <w:pPr>
        <w:pStyle w:val="TextBody"/>
        <w:numPr>
          <w:ilvl w:val="0"/>
          <w:numId w:val="0"/>
        </w:numPr>
        <w:ind w:start="720" w:hanging="0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HOG, Kmeans = 20, Voting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tbl>
      <w:tblPr>
        <w:tblW w:w="5310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20"/>
        <w:gridCol w:w="2790"/>
      </w:tblGrid>
      <w:tr>
        <w:trPr/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4004</w:t>
            </w:r>
          </w:p>
        </w:tc>
        <w:tc>
          <w:tcPr>
            <w:tcW w:w="2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2918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2768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2679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2620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</w:tr>
    </w:tbl>
    <w:p>
      <w:pPr>
        <w:pStyle w:val="TextBody"/>
        <w:numPr>
          <w:ilvl w:val="0"/>
          <w:numId w:val="0"/>
        </w:numPr>
        <w:ind w:start="720" w:hanging="0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SIFT, Kmeans = 20, Cosine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tbl>
      <w:tblPr>
        <w:tblW w:w="5310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20"/>
        <w:gridCol w:w="2790"/>
      </w:tblGrid>
      <w:tr>
        <w:trPr/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8597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0.8539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8417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8411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TextBody"/>
        <w:numPr>
          <w:ilvl w:val="0"/>
          <w:numId w:val="0"/>
        </w:numPr>
        <w:ind w:start="720" w:hanging="0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numPr>
          <w:ilvl w:val="0"/>
          <w:numId w:val="0"/>
        </w:numPr>
        <w:ind w:start="720" w:hanging="0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numPr>
          <w:ilvl w:val="0"/>
          <w:numId w:val="0"/>
        </w:numPr>
        <w:ind w:start="720" w:hanging="0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numPr>
          <w:ilvl w:val="0"/>
          <w:numId w:val="0"/>
        </w:numPr>
        <w:ind w:start="720" w:hanging="0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SIFT, Kmeans = 20, Voting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tbl>
      <w:tblPr>
        <w:tblW w:w="5310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20"/>
        <w:gridCol w:w="2790"/>
      </w:tblGrid>
      <w:tr>
        <w:trPr/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056</w:t>
            </w:r>
          </w:p>
        </w:tc>
        <w:tc>
          <w:tcPr>
            <w:tcW w:w="2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581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578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403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</w:t>
            </w:r>
          </w:p>
        </w:tc>
      </w:tr>
      <w:tr>
        <w:trPr/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280</w:t>
            </w:r>
          </w:p>
        </w:tc>
        <w:tc>
          <w:tcPr>
            <w:tcW w:w="27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179</w:t>
            </w:r>
          </w:p>
        </w:tc>
      </w:tr>
    </w:tbl>
    <w:p>
      <w:pPr>
        <w:pStyle w:val="TextBody"/>
        <w:numPr>
          <w:ilvl w:val="0"/>
          <w:numId w:val="0"/>
        </w:numPr>
        <w:ind w:start="720" w:hanging="0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>i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>i)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Υπολογισμός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Mean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Average Precision (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M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AP)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γ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ια όλες τις εικόνες της βάσης</w:t>
      </w:r>
    </w:p>
    <w:tbl>
      <w:tblPr>
        <w:tblW w:w="10001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000"/>
        <w:gridCol w:w="2000"/>
        <w:gridCol w:w="2000"/>
        <w:gridCol w:w="2000"/>
        <w:gridCol w:w="2001"/>
      </w:tblGrid>
      <w:tr>
        <w:trPr/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HOG Patches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No reduction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Cosine similarity 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HOG Patches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No reduction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Voting 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SIFT features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No reduction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Cosine similarity 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SIFT features 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No reduction </w:t>
            </w:r>
          </w:p>
          <w:p>
            <w:pPr>
              <w:pStyle w:val="TableContents"/>
              <w:jc w:val="center"/>
              <w:rPr/>
            </w:pPr>
            <w:r>
              <w:rPr/>
              <w:t>V</w:t>
            </w:r>
            <w:r>
              <w:rPr/>
              <w:t xml:space="preserve">oting 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KMeans K=20 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0.2969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0.2020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0.1820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0.1624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KMeans K=100 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0.2002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0.1633</w:t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0.1775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0.1572</w:t>
            </w:r>
          </w:p>
        </w:tc>
      </w:tr>
    </w:tbl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 xml:space="preserve">Ερώτηση 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>2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Έχει ζητηθεί το αρχείο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 xml:space="preserve"> 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>final_k20_hog_cosine.m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αλλά, έχει δημιουργηθεί και το αντίστοιχο αρχείο με τον αντίστοιχο υπολογισμός του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Mean Average Precision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για την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Voting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περίπτωση με όνομα 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n-US"/>
        </w:rPr>
        <w:t xml:space="preserve">final_k20_hog_voting.m.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Γ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ια σαφήνεια και παρουσίαση της δημιουργίας και να είναι ξεκάθαρος ο τρόπος  και τα αποτελέσματα. 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Τα συμπεράσματα που προκύπτουν είναι ότι η τεχνική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HOG,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δίνει καλύτερα αποτελέσματα από το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SIFT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και το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Cosine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δίνει καλύτερα από το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Voting.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Αρχικά παρατηρούμε κοινή συμπεριφορά και του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HOG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και του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SIFT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όταν αυξάνεται το πλήθος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K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των κλάσεων, καθώς και στις δυο περιπτώσεις μειώνεται το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MAP α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πό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kmeans = 20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σε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kmeans = 100.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Παρατηρήθηκε, ότι για το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query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μας (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s10_01)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η αύξηση του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kmeans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είχε καλύτερα αποτελέσματα (εκτός του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SIFT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και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Voting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>που είχε μείωση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).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Φαίνεται από τα δεδομένα, να ωφελείται η τεχνική του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SIF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Τ καθώς έχει λιγότερο ποσοστό μείωσης του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MAP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από το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HOG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που έχει αρκετά περισσότερο. </w:t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l-GR"/>
        </w:rPr>
      </w:pPr>
      <w:r>
        <w:rPr/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 xml:space="preserve">Ερώτηση 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>3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Το καλύτερο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MAP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το πετυχαίνουμε με την τεχνική εξαγωγή χαρακτηριστικών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HOG, γ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ια τιμή του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kmeans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l-GR"/>
        </w:rPr>
        <w:t xml:space="preserve">ίσον με 20 και με τεχνική υπολογισμού ομοιότητας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Cosine.</w:t>
      </w:r>
    </w:p>
    <w:p>
      <w:pPr>
        <w:pStyle w:val="TextBody"/>
        <w:rPr>
          <w:rStyle w:val="DefaultParagraphFon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 xml:space="preserve">Ερώτηση 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sz w:val="24"/>
          <w:szCs w:val="24"/>
          <w:lang w:val="el-GR"/>
        </w:rPr>
        <w:t>4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Η καλύτερη περίπτωση είναι η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HOG,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 με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kmeans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 ίσον με 20 και με την τεχνική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Cosine,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>οπότε αυτή η τεχνική θα υλοποιηθεί για τις φωτογραφίες της τάξης.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Πρέπει να σημειωθεί ότι ήταν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αδύνατη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η δυναμική δημιουργία των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relevants,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καθώς δεν είχαμε ίσες εικόνες για όλα τα πρόσωπα σε αυτήν την περίπτωση. Στην υπόλοιπη άσκηση είχαμε 10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relevant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εικόνες για κάθε πρόσωπο.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Οπότε αν δοκιμάσετε να τρέξετε τα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final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αρχεία με τα πρόσωπα των φοιτητών, δεν θα τρέξει καθώς είναι αδύνατη η δυναμική εκτίμηση των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relevants (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>ίσως με m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achine learning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να γινόταν).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>Η υλοποίηση έχει γίνει στο αρχείο c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en-US"/>
        </w:rPr>
        <w:t xml:space="preserve">ustom_class_final_k20_cosine.m. </w:t>
      </w:r>
    </w:p>
    <w:p>
      <w:pPr>
        <w:pStyle w:val="TextBody"/>
        <w:rPr/>
      </w:pP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Ακόμα ένα πρόβλημα στο ότι δεν έχουμε ίσα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relevant, </w:t>
      </w:r>
      <w:r>
        <w:rPr>
          <w:rStyle w:val="DefaultParagraphFont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l-GR"/>
        </w:rPr>
        <w:t xml:space="preserve">είναι ότι πρέπει να έχουμε ίσες διαστάσεις για πράξεις πινάκων, άρα αναγκαζόμαστε να γεμίσουμε με μηδενικά τα κενά. </w:t>
      </w:r>
    </w:p>
    <w:p>
      <w:pPr>
        <w:pStyle w:val="TextBody"/>
        <w:spacing w:before="0" w:after="140"/>
        <w:rPr/>
      </w:pPr>
      <w:r>
        <w:rPr>
          <w:rStyle w:val="DefaultParagraphFont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el-GR"/>
        </w:rPr>
        <w:t xml:space="preserve">Το 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en-US"/>
        </w:rPr>
        <w:t xml:space="preserve">Mean Average Precision (MAP) </w:t>
      </w:r>
      <w:r>
        <w:rPr>
          <w:rStyle w:val="DefaultParagraphFont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el-GR"/>
        </w:rPr>
        <w:t>βγαίνει 0.20</w:t>
      </w:r>
    </w:p>
    <w:sectPr>
      <w:type w:val="nextPage"/>
      <w:pgSz w:w="12269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pple-system">
    <w:altName w:val="Calibri"/>
    <w:charset w:val="00" w:characterSet="windows-125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start"/>
      <w:textAlignment w:val="baseline"/>
    </w:pPr>
    <w:rPr>
      <w:rFonts w:ascii="Liberation Serif" w:hAnsi="Liberation Serif" w:eastAsia="N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suppressAutoHyphens w:val="true"/>
      <w:outlineLvl w:val="0"/>
    </w:pPr>
    <w:rPr>
      <w:rFonts w:ascii="Times New Roman" w:hAnsi="Times New Roman" w:eastAsia="SimSun;宋体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Symbol" w:hAnsi="Symbol"/>
    </w:rPr>
  </w:style>
  <w:style w:type="character" w:styleId="WWCharLFO2LVL2">
    <w:name w:val="WW_CharLFO2LVL2"/>
    <w:qFormat/>
    <w:rPr>
      <w:rFonts w:ascii="Courier New" w:hAnsi="Courier New" w:cs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 w:cs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 w:cs="Courier New"/>
    </w:rPr>
  </w:style>
  <w:style w:type="character" w:styleId="WWCharLFO2LVL9">
    <w:name w:val="WW_CharLFO2LVL9"/>
    <w:qFormat/>
    <w:rPr>
      <w:rFonts w:ascii="Wingdings" w:hAnsi="Wingdings"/>
    </w:rPr>
  </w:style>
  <w:style w:type="character" w:styleId="WWCharLFO3LVL1">
    <w:name w:val="WW_CharLFO3LVL1"/>
    <w:qFormat/>
    <w:rPr>
      <w:rFonts w:ascii="Symbol" w:hAnsi="Symbol"/>
    </w:rPr>
  </w:style>
  <w:style w:type="character" w:styleId="WWCharLFO3LVL2">
    <w:name w:val="WW_CharLFO3LVL2"/>
    <w:qFormat/>
    <w:rPr>
      <w:rFonts w:ascii="Courier New" w:hAnsi="Courier New" w:cs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 w:cs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 w:cs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 w:cs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 w:cs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 w:cs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start"/>
      <w:textAlignment w:val="baseline"/>
    </w:pPr>
    <w:rPr>
      <w:rFonts w:ascii="Liberation Serif" w:hAnsi="Liberation Serif" w:eastAsia="N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Default">
    <w:name w:val="Default"/>
    <w:basedOn w:val="Normal"/>
    <w:qFormat/>
    <w:pPr>
      <w:suppressAutoHyphens w:val="true"/>
      <w:autoSpaceDE w:val="false"/>
    </w:pPr>
    <w:rPr>
      <w:rFonts w:ascii="Calibri" w:hAnsi="Calibri" w:eastAsia="Calibri" w:cs="Calibri"/>
      <w:color w:val="000000"/>
    </w:rPr>
  </w:style>
  <w:style w:type="paragraph" w:styleId="Style13">
    <w:name w:val="Επικεφαλίδα"/>
    <w:basedOn w:val="Normal"/>
    <w:next w:val="TextBody"/>
    <w:qFormat/>
    <w:pPr>
      <w:keepNext w:val="true"/>
      <w:suppressAutoHyphens w:val="true"/>
      <w:spacing w:before="240" w:after="120"/>
    </w:pPr>
    <w:rPr>
      <w:rFonts w:ascii="Arial" w:hAnsi="Arial" w:eastAsia="Microsoft YaHe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2104</TotalTime>
  <Application>LibreOffice/6.3.4.2$Windows_x86 LibreOffice_project/60da17e045e08f1793c57c00ba83cdfce946d0aa</Application>
  <Pages>5</Pages>
  <Words>721</Words>
  <Characters>3766</Characters>
  <CharactersWithSpaces>4373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2020-01-09T21:18:00Z</dcterms:created>
  <dc:creator/>
  <dc:description/>
  <dc:language>en-US</dc:language>
  <cp:lastModifiedBy/>
  <dcterms:modified xsi:type="dcterms:W3CDTF">2020-01-19T00:19:36Z</dcterms:modified>
  <cp:revision>137</cp:revision>
  <dc:subject/>
  <dc:title/>
</cp:coreProperties>
</file>