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52A7" w14:textId="77777777" w:rsidR="00571D39" w:rsidRDefault="001527C1" w:rsidP="00571D39">
      <w:pPr>
        <w:pStyle w:val="Default"/>
        <w:jc w:val="both"/>
        <w:rPr>
          <w:rFonts w:asciiTheme="majorHAnsi" w:hAnsiTheme="majorHAnsi"/>
          <w:bCs/>
          <w:color w:val="auto"/>
          <w:sz w:val="20"/>
          <w:szCs w:val="20"/>
          <w:lang w:val="en-US"/>
        </w:rPr>
      </w:pPr>
      <w:r w:rsidRPr="00552401">
        <w:rPr>
          <w:rFonts w:asciiTheme="majorHAnsi" w:hAnsiTheme="majorHAnsi"/>
          <w:color w:val="auto"/>
          <w:sz w:val="20"/>
          <w:szCs w:val="20"/>
        </w:rPr>
        <w:t>Συζήτηση</w:t>
      </w:r>
      <w:r w:rsidRPr="00552401">
        <w:rPr>
          <w:rFonts w:asciiTheme="majorHAnsi" w:hAnsiTheme="majorHAnsi"/>
          <w:color w:val="auto"/>
          <w:sz w:val="20"/>
          <w:szCs w:val="20"/>
          <w:lang w:val="en-US"/>
        </w:rPr>
        <w:t xml:space="preserve"> </w:t>
      </w:r>
      <w:r w:rsidRPr="00552401">
        <w:rPr>
          <w:rFonts w:asciiTheme="majorHAnsi" w:hAnsiTheme="majorHAnsi"/>
          <w:color w:val="auto"/>
          <w:sz w:val="20"/>
          <w:szCs w:val="20"/>
        </w:rPr>
        <w:t>του</w:t>
      </w:r>
      <w:r w:rsidRPr="00552401">
        <w:rPr>
          <w:rFonts w:asciiTheme="majorHAnsi" w:hAnsiTheme="majorHAnsi"/>
          <w:color w:val="auto"/>
          <w:sz w:val="20"/>
          <w:szCs w:val="20"/>
          <w:lang w:val="en-US"/>
        </w:rPr>
        <w:t xml:space="preserve">  </w:t>
      </w:r>
      <w:r w:rsidRPr="00552401">
        <w:rPr>
          <w:rFonts w:asciiTheme="majorHAnsi" w:hAnsiTheme="majorHAnsi"/>
          <w:color w:val="auto"/>
          <w:sz w:val="20"/>
          <w:szCs w:val="20"/>
        </w:rPr>
        <w:t>άρθρου</w:t>
      </w:r>
      <w:r w:rsidRPr="00552401">
        <w:rPr>
          <w:rFonts w:asciiTheme="majorHAnsi" w:hAnsiTheme="majorHAnsi"/>
          <w:color w:val="auto"/>
          <w:sz w:val="20"/>
          <w:szCs w:val="20"/>
          <w:lang w:val="en-US"/>
        </w:rPr>
        <w:t xml:space="preserve"> </w:t>
      </w:r>
      <w:r w:rsidR="00506F66">
        <w:rPr>
          <w:rFonts w:asciiTheme="majorHAnsi" w:hAnsiTheme="majorHAnsi"/>
          <w:color w:val="auto"/>
          <w:sz w:val="20"/>
          <w:szCs w:val="20"/>
          <w:lang w:val="en-US"/>
        </w:rPr>
        <w:t>“</w:t>
      </w:r>
      <w:r w:rsidR="00506F66" w:rsidRPr="00480C95">
        <w:rPr>
          <w:rFonts w:asciiTheme="majorHAnsi" w:hAnsiTheme="majorHAnsi"/>
          <w:sz w:val="20"/>
          <w:szCs w:val="20"/>
          <w:lang w:val="en-US"/>
        </w:rPr>
        <w:t>Choi, B., Poon, S.K. and Davis, J.G.,</w:t>
      </w:r>
      <w:r w:rsidR="00F324DF" w:rsidRPr="00F324DF">
        <w:rPr>
          <w:rFonts w:asciiTheme="majorHAnsi" w:hAnsiTheme="majorHAnsi"/>
          <w:sz w:val="20"/>
          <w:szCs w:val="20"/>
          <w:lang w:val="en-US"/>
        </w:rPr>
        <w:t xml:space="preserve"> (</w:t>
      </w:r>
      <w:r w:rsidR="00506F66" w:rsidRPr="00480C95">
        <w:rPr>
          <w:rFonts w:asciiTheme="majorHAnsi" w:hAnsiTheme="majorHAnsi"/>
          <w:sz w:val="20"/>
          <w:szCs w:val="20"/>
          <w:lang w:val="en-US"/>
        </w:rPr>
        <w:t>2006</w:t>
      </w:r>
      <w:r w:rsidR="00F324DF" w:rsidRPr="00F324DF">
        <w:rPr>
          <w:rFonts w:asciiTheme="majorHAnsi" w:hAnsiTheme="majorHAnsi"/>
          <w:sz w:val="20"/>
          <w:szCs w:val="20"/>
          <w:lang w:val="en-US"/>
        </w:rPr>
        <w:t xml:space="preserve">) </w:t>
      </w:r>
      <w:r w:rsidR="00506F66" w:rsidRPr="00480C95">
        <w:rPr>
          <w:rFonts w:asciiTheme="majorHAnsi" w:hAnsiTheme="majorHAnsi"/>
          <w:sz w:val="20"/>
          <w:szCs w:val="20"/>
          <w:lang w:val="en-US"/>
        </w:rPr>
        <w:t xml:space="preserve">Effects of knowledge management strategy on organizational performance: A complementarity theory-based approach, </w:t>
      </w:r>
      <w:r w:rsidR="00506F66" w:rsidRPr="00480C95">
        <w:rPr>
          <w:rFonts w:asciiTheme="majorHAnsi" w:hAnsiTheme="majorHAnsi"/>
          <w:i/>
          <w:sz w:val="20"/>
          <w:szCs w:val="20"/>
          <w:lang w:val="en-US"/>
        </w:rPr>
        <w:t>Omega</w:t>
      </w:r>
      <w:r w:rsidR="00506F66" w:rsidRPr="00480C95">
        <w:rPr>
          <w:rFonts w:asciiTheme="majorHAnsi" w:hAnsiTheme="majorHAnsi"/>
          <w:sz w:val="20"/>
          <w:szCs w:val="20"/>
          <w:lang w:val="en-US"/>
        </w:rPr>
        <w:t>, 36, pp.235-251</w:t>
      </w:r>
      <w:r w:rsidR="00506F66">
        <w:rPr>
          <w:rFonts w:asciiTheme="majorHAnsi" w:hAnsiTheme="majorHAnsi"/>
          <w:sz w:val="20"/>
          <w:szCs w:val="20"/>
          <w:lang w:val="en-US"/>
        </w:rPr>
        <w:t>”</w:t>
      </w:r>
      <w:r w:rsidR="0087228E" w:rsidRPr="00552401">
        <w:rPr>
          <w:rFonts w:asciiTheme="majorHAnsi" w:hAnsiTheme="majorHAnsi"/>
          <w:bCs/>
          <w:color w:val="auto"/>
          <w:sz w:val="20"/>
          <w:szCs w:val="20"/>
          <w:lang w:val="en-US"/>
        </w:rPr>
        <w:t xml:space="preserve"> </w:t>
      </w:r>
    </w:p>
    <w:p w14:paraId="1BBBC050" w14:textId="77777777" w:rsidR="00571D39" w:rsidRDefault="00571D39" w:rsidP="00571D39">
      <w:pPr>
        <w:pStyle w:val="Default"/>
        <w:jc w:val="both"/>
        <w:rPr>
          <w:b/>
          <w:color w:val="auto"/>
          <w:sz w:val="20"/>
          <w:szCs w:val="20"/>
          <w:lang w:val="en-US"/>
        </w:rPr>
      </w:pPr>
    </w:p>
    <w:p w14:paraId="0CCD8945" w14:textId="77777777" w:rsidR="001527C1" w:rsidRPr="00571D39" w:rsidRDefault="008354B4" w:rsidP="00571D39">
      <w:pPr>
        <w:pStyle w:val="Default"/>
        <w:jc w:val="both"/>
        <w:rPr>
          <w:b/>
          <w:color w:val="auto"/>
          <w:sz w:val="20"/>
          <w:szCs w:val="20"/>
          <w:lang w:val="en-US"/>
        </w:rPr>
      </w:pPr>
      <w:r w:rsidRPr="00571D39">
        <w:rPr>
          <w:b/>
          <w:color w:val="auto"/>
          <w:sz w:val="20"/>
          <w:szCs w:val="20"/>
        </w:rPr>
        <w:t>Σύνοψη</w:t>
      </w:r>
      <w:r w:rsidRPr="00571D39">
        <w:rPr>
          <w:b/>
          <w:color w:val="auto"/>
          <w:sz w:val="20"/>
          <w:szCs w:val="20"/>
          <w:lang w:val="en-US"/>
        </w:rPr>
        <w:t xml:space="preserve"> (summary)</w:t>
      </w:r>
    </w:p>
    <w:p w14:paraId="4417C521" w14:textId="77777777" w:rsidR="00DA5B51" w:rsidRPr="00480C95" w:rsidRDefault="00DA5B51" w:rsidP="00DA5B51">
      <w:pPr>
        <w:jc w:val="both"/>
        <w:rPr>
          <w:rFonts w:asciiTheme="majorHAnsi" w:hAnsiTheme="majorHAnsi"/>
          <w:sz w:val="20"/>
          <w:szCs w:val="20"/>
        </w:rPr>
      </w:pPr>
      <w:r w:rsidRPr="00480C95">
        <w:rPr>
          <w:rFonts w:asciiTheme="majorHAnsi" w:hAnsiTheme="majorHAnsi"/>
          <w:sz w:val="20"/>
          <w:szCs w:val="20"/>
        </w:rPr>
        <w:t>Στο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άρθρο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με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τίτλο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"Effects of knowledge management strategy on organizational performance: A complementarity theory-based approach" (2006) </w:t>
      </w:r>
      <w:r w:rsidRPr="00480C95">
        <w:rPr>
          <w:rFonts w:asciiTheme="majorHAnsi" w:hAnsiTheme="majorHAnsi"/>
          <w:sz w:val="20"/>
          <w:szCs w:val="20"/>
        </w:rPr>
        <w:t>οι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Choi, Poon </w:t>
      </w:r>
      <w:r w:rsidRPr="00480C95">
        <w:rPr>
          <w:rFonts w:asciiTheme="majorHAnsi" w:hAnsiTheme="majorHAnsi"/>
          <w:sz w:val="20"/>
          <w:szCs w:val="20"/>
        </w:rPr>
        <w:t>και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Davis </w:t>
      </w:r>
      <w:r w:rsidRPr="00480C95">
        <w:rPr>
          <w:rFonts w:asciiTheme="majorHAnsi" w:hAnsiTheme="majorHAnsi"/>
          <w:sz w:val="20"/>
          <w:szCs w:val="20"/>
        </w:rPr>
        <w:t>εφαρμόζουν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τη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θεωρία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συμπληρωματικότητας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για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να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μετρήσουν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τα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πλεονεκτήματα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της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χρήσης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ενός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συνδυασμού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στρατηγικών</w:t>
      </w:r>
      <w:r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8C6C63" w:rsidRPr="00480C95">
        <w:rPr>
          <w:rFonts w:asciiTheme="majorHAnsi" w:hAnsiTheme="majorHAnsi"/>
          <w:sz w:val="20"/>
          <w:szCs w:val="20"/>
        </w:rPr>
        <w:t>διαχείρισης</w:t>
      </w:r>
      <w:r w:rsidR="008C6C63" w:rsidRPr="00480C9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8C6C63" w:rsidRPr="00480C95">
        <w:rPr>
          <w:rFonts w:asciiTheme="majorHAnsi" w:hAnsiTheme="majorHAnsi"/>
          <w:sz w:val="20"/>
          <w:szCs w:val="20"/>
        </w:rPr>
        <w:t>γνώσης</w:t>
      </w:r>
      <w:r w:rsidR="008C6C63" w:rsidRPr="00480C95">
        <w:rPr>
          <w:rFonts w:asciiTheme="majorHAnsi" w:hAnsiTheme="majorHAnsi"/>
          <w:sz w:val="20"/>
          <w:szCs w:val="20"/>
          <w:lang w:val="en-US"/>
        </w:rPr>
        <w:t xml:space="preserve"> (</w:t>
      </w:r>
      <w:r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8C6C63" w:rsidRPr="00480C95">
        <w:rPr>
          <w:rFonts w:asciiTheme="majorHAnsi" w:hAnsiTheme="majorHAnsi"/>
          <w:sz w:val="20"/>
          <w:szCs w:val="20"/>
          <w:lang w:val="en-US"/>
        </w:rPr>
        <w:t>)</w:t>
      </w:r>
      <w:r w:rsidR="006223DF" w:rsidRPr="00480C95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A86020" w:rsidRPr="00480C95">
        <w:rPr>
          <w:rFonts w:asciiTheme="majorHAnsi" w:hAnsiTheme="majorHAnsi"/>
          <w:sz w:val="20"/>
          <w:szCs w:val="20"/>
        </w:rPr>
        <w:t xml:space="preserve">Οι συγγραφείς </w:t>
      </w:r>
      <w:r w:rsidR="006223DF" w:rsidRPr="00480C95">
        <w:rPr>
          <w:rFonts w:asciiTheme="majorHAnsi" w:hAnsiTheme="majorHAnsi"/>
          <w:sz w:val="20"/>
          <w:szCs w:val="20"/>
        </w:rPr>
        <w:t xml:space="preserve">διαπιστώνουν </w:t>
      </w:r>
      <w:r w:rsidRPr="00480C95">
        <w:rPr>
          <w:rFonts w:asciiTheme="majorHAnsi" w:hAnsiTheme="majorHAnsi"/>
          <w:sz w:val="20"/>
          <w:szCs w:val="20"/>
        </w:rPr>
        <w:t>ότι ένας συνδυασμός στρατηγικών άρρητης-ρητής (</w:t>
      </w:r>
      <w:r w:rsidRPr="00480C95">
        <w:rPr>
          <w:rFonts w:asciiTheme="majorHAnsi" w:hAnsiTheme="majorHAnsi"/>
          <w:sz w:val="20"/>
          <w:szCs w:val="20"/>
          <w:lang w:val="en-US"/>
        </w:rPr>
        <w:t>tacit</w:t>
      </w:r>
      <w:r w:rsidRPr="00480C95">
        <w:rPr>
          <w:rFonts w:asciiTheme="majorHAnsi" w:hAnsiTheme="majorHAnsi"/>
          <w:sz w:val="20"/>
          <w:szCs w:val="20"/>
        </w:rPr>
        <w:t xml:space="preserve">- </w:t>
      </w:r>
      <w:r w:rsidRPr="00480C95">
        <w:rPr>
          <w:rFonts w:asciiTheme="majorHAnsi" w:hAnsiTheme="majorHAnsi"/>
          <w:sz w:val="20"/>
          <w:szCs w:val="20"/>
          <w:lang w:val="en-US"/>
        </w:rPr>
        <w:t>and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explicit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oriented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strategies</w:t>
      </w:r>
      <w:r w:rsidRPr="00480C95">
        <w:rPr>
          <w:rFonts w:asciiTheme="majorHAnsi" w:hAnsiTheme="majorHAnsi"/>
          <w:sz w:val="20"/>
          <w:szCs w:val="20"/>
        </w:rPr>
        <w:t xml:space="preserve">) δεν προσφέρει πλεονεκτήματα. </w:t>
      </w:r>
      <w:r w:rsidR="00A86020" w:rsidRPr="00480C95">
        <w:rPr>
          <w:rFonts w:asciiTheme="majorHAnsi" w:hAnsiTheme="majorHAnsi"/>
          <w:sz w:val="20"/>
          <w:szCs w:val="20"/>
        </w:rPr>
        <w:t xml:space="preserve">Επίσης, </w:t>
      </w:r>
      <w:r w:rsidR="00350BF2" w:rsidRPr="00480C95">
        <w:rPr>
          <w:rFonts w:asciiTheme="majorHAnsi" w:hAnsiTheme="majorHAnsi"/>
          <w:sz w:val="20"/>
          <w:szCs w:val="20"/>
        </w:rPr>
        <w:t xml:space="preserve">διαπιστώνουν ότι οι </w:t>
      </w:r>
      <w:r w:rsidRPr="00480C95">
        <w:rPr>
          <w:rFonts w:asciiTheme="majorHAnsi" w:hAnsiTheme="majorHAnsi"/>
          <w:sz w:val="20"/>
          <w:szCs w:val="20"/>
        </w:rPr>
        <w:t xml:space="preserve">στρατηγικές </w:t>
      </w:r>
      <w:r w:rsidR="00065762" w:rsidRPr="00480C95">
        <w:rPr>
          <w:rFonts w:asciiTheme="majorHAnsi" w:hAnsiTheme="majorHAnsi"/>
          <w:sz w:val="20"/>
          <w:szCs w:val="20"/>
        </w:rPr>
        <w:t>διαχείρισης</w:t>
      </w:r>
      <w:r w:rsidR="00350BF2"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</w:rPr>
        <w:t>εξωτερικ</w:t>
      </w:r>
      <w:r w:rsidR="00350BF2" w:rsidRPr="00480C95">
        <w:rPr>
          <w:rFonts w:asciiTheme="majorHAnsi" w:hAnsiTheme="majorHAnsi"/>
          <w:sz w:val="20"/>
          <w:szCs w:val="20"/>
        </w:rPr>
        <w:t xml:space="preserve">ής ή </w:t>
      </w:r>
      <w:r w:rsidRPr="00480C95">
        <w:rPr>
          <w:rFonts w:asciiTheme="majorHAnsi" w:hAnsiTheme="majorHAnsi"/>
          <w:sz w:val="20"/>
          <w:szCs w:val="20"/>
        </w:rPr>
        <w:t>εσωτερικ</w:t>
      </w:r>
      <w:r w:rsidR="00350BF2" w:rsidRPr="00480C95">
        <w:rPr>
          <w:rFonts w:asciiTheme="majorHAnsi" w:hAnsiTheme="majorHAnsi"/>
          <w:sz w:val="20"/>
          <w:szCs w:val="20"/>
        </w:rPr>
        <w:t xml:space="preserve">ής γνώσης </w:t>
      </w:r>
      <w:r w:rsidRPr="00480C95">
        <w:rPr>
          <w:rFonts w:asciiTheme="majorHAnsi" w:hAnsiTheme="majorHAnsi"/>
          <w:sz w:val="20"/>
          <w:szCs w:val="20"/>
        </w:rPr>
        <w:t>(</w:t>
      </w:r>
      <w:r w:rsidRPr="00480C95">
        <w:rPr>
          <w:rFonts w:asciiTheme="majorHAnsi" w:hAnsiTheme="majorHAnsi"/>
          <w:sz w:val="20"/>
          <w:szCs w:val="20"/>
          <w:lang w:val="en-US"/>
        </w:rPr>
        <w:t>external</w:t>
      </w:r>
      <w:r w:rsidRPr="00480C95">
        <w:rPr>
          <w:rFonts w:asciiTheme="majorHAnsi" w:hAnsiTheme="majorHAnsi"/>
          <w:sz w:val="20"/>
          <w:szCs w:val="20"/>
        </w:rPr>
        <w:t xml:space="preserve">- </w:t>
      </w:r>
      <w:r w:rsidRPr="00480C95">
        <w:rPr>
          <w:rFonts w:asciiTheme="majorHAnsi" w:hAnsiTheme="majorHAnsi"/>
          <w:sz w:val="20"/>
          <w:szCs w:val="20"/>
          <w:lang w:val="en-US"/>
        </w:rPr>
        <w:t>or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internal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oriented</w:t>
      </w:r>
      <w:r w:rsidRPr="00480C95">
        <w:rPr>
          <w:rFonts w:asciiTheme="majorHAnsi" w:hAnsiTheme="majorHAnsi"/>
          <w:sz w:val="20"/>
          <w:szCs w:val="20"/>
        </w:rPr>
        <w:t xml:space="preserve">) αυξάνουν την απόδοση </w:t>
      </w:r>
      <w:r w:rsidR="00350BF2" w:rsidRPr="00480C95">
        <w:rPr>
          <w:rFonts w:asciiTheme="majorHAnsi" w:hAnsiTheme="majorHAnsi"/>
          <w:sz w:val="20"/>
          <w:szCs w:val="20"/>
        </w:rPr>
        <w:t xml:space="preserve">της επιχείρησης και η </w:t>
      </w:r>
      <w:r w:rsidRPr="00480C95">
        <w:rPr>
          <w:rFonts w:asciiTheme="majorHAnsi" w:hAnsiTheme="majorHAnsi"/>
          <w:sz w:val="20"/>
          <w:szCs w:val="20"/>
        </w:rPr>
        <w:t xml:space="preserve">μέγιστη </w:t>
      </w:r>
      <w:r w:rsidR="00350BF2" w:rsidRPr="00480C95">
        <w:rPr>
          <w:rFonts w:asciiTheme="majorHAnsi" w:hAnsiTheme="majorHAnsi"/>
          <w:sz w:val="20"/>
          <w:szCs w:val="20"/>
        </w:rPr>
        <w:t xml:space="preserve">απόδοση </w:t>
      </w:r>
      <w:r w:rsidRPr="00480C95">
        <w:rPr>
          <w:rFonts w:asciiTheme="majorHAnsi" w:hAnsiTheme="majorHAnsi"/>
          <w:sz w:val="20"/>
          <w:szCs w:val="20"/>
        </w:rPr>
        <w:t>επιτυγχάνεται όταν χρησιμοποιούνται σε συνδυασμό.</w:t>
      </w:r>
      <w:r w:rsidR="00A86020" w:rsidRPr="00480C95">
        <w:rPr>
          <w:rFonts w:asciiTheme="majorHAnsi" w:hAnsiTheme="majorHAnsi"/>
          <w:sz w:val="20"/>
          <w:szCs w:val="20"/>
        </w:rPr>
        <w:t xml:space="preserve"> Τέλος, </w:t>
      </w:r>
      <w:r w:rsidR="00350BF2" w:rsidRPr="00480C95">
        <w:rPr>
          <w:rFonts w:asciiTheme="majorHAnsi" w:hAnsiTheme="majorHAnsi"/>
          <w:sz w:val="20"/>
          <w:szCs w:val="20"/>
        </w:rPr>
        <w:t xml:space="preserve">διαπιστώνουν ότι οι </w:t>
      </w:r>
      <w:r w:rsidRPr="00480C95">
        <w:rPr>
          <w:rFonts w:asciiTheme="majorHAnsi" w:hAnsiTheme="majorHAnsi"/>
          <w:sz w:val="20"/>
          <w:szCs w:val="20"/>
        </w:rPr>
        <w:t xml:space="preserve">στρατηγικές </w:t>
      </w:r>
      <w:r w:rsidR="00350BF2" w:rsidRPr="00480C95">
        <w:rPr>
          <w:rFonts w:asciiTheme="majorHAnsi" w:hAnsiTheme="majorHAnsi"/>
          <w:sz w:val="20"/>
          <w:szCs w:val="20"/>
        </w:rPr>
        <w:t xml:space="preserve">διαχείρισης </w:t>
      </w:r>
      <w:r w:rsidRPr="00480C95">
        <w:rPr>
          <w:rFonts w:asciiTheme="majorHAnsi" w:hAnsiTheme="majorHAnsi"/>
          <w:sz w:val="20"/>
          <w:szCs w:val="20"/>
        </w:rPr>
        <w:t>εσωτερικ</w:t>
      </w:r>
      <w:r w:rsidR="00350BF2" w:rsidRPr="00480C95">
        <w:rPr>
          <w:rFonts w:asciiTheme="majorHAnsi" w:hAnsiTheme="majorHAnsi"/>
          <w:sz w:val="20"/>
          <w:szCs w:val="20"/>
        </w:rPr>
        <w:t xml:space="preserve">ής </w:t>
      </w:r>
      <w:r w:rsidRPr="00480C95">
        <w:rPr>
          <w:rFonts w:asciiTheme="majorHAnsi" w:hAnsiTheme="majorHAnsi"/>
          <w:sz w:val="20"/>
          <w:szCs w:val="20"/>
        </w:rPr>
        <w:t>άρρητη</w:t>
      </w:r>
      <w:r w:rsidR="00350BF2" w:rsidRPr="00480C95">
        <w:rPr>
          <w:rFonts w:asciiTheme="majorHAnsi" w:hAnsiTheme="majorHAnsi"/>
          <w:sz w:val="20"/>
          <w:szCs w:val="20"/>
        </w:rPr>
        <w:t>ς</w:t>
      </w:r>
      <w:r w:rsidRPr="00480C95">
        <w:rPr>
          <w:rFonts w:asciiTheme="majorHAnsi" w:hAnsiTheme="majorHAnsi"/>
          <w:sz w:val="20"/>
          <w:szCs w:val="20"/>
        </w:rPr>
        <w:t xml:space="preserve"> γνώση</w:t>
      </w:r>
      <w:r w:rsidR="00350BF2" w:rsidRPr="00480C95">
        <w:rPr>
          <w:rFonts w:asciiTheme="majorHAnsi" w:hAnsiTheme="majorHAnsi"/>
          <w:sz w:val="20"/>
          <w:szCs w:val="20"/>
        </w:rPr>
        <w:t>ς</w:t>
      </w:r>
      <w:r w:rsidRPr="00480C95">
        <w:rPr>
          <w:rFonts w:asciiTheme="majorHAnsi" w:hAnsiTheme="majorHAnsi"/>
          <w:sz w:val="20"/>
          <w:szCs w:val="20"/>
        </w:rPr>
        <w:t xml:space="preserve"> μαζί με στρατηγικές </w:t>
      </w:r>
      <w:r w:rsidR="00350BF2" w:rsidRPr="00480C95">
        <w:rPr>
          <w:rFonts w:asciiTheme="majorHAnsi" w:hAnsiTheme="majorHAnsi"/>
          <w:sz w:val="20"/>
          <w:szCs w:val="20"/>
        </w:rPr>
        <w:t xml:space="preserve">διαχείρισης </w:t>
      </w:r>
      <w:r w:rsidRPr="00480C95">
        <w:rPr>
          <w:rFonts w:asciiTheme="majorHAnsi" w:hAnsiTheme="majorHAnsi"/>
          <w:sz w:val="20"/>
          <w:szCs w:val="20"/>
        </w:rPr>
        <w:t>εξωτερικ</w:t>
      </w:r>
      <w:r w:rsidR="00350BF2" w:rsidRPr="00480C95">
        <w:rPr>
          <w:rFonts w:asciiTheme="majorHAnsi" w:hAnsiTheme="majorHAnsi"/>
          <w:sz w:val="20"/>
          <w:szCs w:val="20"/>
        </w:rPr>
        <w:t xml:space="preserve">ών </w:t>
      </w:r>
      <w:r w:rsidRPr="00480C95">
        <w:rPr>
          <w:rFonts w:asciiTheme="majorHAnsi" w:hAnsiTheme="majorHAnsi"/>
          <w:sz w:val="20"/>
          <w:szCs w:val="20"/>
        </w:rPr>
        <w:t>ρητ</w:t>
      </w:r>
      <w:r w:rsidR="00350BF2" w:rsidRPr="00480C95">
        <w:rPr>
          <w:rFonts w:asciiTheme="majorHAnsi" w:hAnsiTheme="majorHAnsi"/>
          <w:sz w:val="20"/>
          <w:szCs w:val="20"/>
        </w:rPr>
        <w:t xml:space="preserve">ών </w:t>
      </w:r>
      <w:r w:rsidRPr="00480C95">
        <w:rPr>
          <w:rFonts w:asciiTheme="majorHAnsi" w:hAnsiTheme="majorHAnsi"/>
          <w:sz w:val="20"/>
          <w:szCs w:val="20"/>
        </w:rPr>
        <w:t>γνώσε</w:t>
      </w:r>
      <w:r w:rsidR="00350BF2" w:rsidRPr="00480C95">
        <w:rPr>
          <w:rFonts w:asciiTheme="majorHAnsi" w:hAnsiTheme="majorHAnsi"/>
          <w:sz w:val="20"/>
          <w:szCs w:val="20"/>
        </w:rPr>
        <w:t>ων</w:t>
      </w:r>
      <w:r w:rsidRPr="00480C95">
        <w:rPr>
          <w:rFonts w:asciiTheme="majorHAnsi" w:hAnsiTheme="majorHAnsi"/>
          <w:sz w:val="20"/>
          <w:szCs w:val="20"/>
        </w:rPr>
        <w:t xml:space="preserve"> (</w:t>
      </w:r>
      <w:r w:rsidRPr="00480C95">
        <w:rPr>
          <w:rFonts w:asciiTheme="majorHAnsi" w:hAnsiTheme="majorHAnsi"/>
          <w:sz w:val="20"/>
          <w:szCs w:val="20"/>
          <w:lang w:val="en-US"/>
        </w:rPr>
        <w:t>explicit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external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oriented</w:t>
      </w:r>
      <w:r w:rsidRPr="00480C95">
        <w:rPr>
          <w:rFonts w:asciiTheme="majorHAnsi" w:hAnsiTheme="majorHAnsi"/>
          <w:sz w:val="20"/>
          <w:szCs w:val="20"/>
        </w:rPr>
        <w:t>) οδηγού</w:t>
      </w:r>
      <w:r w:rsidR="00350BF2" w:rsidRPr="00480C95">
        <w:rPr>
          <w:rFonts w:asciiTheme="majorHAnsi" w:hAnsiTheme="majorHAnsi"/>
          <w:sz w:val="20"/>
          <w:szCs w:val="20"/>
        </w:rPr>
        <w:t>ν σ</w:t>
      </w:r>
      <w:r w:rsidRPr="00480C95">
        <w:rPr>
          <w:rFonts w:asciiTheme="majorHAnsi" w:hAnsiTheme="majorHAnsi"/>
          <w:sz w:val="20"/>
          <w:szCs w:val="20"/>
        </w:rPr>
        <w:t>ε υψηλότερ</w:t>
      </w:r>
      <w:r w:rsidR="00350BF2" w:rsidRPr="00480C95">
        <w:rPr>
          <w:rFonts w:asciiTheme="majorHAnsi" w:hAnsiTheme="majorHAnsi"/>
          <w:sz w:val="20"/>
          <w:szCs w:val="20"/>
        </w:rPr>
        <w:t>η απόδοση</w:t>
      </w:r>
      <w:r w:rsidRPr="00480C95">
        <w:rPr>
          <w:rFonts w:asciiTheme="majorHAnsi" w:hAnsiTheme="majorHAnsi"/>
          <w:sz w:val="20"/>
          <w:szCs w:val="20"/>
        </w:rPr>
        <w:t>.</w:t>
      </w:r>
    </w:p>
    <w:p w14:paraId="5EF24B25" w14:textId="77777777" w:rsidR="00571D39" w:rsidRPr="00571D39" w:rsidRDefault="00866B44" w:rsidP="00E62F5D">
      <w:pPr>
        <w:jc w:val="both"/>
        <w:rPr>
          <w:rFonts w:asciiTheme="majorHAnsi" w:hAnsiTheme="majorHAnsi"/>
          <w:b/>
          <w:sz w:val="20"/>
          <w:szCs w:val="20"/>
        </w:rPr>
      </w:pPr>
      <w:r w:rsidRPr="00552401">
        <w:rPr>
          <w:rFonts w:asciiTheme="majorHAnsi" w:hAnsiTheme="majorHAnsi"/>
          <w:b/>
          <w:sz w:val="20"/>
          <w:szCs w:val="20"/>
        </w:rPr>
        <w:t xml:space="preserve">1. </w:t>
      </w:r>
      <w:r w:rsidR="00082D98" w:rsidRPr="00552401">
        <w:rPr>
          <w:rFonts w:asciiTheme="majorHAnsi" w:hAnsiTheme="majorHAnsi"/>
          <w:b/>
          <w:sz w:val="20"/>
          <w:szCs w:val="20"/>
        </w:rPr>
        <w:t xml:space="preserve">Εισαγωγή </w:t>
      </w:r>
    </w:p>
    <w:p w14:paraId="1039A136" w14:textId="77777777" w:rsidR="00082D98" w:rsidRDefault="000D7406" w:rsidP="00E62F5D">
      <w:pPr>
        <w:jc w:val="both"/>
        <w:rPr>
          <w:rFonts w:asciiTheme="majorHAnsi" w:hAnsiTheme="majorHAnsi"/>
          <w:sz w:val="20"/>
          <w:szCs w:val="20"/>
        </w:rPr>
      </w:pPr>
      <w:r w:rsidRPr="00480C95">
        <w:rPr>
          <w:rFonts w:asciiTheme="majorHAnsi" w:hAnsiTheme="majorHAnsi"/>
          <w:sz w:val="20"/>
          <w:szCs w:val="20"/>
        </w:rPr>
        <w:t xml:space="preserve">Οι </w:t>
      </w:r>
      <w:r w:rsidRPr="00480C95">
        <w:rPr>
          <w:rFonts w:asciiTheme="majorHAnsi" w:hAnsiTheme="majorHAnsi"/>
          <w:sz w:val="20"/>
          <w:szCs w:val="20"/>
          <w:lang w:val="en-US"/>
        </w:rPr>
        <w:t>Choi</w:t>
      </w:r>
      <w:r w:rsidRPr="00480C95">
        <w:rPr>
          <w:rFonts w:asciiTheme="majorHAnsi" w:hAnsiTheme="majorHAnsi"/>
          <w:sz w:val="20"/>
          <w:szCs w:val="20"/>
        </w:rPr>
        <w:t xml:space="preserve">, </w:t>
      </w:r>
      <w:r w:rsidRPr="00480C95">
        <w:rPr>
          <w:rFonts w:asciiTheme="majorHAnsi" w:hAnsiTheme="majorHAnsi"/>
          <w:sz w:val="20"/>
          <w:szCs w:val="20"/>
          <w:lang w:val="en-US"/>
        </w:rPr>
        <w:t>Poon</w:t>
      </w:r>
      <w:r w:rsidRPr="00480C95">
        <w:rPr>
          <w:rFonts w:asciiTheme="majorHAnsi" w:hAnsiTheme="majorHAnsi"/>
          <w:sz w:val="20"/>
          <w:szCs w:val="20"/>
        </w:rPr>
        <w:t xml:space="preserve"> και </w:t>
      </w:r>
      <w:r w:rsidRPr="00480C95">
        <w:rPr>
          <w:rFonts w:asciiTheme="majorHAnsi" w:hAnsiTheme="majorHAnsi"/>
          <w:sz w:val="20"/>
          <w:szCs w:val="20"/>
          <w:lang w:val="en-US"/>
        </w:rPr>
        <w:t>Davis</w:t>
      </w:r>
      <w:r w:rsidRPr="00480C95">
        <w:rPr>
          <w:rFonts w:asciiTheme="majorHAnsi" w:hAnsiTheme="majorHAnsi"/>
          <w:sz w:val="20"/>
          <w:szCs w:val="20"/>
        </w:rPr>
        <w:t xml:space="preserve"> χρησιμοποιούν τη θεωρία συμπληρωματικότητας (</w:t>
      </w:r>
      <w:r w:rsidRPr="00480C95">
        <w:rPr>
          <w:rFonts w:asciiTheme="majorHAnsi" w:hAnsiTheme="majorHAnsi"/>
          <w:sz w:val="20"/>
          <w:szCs w:val="20"/>
          <w:lang w:val="en-US"/>
        </w:rPr>
        <w:t>complementarity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theory</w:t>
      </w:r>
      <w:r w:rsidRPr="00480C95">
        <w:rPr>
          <w:rFonts w:asciiTheme="majorHAnsi" w:hAnsiTheme="majorHAnsi"/>
          <w:sz w:val="20"/>
          <w:szCs w:val="20"/>
        </w:rPr>
        <w:t>) για να μετρήσουν τις επιπτώσεις των διαφόρων στρατηγικών διαχείρισης γνώσης (</w:t>
      </w:r>
      <w:r w:rsidRPr="00480C95">
        <w:rPr>
          <w:rFonts w:asciiTheme="majorHAnsi" w:hAnsiTheme="majorHAnsi"/>
          <w:sz w:val="20"/>
          <w:szCs w:val="20"/>
          <w:lang w:val="en-US"/>
        </w:rPr>
        <w:t>KM</w:t>
      </w:r>
      <w:r w:rsidRPr="00480C95">
        <w:rPr>
          <w:rFonts w:asciiTheme="majorHAnsi" w:hAnsiTheme="majorHAnsi"/>
          <w:sz w:val="20"/>
          <w:szCs w:val="20"/>
        </w:rPr>
        <w:t xml:space="preserve">) στην </w:t>
      </w:r>
      <w:proofErr w:type="spellStart"/>
      <w:r w:rsidRPr="00480C95">
        <w:rPr>
          <w:rFonts w:asciiTheme="majorHAnsi" w:hAnsiTheme="majorHAnsi"/>
          <w:sz w:val="20"/>
          <w:szCs w:val="20"/>
        </w:rPr>
        <w:t>οργανωσιακή</w:t>
      </w:r>
      <w:proofErr w:type="spellEnd"/>
      <w:r w:rsidRPr="00480C95">
        <w:rPr>
          <w:rFonts w:asciiTheme="majorHAnsi" w:hAnsiTheme="majorHAnsi"/>
          <w:sz w:val="20"/>
          <w:szCs w:val="20"/>
        </w:rPr>
        <w:t xml:space="preserve"> </w:t>
      </w:r>
      <w:r w:rsidR="00802E7F" w:rsidRPr="00480C95">
        <w:rPr>
          <w:rFonts w:asciiTheme="majorHAnsi" w:hAnsiTheme="majorHAnsi"/>
          <w:sz w:val="20"/>
          <w:szCs w:val="20"/>
        </w:rPr>
        <w:t xml:space="preserve">απόδοση </w:t>
      </w:r>
      <w:r w:rsidRPr="00480C95">
        <w:rPr>
          <w:rFonts w:asciiTheme="majorHAnsi" w:hAnsiTheme="majorHAnsi"/>
          <w:sz w:val="20"/>
          <w:szCs w:val="20"/>
        </w:rPr>
        <w:t>(</w:t>
      </w:r>
      <w:r w:rsidRPr="00480C95">
        <w:rPr>
          <w:rFonts w:asciiTheme="majorHAnsi" w:hAnsiTheme="majorHAnsi"/>
          <w:sz w:val="20"/>
          <w:szCs w:val="20"/>
          <w:lang w:val="en-US"/>
        </w:rPr>
        <w:t>organizational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performance</w:t>
      </w:r>
      <w:r w:rsidRPr="00480C95">
        <w:rPr>
          <w:rFonts w:asciiTheme="majorHAnsi" w:hAnsiTheme="majorHAnsi"/>
          <w:sz w:val="20"/>
          <w:szCs w:val="20"/>
        </w:rPr>
        <w:t>). Οι συγγραφείς αναλύουν τα αποτελέσματα ενός ερωτηματολογίου που απεστάλη σε δείγμα 131 κορεατικών</w:t>
      </w:r>
      <w:r w:rsidR="0026266C">
        <w:rPr>
          <w:rFonts w:asciiTheme="majorHAnsi" w:hAnsiTheme="majorHAnsi"/>
          <w:sz w:val="20"/>
          <w:szCs w:val="20"/>
        </w:rPr>
        <w:t>,</w:t>
      </w:r>
      <w:r w:rsidR="0026266C" w:rsidRPr="0026266C">
        <w:rPr>
          <w:rFonts w:asciiTheme="majorHAnsi" w:hAnsiTheme="majorHAnsi"/>
          <w:sz w:val="20"/>
          <w:szCs w:val="20"/>
        </w:rPr>
        <w:t xml:space="preserve"> </w:t>
      </w:r>
      <w:r w:rsidR="0026266C">
        <w:rPr>
          <w:rFonts w:asciiTheme="majorHAnsi" w:hAnsiTheme="majorHAnsi"/>
          <w:sz w:val="20"/>
          <w:szCs w:val="20"/>
        </w:rPr>
        <w:t xml:space="preserve">μεγάλων και επιτυχημένων, </w:t>
      </w:r>
      <w:r w:rsidRPr="00480C95">
        <w:rPr>
          <w:rFonts w:asciiTheme="majorHAnsi" w:hAnsiTheme="majorHAnsi"/>
          <w:sz w:val="20"/>
          <w:szCs w:val="20"/>
        </w:rPr>
        <w:t>επιχειρήσεων.</w:t>
      </w:r>
      <w:r w:rsidR="005142D6" w:rsidRPr="00480C95">
        <w:rPr>
          <w:rFonts w:asciiTheme="majorHAnsi" w:hAnsiTheme="majorHAnsi"/>
          <w:sz w:val="20"/>
          <w:szCs w:val="20"/>
        </w:rPr>
        <w:t xml:space="preserve"> </w:t>
      </w:r>
      <w:r w:rsidR="00BC79AF" w:rsidRPr="00480C95">
        <w:rPr>
          <w:rFonts w:asciiTheme="majorHAnsi" w:hAnsiTheme="majorHAnsi"/>
          <w:sz w:val="20"/>
          <w:szCs w:val="20"/>
        </w:rPr>
        <w:t xml:space="preserve">Οι συγγραφείς χωρίζουν τις </w:t>
      </w:r>
      <w:r w:rsidR="005142D6" w:rsidRPr="00480C95">
        <w:rPr>
          <w:rFonts w:asciiTheme="majorHAnsi" w:hAnsiTheme="majorHAnsi"/>
          <w:sz w:val="20"/>
          <w:szCs w:val="20"/>
        </w:rPr>
        <w:t xml:space="preserve">στρατηγικές 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5142D6" w:rsidRPr="00480C95">
        <w:rPr>
          <w:rFonts w:asciiTheme="majorHAnsi" w:hAnsiTheme="majorHAnsi"/>
          <w:sz w:val="20"/>
          <w:szCs w:val="20"/>
        </w:rPr>
        <w:t xml:space="preserve"> σε Στρατηγικές </w:t>
      </w:r>
      <w:r w:rsidR="00F05DF9" w:rsidRPr="00480C95">
        <w:rPr>
          <w:rFonts w:asciiTheme="majorHAnsi" w:hAnsiTheme="majorHAnsi"/>
          <w:sz w:val="20"/>
          <w:szCs w:val="20"/>
        </w:rPr>
        <w:t>προσανατολισμένες</w:t>
      </w:r>
      <w:r w:rsidR="005142D6" w:rsidRPr="00480C95">
        <w:rPr>
          <w:rFonts w:asciiTheme="majorHAnsi" w:hAnsiTheme="majorHAnsi"/>
          <w:sz w:val="20"/>
          <w:szCs w:val="20"/>
        </w:rPr>
        <w:t xml:space="preserve"> Εσωτερικά στον Οργανισμό (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5142D6" w:rsidRPr="00480C95">
        <w:rPr>
          <w:rFonts w:asciiTheme="majorHAnsi" w:hAnsiTheme="majorHAnsi"/>
          <w:sz w:val="20"/>
          <w:szCs w:val="20"/>
        </w:rPr>
        <w:t xml:space="preserve"> 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focus</w:t>
      </w:r>
      <w:r w:rsidR="005142D6" w:rsidRPr="00480C95">
        <w:rPr>
          <w:rFonts w:asciiTheme="majorHAnsi" w:hAnsiTheme="majorHAnsi"/>
          <w:sz w:val="20"/>
          <w:szCs w:val="20"/>
        </w:rPr>
        <w:t xml:space="preserve">) και σε Στρατηγικές </w:t>
      </w:r>
      <w:r w:rsidR="00F05DF9" w:rsidRPr="00480C95">
        <w:rPr>
          <w:rFonts w:asciiTheme="majorHAnsi" w:hAnsiTheme="majorHAnsi"/>
          <w:sz w:val="20"/>
          <w:szCs w:val="20"/>
        </w:rPr>
        <w:t xml:space="preserve">προσανατολισμένες </w:t>
      </w:r>
      <w:r w:rsidR="005142D6" w:rsidRPr="00480C95">
        <w:rPr>
          <w:rFonts w:asciiTheme="majorHAnsi" w:hAnsiTheme="majorHAnsi"/>
          <w:sz w:val="20"/>
          <w:szCs w:val="20"/>
        </w:rPr>
        <w:t xml:space="preserve">σε Πηγή (ΚΜ 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source</w:t>
      </w:r>
      <w:r w:rsidR="005142D6" w:rsidRPr="00480C95">
        <w:rPr>
          <w:rFonts w:asciiTheme="majorHAnsi" w:hAnsiTheme="majorHAnsi"/>
          <w:sz w:val="20"/>
          <w:szCs w:val="20"/>
        </w:rPr>
        <w:t>).</w:t>
      </w:r>
      <w:r w:rsidR="00802E7F" w:rsidRPr="00480C95">
        <w:rPr>
          <w:rFonts w:asciiTheme="majorHAnsi" w:hAnsiTheme="majorHAnsi"/>
          <w:sz w:val="20"/>
          <w:szCs w:val="20"/>
        </w:rPr>
        <w:t xml:space="preserve"> </w:t>
      </w:r>
      <w:r w:rsidR="005142D6" w:rsidRPr="00480C95">
        <w:rPr>
          <w:rFonts w:asciiTheme="majorHAnsi" w:hAnsiTheme="majorHAnsi"/>
          <w:sz w:val="20"/>
          <w:szCs w:val="20"/>
        </w:rPr>
        <w:t xml:space="preserve">Οι </w:t>
      </w:r>
      <w:r w:rsidR="000B68EE"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0B68EE" w:rsidRPr="00480C95">
        <w:rPr>
          <w:rFonts w:asciiTheme="majorHAnsi" w:hAnsiTheme="majorHAnsi"/>
          <w:sz w:val="20"/>
          <w:szCs w:val="20"/>
        </w:rPr>
        <w:t xml:space="preserve"> </w:t>
      </w:r>
      <w:r w:rsidR="000B68EE" w:rsidRPr="00480C95">
        <w:rPr>
          <w:rFonts w:asciiTheme="majorHAnsi" w:hAnsiTheme="majorHAnsi"/>
          <w:sz w:val="20"/>
          <w:szCs w:val="20"/>
          <w:lang w:val="en-US"/>
        </w:rPr>
        <w:t>focus</w:t>
      </w:r>
      <w:r w:rsidR="00980AFA" w:rsidRPr="00480C95">
        <w:rPr>
          <w:rFonts w:asciiTheme="majorHAnsi" w:hAnsiTheme="majorHAnsi"/>
          <w:sz w:val="20"/>
          <w:szCs w:val="20"/>
        </w:rPr>
        <w:t xml:space="preserve"> </w:t>
      </w:r>
      <w:r w:rsidR="00E227B9" w:rsidRPr="00480C95">
        <w:rPr>
          <w:rFonts w:asciiTheme="majorHAnsi" w:hAnsiTheme="majorHAnsi"/>
          <w:sz w:val="20"/>
          <w:szCs w:val="20"/>
        </w:rPr>
        <w:t xml:space="preserve">εστιάζουν </w:t>
      </w:r>
      <w:r w:rsidR="00980AFA" w:rsidRPr="00480C95">
        <w:rPr>
          <w:rFonts w:asciiTheme="majorHAnsi" w:hAnsiTheme="majorHAnsi"/>
          <w:sz w:val="20"/>
          <w:szCs w:val="20"/>
        </w:rPr>
        <w:t>σε άρρητη και ρητή</w:t>
      </w:r>
      <w:r w:rsidR="00480C95" w:rsidRPr="00480C95">
        <w:rPr>
          <w:rFonts w:asciiTheme="majorHAnsi" w:hAnsiTheme="majorHAnsi"/>
          <w:sz w:val="20"/>
          <w:szCs w:val="20"/>
        </w:rPr>
        <w:t xml:space="preserve"> </w:t>
      </w:r>
      <w:r w:rsidR="00980AFA" w:rsidRPr="00480C95">
        <w:rPr>
          <w:rFonts w:asciiTheme="majorHAnsi" w:hAnsiTheme="majorHAnsi"/>
          <w:sz w:val="20"/>
          <w:szCs w:val="20"/>
        </w:rPr>
        <w:t>γνώση</w:t>
      </w:r>
      <w:r w:rsidR="00480C95" w:rsidRPr="00480C95">
        <w:rPr>
          <w:rFonts w:asciiTheme="majorHAnsi" w:hAnsiTheme="majorHAnsi"/>
          <w:sz w:val="20"/>
          <w:szCs w:val="20"/>
        </w:rPr>
        <w:t xml:space="preserve"> </w:t>
      </w:r>
      <w:r w:rsidR="00480C95">
        <w:rPr>
          <w:rFonts w:asciiTheme="majorHAnsi" w:hAnsiTheme="majorHAnsi"/>
          <w:sz w:val="20"/>
          <w:szCs w:val="20"/>
        </w:rPr>
        <w:t xml:space="preserve">και χωρίζονται </w:t>
      </w:r>
      <w:r w:rsidR="005142D6" w:rsidRPr="00480C95">
        <w:rPr>
          <w:rFonts w:asciiTheme="majorHAnsi" w:hAnsiTheme="majorHAnsi"/>
          <w:sz w:val="20"/>
          <w:szCs w:val="20"/>
        </w:rPr>
        <w:t xml:space="preserve">περαιτέρω σε: (1) Στρατηγικές προσανατολισμένες σε Ρητή Γνώση οι οποίες περιλαμβάνουν την αποθήκευση και ανάκτηση γνώσεων </w:t>
      </w:r>
      <w:r w:rsidR="008C6C63" w:rsidRPr="00480C95">
        <w:rPr>
          <w:rFonts w:asciiTheme="majorHAnsi" w:hAnsiTheme="majorHAnsi"/>
          <w:sz w:val="20"/>
          <w:szCs w:val="20"/>
        </w:rPr>
        <w:t xml:space="preserve">κυρίως </w:t>
      </w:r>
      <w:r w:rsidR="005142D6" w:rsidRPr="00480C95">
        <w:rPr>
          <w:rFonts w:asciiTheme="majorHAnsi" w:hAnsiTheme="majorHAnsi"/>
          <w:sz w:val="20"/>
          <w:szCs w:val="20"/>
        </w:rPr>
        <w:t xml:space="preserve">μέσω προηγμένων τεχνολογιών πληροφορικής και (2) Στρατηγικές προσανατολισμένες σε Άρρητη Γνώση, οι οποίες περιλαμβάνουν τη μεταφορά </w:t>
      </w:r>
      <w:r w:rsidR="00065762" w:rsidRPr="00480C95">
        <w:rPr>
          <w:rFonts w:asciiTheme="majorHAnsi" w:hAnsiTheme="majorHAnsi"/>
          <w:sz w:val="20"/>
          <w:szCs w:val="20"/>
        </w:rPr>
        <w:t>άρρητης</w:t>
      </w:r>
      <w:r w:rsidR="005142D6" w:rsidRPr="00480C95">
        <w:rPr>
          <w:rFonts w:asciiTheme="majorHAnsi" w:hAnsiTheme="majorHAnsi"/>
          <w:sz w:val="20"/>
          <w:szCs w:val="20"/>
        </w:rPr>
        <w:t xml:space="preserve"> γνώσης μέσω προσωπικής επαφής (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person</w:t>
      </w:r>
      <w:r w:rsidR="005142D6" w:rsidRPr="00480C95">
        <w:rPr>
          <w:rFonts w:asciiTheme="majorHAnsi" w:hAnsiTheme="majorHAnsi"/>
          <w:sz w:val="20"/>
          <w:szCs w:val="20"/>
        </w:rPr>
        <w:t>-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to</w:t>
      </w:r>
      <w:r w:rsidR="005142D6" w:rsidRPr="00480C95">
        <w:rPr>
          <w:rFonts w:asciiTheme="majorHAnsi" w:hAnsiTheme="majorHAnsi"/>
          <w:sz w:val="20"/>
          <w:szCs w:val="20"/>
        </w:rPr>
        <w:t>-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person</w:t>
      </w:r>
      <w:r w:rsidR="005142D6" w:rsidRPr="00480C95">
        <w:rPr>
          <w:rFonts w:asciiTheme="majorHAnsi" w:hAnsiTheme="majorHAnsi"/>
          <w:sz w:val="20"/>
          <w:szCs w:val="20"/>
        </w:rPr>
        <w:t xml:space="preserve"> </w:t>
      </w:r>
      <w:r w:rsidR="005142D6" w:rsidRPr="00480C95">
        <w:rPr>
          <w:rFonts w:asciiTheme="majorHAnsi" w:hAnsiTheme="majorHAnsi"/>
          <w:sz w:val="20"/>
          <w:szCs w:val="20"/>
          <w:lang w:val="en-US"/>
        </w:rPr>
        <w:t>contact</w:t>
      </w:r>
      <w:r w:rsidR="005142D6" w:rsidRPr="00480C95">
        <w:rPr>
          <w:rFonts w:asciiTheme="majorHAnsi" w:hAnsiTheme="majorHAnsi"/>
          <w:sz w:val="20"/>
          <w:szCs w:val="20"/>
        </w:rPr>
        <w:t>).</w:t>
      </w:r>
      <w:r w:rsidR="00F05DF9" w:rsidRPr="00480C95">
        <w:rPr>
          <w:rFonts w:asciiTheme="majorHAnsi" w:hAnsiTheme="majorHAnsi"/>
          <w:sz w:val="20"/>
          <w:szCs w:val="20"/>
        </w:rPr>
        <w:t xml:space="preserve"> </w:t>
      </w:r>
      <w:r w:rsidR="00082D98" w:rsidRPr="00480C95">
        <w:rPr>
          <w:rFonts w:asciiTheme="majorHAnsi" w:hAnsiTheme="majorHAnsi"/>
          <w:sz w:val="20"/>
          <w:szCs w:val="20"/>
        </w:rPr>
        <w:t xml:space="preserve">Οι </w:t>
      </w:r>
      <w:r w:rsidR="000B68EE"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0B68EE" w:rsidRPr="00480C95">
        <w:rPr>
          <w:rFonts w:asciiTheme="majorHAnsi" w:hAnsiTheme="majorHAnsi"/>
          <w:sz w:val="20"/>
          <w:szCs w:val="20"/>
        </w:rPr>
        <w:t xml:space="preserve"> </w:t>
      </w:r>
      <w:r w:rsidR="000B68EE" w:rsidRPr="00480C95">
        <w:rPr>
          <w:rFonts w:asciiTheme="majorHAnsi" w:hAnsiTheme="majorHAnsi"/>
          <w:sz w:val="20"/>
          <w:szCs w:val="20"/>
          <w:lang w:val="en-US"/>
        </w:rPr>
        <w:t>source</w:t>
      </w:r>
      <w:r w:rsidR="00082D98" w:rsidRPr="00480C95">
        <w:rPr>
          <w:rFonts w:asciiTheme="majorHAnsi" w:hAnsiTheme="majorHAnsi"/>
          <w:sz w:val="20"/>
          <w:szCs w:val="20"/>
        </w:rPr>
        <w:t xml:space="preserve"> </w:t>
      </w:r>
      <w:r w:rsidR="00E227B9" w:rsidRPr="00480C95">
        <w:rPr>
          <w:rFonts w:asciiTheme="majorHAnsi" w:hAnsiTheme="majorHAnsi"/>
          <w:sz w:val="20"/>
          <w:szCs w:val="20"/>
        </w:rPr>
        <w:t xml:space="preserve">εστιάζουν </w:t>
      </w:r>
      <w:r w:rsidR="00980AFA" w:rsidRPr="00480C95">
        <w:rPr>
          <w:rFonts w:asciiTheme="majorHAnsi" w:hAnsiTheme="majorHAnsi"/>
          <w:sz w:val="20"/>
          <w:szCs w:val="20"/>
        </w:rPr>
        <w:t>σε εσωτερική και εξωτερική γνώση</w:t>
      </w:r>
      <w:r w:rsidR="00480C95">
        <w:rPr>
          <w:rFonts w:asciiTheme="majorHAnsi" w:hAnsiTheme="majorHAnsi"/>
          <w:sz w:val="20"/>
          <w:szCs w:val="20"/>
        </w:rPr>
        <w:t xml:space="preserve"> και χωρίζονται σε</w:t>
      </w:r>
      <w:r w:rsidR="00082D98" w:rsidRPr="00480C95">
        <w:rPr>
          <w:rFonts w:asciiTheme="majorHAnsi" w:hAnsiTheme="majorHAnsi"/>
          <w:sz w:val="20"/>
          <w:szCs w:val="20"/>
        </w:rPr>
        <w:t>: (</w:t>
      </w:r>
      <w:r w:rsidR="000B68EE" w:rsidRPr="00480C95">
        <w:rPr>
          <w:rFonts w:asciiTheme="majorHAnsi" w:hAnsiTheme="majorHAnsi"/>
          <w:sz w:val="20"/>
          <w:szCs w:val="20"/>
        </w:rPr>
        <w:t>3</w:t>
      </w:r>
      <w:r w:rsidR="00082D98" w:rsidRPr="00480C95">
        <w:rPr>
          <w:rFonts w:asciiTheme="majorHAnsi" w:hAnsiTheme="majorHAnsi"/>
          <w:sz w:val="20"/>
          <w:szCs w:val="20"/>
        </w:rPr>
        <w:t>) Στρατηγικές μεταφοράς εξωτερικής γνώσης και διάχυσής της στον οργανισμό και (</w:t>
      </w:r>
      <w:r w:rsidR="000B68EE" w:rsidRPr="00480C95">
        <w:rPr>
          <w:rFonts w:asciiTheme="majorHAnsi" w:hAnsiTheme="majorHAnsi"/>
          <w:sz w:val="20"/>
          <w:szCs w:val="20"/>
        </w:rPr>
        <w:t>4</w:t>
      </w:r>
      <w:r w:rsidR="00082D98" w:rsidRPr="00480C95">
        <w:rPr>
          <w:rFonts w:asciiTheme="majorHAnsi" w:hAnsiTheme="majorHAnsi"/>
          <w:sz w:val="20"/>
          <w:szCs w:val="20"/>
        </w:rPr>
        <w:t xml:space="preserve">) </w:t>
      </w:r>
      <w:r w:rsidR="0026266C">
        <w:rPr>
          <w:rFonts w:asciiTheme="majorHAnsi" w:hAnsiTheme="majorHAnsi"/>
          <w:sz w:val="20"/>
          <w:szCs w:val="20"/>
        </w:rPr>
        <w:t>Σ</w:t>
      </w:r>
      <w:r w:rsidR="00082D98" w:rsidRPr="00480C95">
        <w:rPr>
          <w:rFonts w:asciiTheme="majorHAnsi" w:hAnsiTheme="majorHAnsi"/>
          <w:sz w:val="20"/>
          <w:szCs w:val="20"/>
        </w:rPr>
        <w:t>τρατηγικές εσωτερικού προσανατολισμού που περιλαμβάνουν την ανταλλαγή γνώσεων μέσα στον οργανισμό</w:t>
      </w:r>
      <w:r w:rsidR="008C6C63" w:rsidRPr="00480C95">
        <w:rPr>
          <w:rFonts w:asciiTheme="majorHAnsi" w:hAnsiTheme="majorHAnsi"/>
          <w:sz w:val="20"/>
          <w:szCs w:val="20"/>
        </w:rPr>
        <w:t xml:space="preserve"> (</w:t>
      </w:r>
      <w:r w:rsidR="000B68EE" w:rsidRPr="00480C95">
        <w:rPr>
          <w:rFonts w:asciiTheme="majorHAnsi" w:hAnsiTheme="majorHAnsi"/>
          <w:sz w:val="20"/>
          <w:szCs w:val="20"/>
        </w:rPr>
        <w:t>πίνακα</w:t>
      </w:r>
      <w:r w:rsidR="00E227B9" w:rsidRPr="00480C95">
        <w:rPr>
          <w:rFonts w:asciiTheme="majorHAnsi" w:hAnsiTheme="majorHAnsi"/>
          <w:sz w:val="20"/>
          <w:szCs w:val="20"/>
        </w:rPr>
        <w:t xml:space="preserve">ς </w:t>
      </w:r>
      <w:r w:rsidR="000B68EE" w:rsidRPr="00480C95">
        <w:rPr>
          <w:rFonts w:asciiTheme="majorHAnsi" w:hAnsiTheme="majorHAnsi"/>
          <w:sz w:val="20"/>
          <w:szCs w:val="20"/>
        </w:rPr>
        <w:t>1</w:t>
      </w:r>
      <w:r w:rsidR="00E227B9" w:rsidRPr="00480C95">
        <w:rPr>
          <w:rFonts w:asciiTheme="majorHAnsi" w:hAnsiTheme="majorHAnsi"/>
          <w:sz w:val="20"/>
          <w:szCs w:val="20"/>
        </w:rPr>
        <w:t>)</w:t>
      </w:r>
    </w:p>
    <w:p w14:paraId="0DEA5522" w14:textId="77777777" w:rsidR="00802E7F" w:rsidRPr="00552401" w:rsidRDefault="00802E7F" w:rsidP="00802E7F">
      <w:pPr>
        <w:jc w:val="both"/>
        <w:rPr>
          <w:rFonts w:asciiTheme="majorHAnsi" w:hAnsiTheme="majorHAnsi"/>
          <w:b/>
          <w:sz w:val="20"/>
          <w:szCs w:val="20"/>
        </w:rPr>
      </w:pPr>
      <w:r w:rsidRPr="00552401">
        <w:rPr>
          <w:rFonts w:asciiTheme="majorHAnsi" w:hAnsiTheme="majorHAnsi"/>
          <w:b/>
          <w:sz w:val="20"/>
          <w:szCs w:val="20"/>
        </w:rPr>
        <w:t>2. Βασικές έννοιες</w:t>
      </w:r>
    </w:p>
    <w:p w14:paraId="71D0BBE3" w14:textId="77777777" w:rsidR="00802E7F" w:rsidRPr="00552401" w:rsidRDefault="00802E7F" w:rsidP="00802E7F">
      <w:pPr>
        <w:jc w:val="both"/>
        <w:rPr>
          <w:rFonts w:asciiTheme="majorHAnsi" w:hAnsiTheme="majorHAnsi"/>
          <w:b/>
          <w:sz w:val="20"/>
          <w:szCs w:val="20"/>
        </w:rPr>
      </w:pPr>
      <w:r w:rsidRPr="00552401">
        <w:rPr>
          <w:rFonts w:asciiTheme="majorHAnsi" w:hAnsiTheme="majorHAnsi"/>
          <w:b/>
          <w:sz w:val="20"/>
          <w:szCs w:val="20"/>
        </w:rPr>
        <w:t>2,1 Ορισμ</w:t>
      </w:r>
      <w:r w:rsidR="00E227B9" w:rsidRPr="00552401">
        <w:rPr>
          <w:rFonts w:asciiTheme="majorHAnsi" w:hAnsiTheme="majorHAnsi"/>
          <w:b/>
          <w:sz w:val="20"/>
          <w:szCs w:val="20"/>
        </w:rPr>
        <w:t>ός και τύποι σ</w:t>
      </w:r>
      <w:r w:rsidRPr="00552401">
        <w:rPr>
          <w:rFonts w:asciiTheme="majorHAnsi" w:hAnsiTheme="majorHAnsi"/>
          <w:b/>
          <w:sz w:val="20"/>
          <w:szCs w:val="20"/>
        </w:rPr>
        <w:t>υμπληρωματικότητα</w:t>
      </w:r>
      <w:r w:rsidR="00E227B9" w:rsidRPr="00552401">
        <w:rPr>
          <w:rFonts w:asciiTheme="majorHAnsi" w:hAnsiTheme="majorHAnsi"/>
          <w:b/>
          <w:sz w:val="20"/>
          <w:szCs w:val="20"/>
        </w:rPr>
        <w:t>ς</w:t>
      </w:r>
    </w:p>
    <w:p w14:paraId="6FC4D8B1" w14:textId="77777777" w:rsidR="00CC26C6" w:rsidRPr="00480C95" w:rsidRDefault="00802E7F" w:rsidP="00AD3885">
      <w:pPr>
        <w:jc w:val="both"/>
        <w:rPr>
          <w:rFonts w:asciiTheme="majorHAnsi" w:hAnsiTheme="majorHAnsi"/>
          <w:sz w:val="20"/>
          <w:szCs w:val="20"/>
        </w:rPr>
      </w:pPr>
      <w:r w:rsidRPr="00480C95">
        <w:rPr>
          <w:rFonts w:asciiTheme="majorHAnsi" w:hAnsiTheme="majorHAnsi"/>
          <w:sz w:val="20"/>
          <w:szCs w:val="20"/>
        </w:rPr>
        <w:t xml:space="preserve">Δύο στρατηγικές </w:t>
      </w:r>
      <w:r w:rsidRPr="00480C95">
        <w:rPr>
          <w:rFonts w:asciiTheme="majorHAnsi" w:hAnsiTheme="majorHAnsi"/>
          <w:sz w:val="20"/>
          <w:szCs w:val="20"/>
          <w:lang w:val="en-US"/>
        </w:rPr>
        <w:t>KM</w:t>
      </w:r>
      <w:r w:rsidRPr="00480C95">
        <w:rPr>
          <w:rFonts w:asciiTheme="majorHAnsi" w:hAnsiTheme="majorHAnsi"/>
          <w:sz w:val="20"/>
          <w:szCs w:val="20"/>
        </w:rPr>
        <w:t xml:space="preserve"> είναι συμπληρωματικές όταν η από κοινού υλοποίησ</w:t>
      </w:r>
      <w:r w:rsidR="0026266C">
        <w:rPr>
          <w:rFonts w:asciiTheme="majorHAnsi" w:hAnsiTheme="majorHAnsi"/>
          <w:sz w:val="20"/>
          <w:szCs w:val="20"/>
        </w:rPr>
        <w:t xml:space="preserve">ή τους </w:t>
      </w:r>
      <w:r w:rsidRPr="00480C95">
        <w:rPr>
          <w:rFonts w:asciiTheme="majorHAnsi" w:hAnsiTheme="majorHAnsi"/>
          <w:sz w:val="20"/>
          <w:szCs w:val="20"/>
        </w:rPr>
        <w:t xml:space="preserve">έχει μεγαλύτερο θετικό αντίκτυπο στην </w:t>
      </w:r>
      <w:proofErr w:type="spellStart"/>
      <w:r w:rsidRPr="00480C95">
        <w:rPr>
          <w:rFonts w:asciiTheme="majorHAnsi" w:hAnsiTheme="majorHAnsi"/>
          <w:sz w:val="20"/>
          <w:szCs w:val="20"/>
        </w:rPr>
        <w:t>οργανωσιακή</w:t>
      </w:r>
      <w:proofErr w:type="spellEnd"/>
      <w:r w:rsidRPr="00480C95">
        <w:rPr>
          <w:rFonts w:asciiTheme="majorHAnsi" w:hAnsiTheme="majorHAnsi"/>
          <w:sz w:val="20"/>
          <w:szCs w:val="20"/>
        </w:rPr>
        <w:t xml:space="preserve"> απόδοση από την υλοποίηση μίας μόνο από τις στρατηγικές. Τρεις τύποι συμπληρωματικότητας περιγράφονται στο </w:t>
      </w:r>
      <w:r w:rsidR="00DE79B8" w:rsidRPr="00480C95">
        <w:rPr>
          <w:rFonts w:asciiTheme="majorHAnsi" w:hAnsiTheme="majorHAnsi"/>
          <w:sz w:val="20"/>
          <w:szCs w:val="20"/>
        </w:rPr>
        <w:t>άρθρο</w:t>
      </w:r>
      <w:r w:rsidRPr="00480C95">
        <w:rPr>
          <w:rFonts w:asciiTheme="majorHAnsi" w:hAnsiTheme="majorHAnsi"/>
          <w:sz w:val="20"/>
          <w:szCs w:val="20"/>
        </w:rPr>
        <w:t>.</w:t>
      </w:r>
      <w:r w:rsidR="00F324DF">
        <w:rPr>
          <w:rFonts w:asciiTheme="majorHAnsi" w:hAnsiTheme="majorHAnsi"/>
          <w:sz w:val="20"/>
          <w:szCs w:val="20"/>
        </w:rPr>
        <w:t xml:space="preserve"> </w:t>
      </w:r>
      <w:r w:rsidR="001446F0">
        <w:rPr>
          <w:rFonts w:asciiTheme="majorHAnsi" w:hAnsiTheme="majorHAnsi"/>
          <w:sz w:val="20"/>
          <w:szCs w:val="20"/>
        </w:rPr>
        <w:t xml:space="preserve">(1) </w:t>
      </w:r>
      <w:r w:rsidR="00CC26C6" w:rsidRPr="00480C95">
        <w:rPr>
          <w:rFonts w:asciiTheme="majorHAnsi" w:hAnsiTheme="majorHAnsi"/>
          <w:i/>
          <w:sz w:val="20"/>
          <w:szCs w:val="20"/>
        </w:rPr>
        <w:t>Ασύμμετρη συμπληρωματικότητα (</w:t>
      </w:r>
      <w:r w:rsidR="00CC26C6" w:rsidRPr="00480C95">
        <w:rPr>
          <w:rFonts w:asciiTheme="majorHAnsi" w:hAnsiTheme="majorHAnsi"/>
          <w:i/>
          <w:sz w:val="20"/>
          <w:szCs w:val="20"/>
          <w:lang w:val="en-US"/>
        </w:rPr>
        <w:t>Asymmetric</w:t>
      </w:r>
      <w:r w:rsidR="00CC26C6" w:rsidRPr="00480C95">
        <w:rPr>
          <w:rFonts w:asciiTheme="majorHAnsi" w:hAnsiTheme="majorHAnsi"/>
          <w:i/>
          <w:sz w:val="20"/>
          <w:szCs w:val="20"/>
        </w:rPr>
        <w:t xml:space="preserve"> </w:t>
      </w:r>
      <w:r w:rsidR="00CC26C6" w:rsidRPr="00480C95">
        <w:rPr>
          <w:rFonts w:asciiTheme="majorHAnsi" w:hAnsiTheme="majorHAnsi"/>
          <w:i/>
          <w:sz w:val="20"/>
          <w:szCs w:val="20"/>
          <w:lang w:val="en-US"/>
        </w:rPr>
        <w:t>complementarity</w:t>
      </w:r>
      <w:r w:rsidR="00CC26C6" w:rsidRPr="00480C95">
        <w:rPr>
          <w:rFonts w:asciiTheme="majorHAnsi" w:hAnsiTheme="majorHAnsi"/>
          <w:i/>
          <w:sz w:val="20"/>
          <w:szCs w:val="20"/>
        </w:rPr>
        <w:t>)</w:t>
      </w:r>
      <w:r w:rsidR="00D04572" w:rsidRPr="00480C95">
        <w:rPr>
          <w:rFonts w:asciiTheme="majorHAnsi" w:hAnsiTheme="majorHAnsi"/>
          <w:sz w:val="20"/>
          <w:szCs w:val="20"/>
        </w:rPr>
        <w:t>:</w:t>
      </w:r>
      <w:r w:rsidR="00CC26C6" w:rsidRPr="00480C95">
        <w:rPr>
          <w:rFonts w:asciiTheme="majorHAnsi" w:hAnsiTheme="majorHAnsi"/>
          <w:sz w:val="20"/>
          <w:szCs w:val="20"/>
        </w:rPr>
        <w:t xml:space="preserve"> </w:t>
      </w:r>
      <w:r w:rsidR="000B68EE" w:rsidRPr="00480C95">
        <w:rPr>
          <w:rFonts w:asciiTheme="majorHAnsi" w:hAnsiTheme="majorHAnsi"/>
          <w:sz w:val="20"/>
          <w:szCs w:val="20"/>
        </w:rPr>
        <w:t xml:space="preserve">Η </w:t>
      </w:r>
      <w:r w:rsidR="00CC26C6" w:rsidRPr="00480C95">
        <w:rPr>
          <w:rFonts w:asciiTheme="majorHAnsi" w:hAnsiTheme="majorHAnsi"/>
          <w:sz w:val="20"/>
          <w:szCs w:val="20"/>
        </w:rPr>
        <w:t xml:space="preserve">μία στρατηγική </w:t>
      </w:r>
      <w:r w:rsidR="00CC26C6"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D04572" w:rsidRPr="00480C95">
        <w:rPr>
          <w:rFonts w:asciiTheme="majorHAnsi" w:hAnsiTheme="majorHAnsi"/>
          <w:sz w:val="20"/>
          <w:szCs w:val="20"/>
        </w:rPr>
        <w:t>, όταν χρησιμοποιείται ανεξάρτητα</w:t>
      </w:r>
      <w:r w:rsidR="0026266C">
        <w:rPr>
          <w:rFonts w:asciiTheme="majorHAnsi" w:hAnsiTheme="majorHAnsi"/>
          <w:sz w:val="20"/>
          <w:szCs w:val="20"/>
        </w:rPr>
        <w:t>,</w:t>
      </w:r>
      <w:r w:rsidR="00BC79AF" w:rsidRPr="00480C95">
        <w:rPr>
          <w:rFonts w:asciiTheme="majorHAnsi" w:hAnsiTheme="majorHAnsi"/>
          <w:sz w:val="20"/>
          <w:szCs w:val="20"/>
        </w:rPr>
        <w:t xml:space="preserve"> αυξάνει </w:t>
      </w:r>
      <w:r w:rsidR="00CC26C6" w:rsidRPr="00480C95">
        <w:rPr>
          <w:rFonts w:asciiTheme="majorHAnsi" w:hAnsiTheme="majorHAnsi"/>
          <w:sz w:val="20"/>
          <w:szCs w:val="20"/>
        </w:rPr>
        <w:t xml:space="preserve">την </w:t>
      </w:r>
      <w:proofErr w:type="spellStart"/>
      <w:r w:rsidR="00CC26C6" w:rsidRPr="00480C95">
        <w:rPr>
          <w:rFonts w:asciiTheme="majorHAnsi" w:hAnsiTheme="majorHAnsi"/>
          <w:sz w:val="20"/>
          <w:szCs w:val="20"/>
        </w:rPr>
        <w:t>οργανωσιακή</w:t>
      </w:r>
      <w:proofErr w:type="spellEnd"/>
      <w:r w:rsidR="00CC26C6" w:rsidRPr="00480C95">
        <w:rPr>
          <w:rFonts w:asciiTheme="majorHAnsi" w:hAnsiTheme="majorHAnsi"/>
          <w:sz w:val="20"/>
          <w:szCs w:val="20"/>
        </w:rPr>
        <w:t xml:space="preserve"> απόδοση. Η </w:t>
      </w:r>
      <w:r w:rsidR="00B67F33" w:rsidRPr="00480C95">
        <w:rPr>
          <w:rFonts w:asciiTheme="majorHAnsi" w:hAnsiTheme="majorHAnsi"/>
          <w:sz w:val="20"/>
          <w:szCs w:val="20"/>
        </w:rPr>
        <w:t xml:space="preserve">συνδυασμένη </w:t>
      </w:r>
      <w:r w:rsidR="00BC79AF" w:rsidRPr="00480C95">
        <w:rPr>
          <w:rFonts w:asciiTheme="majorHAnsi" w:hAnsiTheme="majorHAnsi"/>
          <w:sz w:val="20"/>
          <w:szCs w:val="20"/>
        </w:rPr>
        <w:t>χρήση τ</w:t>
      </w:r>
      <w:r w:rsidR="00B67F33" w:rsidRPr="00480C95">
        <w:rPr>
          <w:rFonts w:asciiTheme="majorHAnsi" w:hAnsiTheme="majorHAnsi"/>
          <w:sz w:val="20"/>
          <w:szCs w:val="20"/>
        </w:rPr>
        <w:t xml:space="preserve">ων δύο στρατηγικών </w:t>
      </w:r>
      <w:r w:rsidR="00BC79AF" w:rsidRPr="00480C95">
        <w:rPr>
          <w:rFonts w:asciiTheme="majorHAnsi" w:hAnsiTheme="majorHAnsi"/>
          <w:sz w:val="20"/>
          <w:szCs w:val="20"/>
        </w:rPr>
        <w:t xml:space="preserve">ενισχύει </w:t>
      </w:r>
      <w:r w:rsidR="00CC26C6" w:rsidRPr="00480C95">
        <w:rPr>
          <w:rFonts w:asciiTheme="majorHAnsi" w:hAnsiTheme="majorHAnsi"/>
          <w:sz w:val="20"/>
          <w:szCs w:val="20"/>
        </w:rPr>
        <w:t>περαιτέρω τη θετική επίδραση της πρώτης στρατηγικής</w:t>
      </w:r>
      <w:r w:rsidR="00BC79AF" w:rsidRPr="00480C95">
        <w:rPr>
          <w:rFonts w:asciiTheme="majorHAnsi" w:hAnsiTheme="majorHAnsi"/>
          <w:sz w:val="20"/>
          <w:szCs w:val="20"/>
        </w:rPr>
        <w:t>.</w:t>
      </w:r>
      <w:r w:rsidR="00CC26C6" w:rsidRPr="00480C95">
        <w:rPr>
          <w:rFonts w:asciiTheme="majorHAnsi" w:hAnsiTheme="majorHAnsi"/>
          <w:sz w:val="20"/>
          <w:szCs w:val="20"/>
        </w:rPr>
        <w:t>.</w:t>
      </w:r>
      <w:r w:rsidR="00F324DF">
        <w:rPr>
          <w:rFonts w:asciiTheme="majorHAnsi" w:hAnsiTheme="majorHAnsi"/>
          <w:sz w:val="20"/>
          <w:szCs w:val="20"/>
        </w:rPr>
        <w:t xml:space="preserve"> </w:t>
      </w:r>
      <w:r w:rsidR="001446F0">
        <w:rPr>
          <w:rFonts w:asciiTheme="majorHAnsi" w:hAnsiTheme="majorHAnsi"/>
          <w:sz w:val="20"/>
          <w:szCs w:val="20"/>
        </w:rPr>
        <w:t xml:space="preserve">(2) </w:t>
      </w:r>
      <w:r w:rsidR="00D04572" w:rsidRPr="00480C95">
        <w:rPr>
          <w:rFonts w:asciiTheme="majorHAnsi" w:hAnsiTheme="majorHAnsi"/>
          <w:i/>
          <w:sz w:val="20"/>
          <w:szCs w:val="20"/>
        </w:rPr>
        <w:t>Κρίσιμη συμμετρική συμπληρωματικότητα (</w:t>
      </w:r>
      <w:r w:rsidR="0043610A" w:rsidRPr="00480C95">
        <w:rPr>
          <w:rFonts w:asciiTheme="majorHAnsi" w:hAnsiTheme="majorHAnsi"/>
          <w:i/>
          <w:sz w:val="20"/>
          <w:szCs w:val="20"/>
          <w:lang w:val="en-US"/>
        </w:rPr>
        <w:t>Critical</w:t>
      </w:r>
      <w:r w:rsidR="0043610A" w:rsidRPr="00480C95">
        <w:rPr>
          <w:rFonts w:asciiTheme="majorHAnsi" w:hAnsiTheme="majorHAnsi"/>
          <w:i/>
          <w:sz w:val="20"/>
          <w:szCs w:val="20"/>
        </w:rPr>
        <w:t xml:space="preserve"> </w:t>
      </w:r>
      <w:r w:rsidR="0043610A" w:rsidRPr="00480C95">
        <w:rPr>
          <w:rFonts w:asciiTheme="majorHAnsi" w:hAnsiTheme="majorHAnsi"/>
          <w:i/>
          <w:sz w:val="20"/>
          <w:szCs w:val="20"/>
          <w:lang w:val="en-US"/>
        </w:rPr>
        <w:t>symmetric</w:t>
      </w:r>
      <w:r w:rsidR="0043610A" w:rsidRPr="00480C95">
        <w:rPr>
          <w:rFonts w:asciiTheme="majorHAnsi" w:hAnsiTheme="majorHAnsi"/>
          <w:i/>
          <w:sz w:val="20"/>
          <w:szCs w:val="20"/>
        </w:rPr>
        <w:t xml:space="preserve"> </w:t>
      </w:r>
      <w:r w:rsidR="0043610A" w:rsidRPr="00480C95">
        <w:rPr>
          <w:rFonts w:asciiTheme="majorHAnsi" w:hAnsiTheme="majorHAnsi"/>
          <w:i/>
          <w:sz w:val="20"/>
          <w:szCs w:val="20"/>
          <w:lang w:val="en-US"/>
        </w:rPr>
        <w:t>complementarity</w:t>
      </w:r>
      <w:r w:rsidR="00D04572" w:rsidRPr="00480C95">
        <w:rPr>
          <w:rFonts w:asciiTheme="majorHAnsi" w:hAnsiTheme="majorHAnsi"/>
          <w:i/>
          <w:sz w:val="20"/>
          <w:szCs w:val="20"/>
        </w:rPr>
        <w:t>)</w:t>
      </w:r>
      <w:r w:rsidR="00D04572" w:rsidRPr="00480C95">
        <w:rPr>
          <w:rFonts w:asciiTheme="majorHAnsi" w:hAnsiTheme="majorHAnsi"/>
          <w:sz w:val="20"/>
          <w:szCs w:val="20"/>
        </w:rPr>
        <w:t>:</w:t>
      </w:r>
      <w:r w:rsidR="0043610A" w:rsidRPr="00480C95">
        <w:rPr>
          <w:rFonts w:asciiTheme="majorHAnsi" w:hAnsiTheme="majorHAnsi"/>
          <w:sz w:val="20"/>
          <w:szCs w:val="20"/>
        </w:rPr>
        <w:t xml:space="preserve"> </w:t>
      </w:r>
      <w:r w:rsidR="00AD3885" w:rsidRPr="00480C95">
        <w:rPr>
          <w:rFonts w:asciiTheme="majorHAnsi" w:hAnsiTheme="majorHAnsi"/>
          <w:sz w:val="20"/>
          <w:szCs w:val="20"/>
        </w:rPr>
        <w:t xml:space="preserve">Οι δύο στρατηγικές </w:t>
      </w:r>
      <w:r w:rsidR="00AD3885"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AD3885" w:rsidRPr="00480C95">
        <w:rPr>
          <w:rFonts w:asciiTheme="majorHAnsi" w:hAnsiTheme="majorHAnsi"/>
          <w:sz w:val="20"/>
          <w:szCs w:val="20"/>
        </w:rPr>
        <w:t xml:space="preserve"> έχουν θετικό αντίκτυπο στην απόδοση μόνο όταν χρησιμοποιούνται μαζ</w:t>
      </w:r>
      <w:r w:rsidR="000B68EE" w:rsidRPr="00480C95">
        <w:rPr>
          <w:rFonts w:asciiTheme="majorHAnsi" w:hAnsiTheme="majorHAnsi"/>
          <w:sz w:val="20"/>
          <w:szCs w:val="20"/>
        </w:rPr>
        <w:t>ί.</w:t>
      </w:r>
      <w:r w:rsidR="00F324DF">
        <w:rPr>
          <w:rFonts w:asciiTheme="majorHAnsi" w:hAnsiTheme="majorHAnsi"/>
          <w:sz w:val="20"/>
          <w:szCs w:val="20"/>
        </w:rPr>
        <w:t xml:space="preserve"> </w:t>
      </w:r>
      <w:r w:rsidR="001446F0">
        <w:rPr>
          <w:rFonts w:asciiTheme="majorHAnsi" w:hAnsiTheme="majorHAnsi"/>
          <w:sz w:val="20"/>
          <w:szCs w:val="20"/>
        </w:rPr>
        <w:t xml:space="preserve">(3) </w:t>
      </w:r>
      <w:r w:rsidR="00AD3885" w:rsidRPr="00480C95">
        <w:rPr>
          <w:rFonts w:asciiTheme="majorHAnsi" w:hAnsiTheme="majorHAnsi"/>
          <w:i/>
          <w:sz w:val="20"/>
          <w:szCs w:val="20"/>
        </w:rPr>
        <w:t>Μη κρίσιμη συμμετρική συμπληρωματικότητα (</w:t>
      </w:r>
      <w:r w:rsidR="0043610A" w:rsidRPr="00480C95">
        <w:rPr>
          <w:rFonts w:asciiTheme="majorHAnsi" w:hAnsiTheme="majorHAnsi"/>
          <w:i/>
          <w:sz w:val="20"/>
          <w:szCs w:val="20"/>
          <w:lang w:val="en-US"/>
        </w:rPr>
        <w:t>Non</w:t>
      </w:r>
      <w:r w:rsidR="0043610A" w:rsidRPr="00480C95">
        <w:rPr>
          <w:rFonts w:asciiTheme="majorHAnsi" w:hAnsiTheme="majorHAnsi"/>
          <w:i/>
          <w:sz w:val="20"/>
          <w:szCs w:val="20"/>
        </w:rPr>
        <w:t>-</w:t>
      </w:r>
      <w:r w:rsidR="0043610A" w:rsidRPr="00480C95">
        <w:rPr>
          <w:rFonts w:asciiTheme="majorHAnsi" w:hAnsiTheme="majorHAnsi"/>
          <w:i/>
          <w:sz w:val="20"/>
          <w:szCs w:val="20"/>
          <w:lang w:val="en-US"/>
        </w:rPr>
        <w:t>critical</w:t>
      </w:r>
      <w:r w:rsidR="0043610A" w:rsidRPr="00480C95">
        <w:rPr>
          <w:rFonts w:asciiTheme="majorHAnsi" w:hAnsiTheme="majorHAnsi"/>
          <w:i/>
          <w:sz w:val="20"/>
          <w:szCs w:val="20"/>
        </w:rPr>
        <w:t xml:space="preserve"> </w:t>
      </w:r>
      <w:r w:rsidR="0043610A" w:rsidRPr="00480C95">
        <w:rPr>
          <w:rFonts w:asciiTheme="majorHAnsi" w:hAnsiTheme="majorHAnsi"/>
          <w:i/>
          <w:sz w:val="20"/>
          <w:szCs w:val="20"/>
          <w:lang w:val="en-US"/>
        </w:rPr>
        <w:t>symmetric</w:t>
      </w:r>
      <w:r w:rsidR="0043610A" w:rsidRPr="00480C95">
        <w:rPr>
          <w:rFonts w:asciiTheme="majorHAnsi" w:hAnsiTheme="majorHAnsi"/>
          <w:i/>
          <w:sz w:val="20"/>
          <w:szCs w:val="20"/>
        </w:rPr>
        <w:t xml:space="preserve"> </w:t>
      </w:r>
      <w:r w:rsidR="0043610A" w:rsidRPr="00480C95">
        <w:rPr>
          <w:rFonts w:asciiTheme="majorHAnsi" w:hAnsiTheme="majorHAnsi"/>
          <w:i/>
          <w:sz w:val="20"/>
          <w:szCs w:val="20"/>
          <w:lang w:val="en-US"/>
        </w:rPr>
        <w:t>complementarity</w:t>
      </w:r>
      <w:r w:rsidR="00AD3885" w:rsidRPr="00480C95">
        <w:rPr>
          <w:rFonts w:asciiTheme="majorHAnsi" w:hAnsiTheme="majorHAnsi"/>
          <w:i/>
          <w:sz w:val="20"/>
          <w:szCs w:val="20"/>
        </w:rPr>
        <w:t>)</w:t>
      </w:r>
      <w:r w:rsidR="00AD3885" w:rsidRPr="00480C95">
        <w:rPr>
          <w:rFonts w:asciiTheme="majorHAnsi" w:hAnsiTheme="majorHAnsi"/>
          <w:sz w:val="20"/>
          <w:szCs w:val="20"/>
        </w:rPr>
        <w:t>:</w:t>
      </w:r>
      <w:r w:rsidR="00AD3885" w:rsidRPr="00480C95">
        <w:rPr>
          <w:rFonts w:asciiTheme="majorHAnsi" w:hAnsiTheme="majorHAnsi"/>
          <w:i/>
          <w:sz w:val="20"/>
          <w:szCs w:val="20"/>
        </w:rPr>
        <w:t xml:space="preserve"> </w:t>
      </w:r>
      <w:r w:rsidR="0043610A" w:rsidRPr="00480C95">
        <w:rPr>
          <w:rFonts w:asciiTheme="majorHAnsi" w:hAnsiTheme="majorHAnsi"/>
          <w:sz w:val="20"/>
          <w:szCs w:val="20"/>
        </w:rPr>
        <w:t xml:space="preserve"> </w:t>
      </w:r>
      <w:r w:rsidR="00BC79AF" w:rsidRPr="00480C95">
        <w:rPr>
          <w:rFonts w:asciiTheme="majorHAnsi" w:hAnsiTheme="majorHAnsi"/>
          <w:sz w:val="20"/>
          <w:szCs w:val="20"/>
        </w:rPr>
        <w:t xml:space="preserve">Οι </w:t>
      </w:r>
      <w:r w:rsidR="00CC26C6" w:rsidRPr="00480C95">
        <w:rPr>
          <w:rFonts w:asciiTheme="majorHAnsi" w:hAnsiTheme="majorHAnsi"/>
          <w:sz w:val="20"/>
          <w:szCs w:val="20"/>
        </w:rPr>
        <w:t xml:space="preserve">δύο στρατηγικές </w:t>
      </w:r>
      <w:r w:rsidR="00CC26C6" w:rsidRPr="00480C95">
        <w:rPr>
          <w:rFonts w:asciiTheme="majorHAnsi" w:hAnsiTheme="majorHAnsi"/>
          <w:sz w:val="20"/>
          <w:szCs w:val="20"/>
          <w:lang w:val="en-US"/>
        </w:rPr>
        <w:t>KM</w:t>
      </w:r>
      <w:r w:rsidR="00BC79AF" w:rsidRPr="00480C95">
        <w:rPr>
          <w:rFonts w:asciiTheme="majorHAnsi" w:hAnsiTheme="majorHAnsi"/>
          <w:sz w:val="20"/>
          <w:szCs w:val="20"/>
        </w:rPr>
        <w:t xml:space="preserve"> αυξάνουν </w:t>
      </w:r>
      <w:r w:rsidR="00CC26C6" w:rsidRPr="00480C95">
        <w:rPr>
          <w:rFonts w:asciiTheme="majorHAnsi" w:hAnsiTheme="majorHAnsi"/>
          <w:sz w:val="20"/>
          <w:szCs w:val="20"/>
        </w:rPr>
        <w:t>την απόδοση, χρησιμοποιού</w:t>
      </w:r>
      <w:r w:rsidR="00BC79AF" w:rsidRPr="00480C95">
        <w:rPr>
          <w:rFonts w:asciiTheme="majorHAnsi" w:hAnsiTheme="majorHAnsi"/>
          <w:sz w:val="20"/>
          <w:szCs w:val="20"/>
        </w:rPr>
        <w:t xml:space="preserve">μενες είτε  </w:t>
      </w:r>
      <w:r w:rsidR="00CC26C6" w:rsidRPr="00480C95">
        <w:rPr>
          <w:rFonts w:asciiTheme="majorHAnsi" w:hAnsiTheme="majorHAnsi"/>
          <w:sz w:val="20"/>
          <w:szCs w:val="20"/>
        </w:rPr>
        <w:t>ανεξάρτητα</w:t>
      </w:r>
      <w:r w:rsidR="00BC79AF" w:rsidRPr="00480C95">
        <w:rPr>
          <w:rFonts w:asciiTheme="majorHAnsi" w:hAnsiTheme="majorHAnsi"/>
          <w:sz w:val="20"/>
          <w:szCs w:val="20"/>
        </w:rPr>
        <w:t xml:space="preserve"> ή</w:t>
      </w:r>
      <w:r w:rsidR="00CC26C6" w:rsidRPr="00480C95">
        <w:rPr>
          <w:rFonts w:asciiTheme="majorHAnsi" w:hAnsiTheme="majorHAnsi"/>
          <w:sz w:val="20"/>
          <w:szCs w:val="20"/>
        </w:rPr>
        <w:t xml:space="preserve"> σε συνδυασμό.</w:t>
      </w:r>
    </w:p>
    <w:p w14:paraId="6DB9E76C" w14:textId="77777777" w:rsidR="006F55EA" w:rsidRPr="00552401" w:rsidRDefault="006F55EA" w:rsidP="006F55EA">
      <w:pPr>
        <w:jc w:val="both"/>
        <w:rPr>
          <w:rFonts w:asciiTheme="majorHAnsi" w:hAnsiTheme="majorHAnsi"/>
          <w:b/>
          <w:sz w:val="20"/>
          <w:szCs w:val="20"/>
        </w:rPr>
      </w:pPr>
      <w:r w:rsidRPr="00552401">
        <w:rPr>
          <w:rFonts w:asciiTheme="majorHAnsi" w:hAnsiTheme="majorHAnsi"/>
          <w:b/>
          <w:sz w:val="20"/>
          <w:szCs w:val="20"/>
        </w:rPr>
        <w:t xml:space="preserve">2.2 </w:t>
      </w:r>
      <w:r w:rsidR="00F86084" w:rsidRPr="00552401">
        <w:rPr>
          <w:rFonts w:asciiTheme="majorHAnsi" w:hAnsiTheme="majorHAnsi"/>
          <w:b/>
          <w:sz w:val="20"/>
          <w:szCs w:val="20"/>
        </w:rPr>
        <w:t>Θεωρητικό υπόβαθρο (</w:t>
      </w:r>
      <w:r w:rsidR="00F86084" w:rsidRPr="00552401">
        <w:rPr>
          <w:rFonts w:asciiTheme="majorHAnsi" w:hAnsiTheme="majorHAnsi"/>
          <w:b/>
          <w:sz w:val="20"/>
          <w:szCs w:val="20"/>
          <w:lang w:val="en-US"/>
        </w:rPr>
        <w:t>background</w:t>
      </w:r>
      <w:r w:rsidR="00F86084" w:rsidRPr="00552401">
        <w:rPr>
          <w:rFonts w:asciiTheme="majorHAnsi" w:hAnsiTheme="majorHAnsi"/>
          <w:b/>
          <w:sz w:val="20"/>
          <w:szCs w:val="20"/>
        </w:rPr>
        <w:t xml:space="preserve"> </w:t>
      </w:r>
      <w:r w:rsidR="00F86084" w:rsidRPr="00552401">
        <w:rPr>
          <w:rFonts w:asciiTheme="majorHAnsi" w:hAnsiTheme="majorHAnsi"/>
          <w:b/>
          <w:sz w:val="20"/>
          <w:szCs w:val="20"/>
          <w:lang w:val="en-US"/>
        </w:rPr>
        <w:t>theory</w:t>
      </w:r>
      <w:r w:rsidR="00F86084" w:rsidRPr="00552401">
        <w:rPr>
          <w:rFonts w:asciiTheme="majorHAnsi" w:hAnsiTheme="majorHAnsi"/>
          <w:b/>
          <w:sz w:val="20"/>
          <w:szCs w:val="20"/>
        </w:rPr>
        <w:t>)</w:t>
      </w:r>
    </w:p>
    <w:p w14:paraId="0FF01472" w14:textId="77777777" w:rsidR="00CE39AF" w:rsidRPr="00480C95" w:rsidRDefault="000C58D7" w:rsidP="00F3635D">
      <w:pPr>
        <w:jc w:val="both"/>
        <w:rPr>
          <w:rFonts w:asciiTheme="majorHAnsi" w:hAnsiTheme="majorHAnsi"/>
          <w:sz w:val="20"/>
          <w:szCs w:val="20"/>
        </w:rPr>
      </w:pPr>
      <w:r w:rsidRPr="00480C95">
        <w:rPr>
          <w:rFonts w:asciiTheme="majorHAnsi" w:hAnsiTheme="majorHAnsi"/>
          <w:sz w:val="20"/>
          <w:szCs w:val="20"/>
        </w:rPr>
        <w:t xml:space="preserve">Η συμπληρωματική σχέση μεταξύ των επιχειρηματικών πρακτικών έχει διερευνηθεί από διάφορους ερευνητές, όπως οι </w:t>
      </w:r>
      <w:r w:rsidRPr="00480C95">
        <w:rPr>
          <w:rFonts w:asciiTheme="majorHAnsi" w:hAnsiTheme="majorHAnsi"/>
          <w:sz w:val="20"/>
          <w:szCs w:val="20"/>
          <w:lang w:val="en-US"/>
        </w:rPr>
        <w:t>Black</w:t>
      </w:r>
      <w:r w:rsidRPr="00480C95">
        <w:rPr>
          <w:rFonts w:asciiTheme="majorHAnsi" w:hAnsiTheme="majorHAnsi"/>
          <w:sz w:val="20"/>
          <w:szCs w:val="20"/>
        </w:rPr>
        <w:t xml:space="preserve"> και </w:t>
      </w:r>
      <w:r w:rsidRPr="00480C95">
        <w:rPr>
          <w:rFonts w:asciiTheme="majorHAnsi" w:hAnsiTheme="majorHAnsi"/>
          <w:sz w:val="20"/>
          <w:szCs w:val="20"/>
          <w:lang w:val="en-US"/>
        </w:rPr>
        <w:t>Lynch</w:t>
      </w:r>
      <w:r w:rsidRPr="00480C95">
        <w:rPr>
          <w:rFonts w:asciiTheme="majorHAnsi" w:hAnsiTheme="majorHAnsi"/>
          <w:sz w:val="20"/>
          <w:szCs w:val="20"/>
        </w:rPr>
        <w:t xml:space="preserve"> (2001,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cited</w:t>
      </w:r>
      <w:r w:rsidR="00C64174" w:rsidRPr="00480C95">
        <w:rPr>
          <w:rFonts w:asciiTheme="majorHAnsi" w:hAnsiTheme="majorHAnsi"/>
          <w:sz w:val="20"/>
          <w:szCs w:val="20"/>
        </w:rPr>
        <w:t xml:space="preserve">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in</w:t>
      </w:r>
      <w:r w:rsidR="00C64174"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Choi</w:t>
      </w:r>
      <w:r w:rsidRPr="00480C95">
        <w:rPr>
          <w:rFonts w:asciiTheme="majorHAnsi" w:hAnsiTheme="majorHAnsi"/>
          <w:sz w:val="20"/>
          <w:szCs w:val="20"/>
        </w:rPr>
        <w:t xml:space="preserve">, </w:t>
      </w:r>
      <w:r w:rsidRPr="00480C95">
        <w:rPr>
          <w:rFonts w:asciiTheme="majorHAnsi" w:hAnsiTheme="majorHAnsi"/>
          <w:sz w:val="20"/>
          <w:szCs w:val="20"/>
          <w:lang w:val="en-US"/>
        </w:rPr>
        <w:t>Poon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and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Davis</w:t>
      </w:r>
      <w:r w:rsidRPr="00480C95">
        <w:rPr>
          <w:rFonts w:asciiTheme="majorHAnsi" w:hAnsiTheme="majorHAnsi"/>
          <w:sz w:val="20"/>
          <w:szCs w:val="20"/>
        </w:rPr>
        <w:t xml:space="preserve">, 2006, σελ. 236), οι οποίοι διαπίστωσαν </w:t>
      </w:r>
      <w:r w:rsidR="00B67F33" w:rsidRPr="00480C95">
        <w:rPr>
          <w:rFonts w:asciiTheme="majorHAnsi" w:hAnsiTheme="majorHAnsi"/>
          <w:sz w:val="20"/>
          <w:szCs w:val="20"/>
        </w:rPr>
        <w:t xml:space="preserve">τη </w:t>
      </w:r>
      <w:r w:rsidRPr="00480C95">
        <w:rPr>
          <w:rFonts w:asciiTheme="majorHAnsi" w:hAnsiTheme="majorHAnsi"/>
          <w:sz w:val="20"/>
          <w:szCs w:val="20"/>
        </w:rPr>
        <w:t xml:space="preserve">συμπληρωματικότητα διαφόρων επιχειρηματικών πρακτικών, </w:t>
      </w:r>
      <w:r w:rsidRPr="00480C95">
        <w:rPr>
          <w:rFonts w:asciiTheme="majorHAnsi" w:hAnsiTheme="majorHAnsi"/>
          <w:sz w:val="20"/>
          <w:szCs w:val="20"/>
        </w:rPr>
        <w:lastRenderedPageBreak/>
        <w:t>αλλά κατέληξαν στο συμπέρασμα ότι  σημαντικό</w:t>
      </w:r>
      <w:r w:rsidR="00B67F33" w:rsidRPr="00480C95">
        <w:rPr>
          <w:rFonts w:asciiTheme="majorHAnsi" w:hAnsiTheme="majorHAnsi"/>
          <w:sz w:val="20"/>
          <w:szCs w:val="20"/>
        </w:rPr>
        <w:t>τερο</w:t>
      </w:r>
      <w:r w:rsidRPr="00480C95">
        <w:rPr>
          <w:rFonts w:asciiTheme="majorHAnsi" w:hAnsiTheme="majorHAnsi"/>
          <w:sz w:val="20"/>
          <w:szCs w:val="20"/>
        </w:rPr>
        <w:t xml:space="preserve"> είναι το πώς εφαρμόζεται μια πρακτική εργασίας (</w:t>
      </w:r>
      <w:r w:rsidRPr="00480C95">
        <w:rPr>
          <w:rFonts w:asciiTheme="majorHAnsi" w:hAnsiTheme="majorHAnsi"/>
          <w:sz w:val="20"/>
          <w:szCs w:val="20"/>
          <w:lang w:val="en-US"/>
        </w:rPr>
        <w:t>work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practice</w:t>
      </w:r>
      <w:r w:rsidRPr="00480C95">
        <w:rPr>
          <w:rFonts w:asciiTheme="majorHAnsi" w:hAnsiTheme="majorHAnsi"/>
          <w:sz w:val="20"/>
          <w:szCs w:val="20"/>
        </w:rPr>
        <w:t xml:space="preserve">) μαζί με τις συμπληρωματικές πρακτικές της. Οι </w:t>
      </w:r>
      <w:r w:rsidRPr="00480C95">
        <w:rPr>
          <w:rFonts w:asciiTheme="majorHAnsi" w:hAnsiTheme="majorHAnsi"/>
          <w:sz w:val="20"/>
          <w:szCs w:val="20"/>
          <w:lang w:val="en-US"/>
        </w:rPr>
        <w:t>Bresnahan</w:t>
      </w:r>
      <w:r w:rsidRPr="00480C95">
        <w:rPr>
          <w:rFonts w:asciiTheme="majorHAnsi" w:hAnsiTheme="majorHAnsi"/>
          <w:sz w:val="20"/>
          <w:szCs w:val="20"/>
        </w:rPr>
        <w:t xml:space="preserve">, </w:t>
      </w:r>
      <w:r w:rsidRPr="00480C95">
        <w:rPr>
          <w:rFonts w:asciiTheme="majorHAnsi" w:hAnsiTheme="majorHAnsi"/>
          <w:sz w:val="20"/>
          <w:szCs w:val="20"/>
          <w:lang w:val="en-US"/>
        </w:rPr>
        <w:t>Brynjolfsson</w:t>
      </w:r>
      <w:r w:rsidRPr="00480C95">
        <w:rPr>
          <w:rFonts w:asciiTheme="majorHAnsi" w:hAnsiTheme="majorHAnsi"/>
          <w:sz w:val="20"/>
          <w:szCs w:val="20"/>
        </w:rPr>
        <w:t xml:space="preserve"> και </w:t>
      </w:r>
      <w:proofErr w:type="spellStart"/>
      <w:r w:rsidRPr="00480C95">
        <w:rPr>
          <w:rFonts w:asciiTheme="majorHAnsi" w:hAnsiTheme="majorHAnsi"/>
          <w:sz w:val="20"/>
          <w:szCs w:val="20"/>
          <w:lang w:val="en-US"/>
        </w:rPr>
        <w:t>Lorin</w:t>
      </w:r>
      <w:proofErr w:type="spellEnd"/>
      <w:r w:rsidRPr="00480C95">
        <w:rPr>
          <w:rFonts w:asciiTheme="majorHAnsi" w:hAnsiTheme="majorHAnsi"/>
          <w:sz w:val="20"/>
          <w:szCs w:val="20"/>
        </w:rPr>
        <w:t xml:space="preserve"> (2002,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cited</w:t>
      </w:r>
      <w:r w:rsidR="00C64174" w:rsidRPr="00480C95">
        <w:rPr>
          <w:rFonts w:asciiTheme="majorHAnsi" w:hAnsiTheme="majorHAnsi"/>
          <w:sz w:val="20"/>
          <w:szCs w:val="20"/>
        </w:rPr>
        <w:t xml:space="preserve">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in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Choi</w:t>
      </w:r>
      <w:r w:rsidRPr="00480C95">
        <w:rPr>
          <w:rFonts w:asciiTheme="majorHAnsi" w:hAnsiTheme="majorHAnsi"/>
          <w:sz w:val="20"/>
          <w:szCs w:val="20"/>
        </w:rPr>
        <w:t xml:space="preserve">, </w:t>
      </w:r>
      <w:r w:rsidRPr="00480C95">
        <w:rPr>
          <w:rFonts w:asciiTheme="majorHAnsi" w:hAnsiTheme="majorHAnsi"/>
          <w:sz w:val="20"/>
          <w:szCs w:val="20"/>
          <w:lang w:val="en-US"/>
        </w:rPr>
        <w:t>Poon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and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Davis</w:t>
      </w:r>
      <w:r w:rsidRPr="00480C95">
        <w:rPr>
          <w:rFonts w:asciiTheme="majorHAnsi" w:hAnsiTheme="majorHAnsi"/>
          <w:sz w:val="20"/>
          <w:szCs w:val="20"/>
        </w:rPr>
        <w:t xml:space="preserve">, σ. 237) διαπίστωσαν ότι ορισμένες πτυχές της </w:t>
      </w:r>
      <w:proofErr w:type="spellStart"/>
      <w:r w:rsidRPr="00480C95">
        <w:rPr>
          <w:rFonts w:asciiTheme="majorHAnsi" w:hAnsiTheme="majorHAnsi"/>
          <w:sz w:val="20"/>
          <w:szCs w:val="20"/>
        </w:rPr>
        <w:t>οργανωσιακής</w:t>
      </w:r>
      <w:proofErr w:type="spellEnd"/>
      <w:r w:rsidRPr="00480C95">
        <w:rPr>
          <w:rFonts w:asciiTheme="majorHAnsi" w:hAnsiTheme="majorHAnsi"/>
          <w:sz w:val="20"/>
          <w:szCs w:val="20"/>
        </w:rPr>
        <w:t xml:space="preserve"> δομής (</w:t>
      </w:r>
      <w:r w:rsidRPr="00480C95">
        <w:rPr>
          <w:rFonts w:asciiTheme="majorHAnsi" w:hAnsiTheme="majorHAnsi"/>
          <w:sz w:val="20"/>
          <w:szCs w:val="20"/>
          <w:lang w:val="en-US"/>
        </w:rPr>
        <w:t>organizational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structure</w:t>
      </w:r>
      <w:r w:rsidRPr="00480C95">
        <w:rPr>
          <w:rFonts w:asciiTheme="majorHAnsi" w:hAnsiTheme="majorHAnsi"/>
          <w:sz w:val="20"/>
          <w:szCs w:val="20"/>
        </w:rPr>
        <w:t xml:space="preserve">) είναι συμπληρωματικές. </w:t>
      </w:r>
      <w:r w:rsidR="00B67F33" w:rsidRPr="00480C95">
        <w:rPr>
          <w:rFonts w:asciiTheme="majorHAnsi" w:hAnsiTheme="majorHAnsi"/>
          <w:sz w:val="20"/>
          <w:szCs w:val="20"/>
        </w:rPr>
        <w:t xml:space="preserve">Γενικά, η </w:t>
      </w:r>
      <w:r w:rsidRPr="00480C95">
        <w:rPr>
          <w:rFonts w:asciiTheme="majorHAnsi" w:hAnsiTheme="majorHAnsi"/>
          <w:sz w:val="20"/>
          <w:szCs w:val="20"/>
        </w:rPr>
        <w:t xml:space="preserve">σχέση των στρατηγικών </w:t>
      </w:r>
      <w:r w:rsidRPr="00480C95">
        <w:rPr>
          <w:rFonts w:asciiTheme="majorHAnsi" w:hAnsiTheme="majorHAnsi"/>
          <w:sz w:val="20"/>
          <w:szCs w:val="20"/>
          <w:lang w:val="en-US"/>
        </w:rPr>
        <w:t>KM</w:t>
      </w:r>
      <w:r w:rsidRPr="00480C95">
        <w:rPr>
          <w:rFonts w:asciiTheme="majorHAnsi" w:hAnsiTheme="majorHAnsi"/>
          <w:sz w:val="20"/>
          <w:szCs w:val="20"/>
        </w:rPr>
        <w:t xml:space="preserve"> και τ</w:t>
      </w:r>
      <w:r w:rsidR="00F47835" w:rsidRPr="00480C95">
        <w:rPr>
          <w:rFonts w:asciiTheme="majorHAnsi" w:hAnsiTheme="majorHAnsi"/>
          <w:sz w:val="20"/>
          <w:szCs w:val="20"/>
        </w:rPr>
        <w:t xml:space="preserve">ης </w:t>
      </w:r>
      <w:proofErr w:type="spellStart"/>
      <w:r w:rsidR="00F47835" w:rsidRPr="00480C95">
        <w:rPr>
          <w:rFonts w:asciiTheme="majorHAnsi" w:hAnsiTheme="majorHAnsi"/>
          <w:sz w:val="20"/>
          <w:szCs w:val="20"/>
        </w:rPr>
        <w:t>οργανωσιακής</w:t>
      </w:r>
      <w:proofErr w:type="spellEnd"/>
      <w:r w:rsidR="00F47835" w:rsidRPr="00480C95">
        <w:rPr>
          <w:rFonts w:asciiTheme="majorHAnsi" w:hAnsiTheme="majorHAnsi"/>
          <w:sz w:val="20"/>
          <w:szCs w:val="20"/>
        </w:rPr>
        <w:t xml:space="preserve"> απόδοσης</w:t>
      </w:r>
      <w:r w:rsidR="00B67F33" w:rsidRPr="00480C95">
        <w:rPr>
          <w:rFonts w:asciiTheme="majorHAnsi" w:hAnsiTheme="majorHAnsi"/>
          <w:sz w:val="20"/>
          <w:szCs w:val="20"/>
        </w:rPr>
        <w:t xml:space="preserve"> έχει ερευνηθεί αλλά υπάρχουν αντικρουόμενα συμπεράσματα. Για παράδειγμα, οι </w:t>
      </w:r>
      <w:proofErr w:type="spellStart"/>
      <w:r w:rsidRPr="00480C95">
        <w:rPr>
          <w:rFonts w:asciiTheme="majorHAnsi" w:hAnsiTheme="majorHAnsi"/>
          <w:sz w:val="20"/>
          <w:szCs w:val="20"/>
          <w:lang w:val="en-US"/>
        </w:rPr>
        <w:t>Bierly</w:t>
      </w:r>
      <w:proofErr w:type="spellEnd"/>
      <w:r w:rsidRPr="00480C95">
        <w:rPr>
          <w:rFonts w:asciiTheme="majorHAnsi" w:hAnsiTheme="majorHAnsi"/>
          <w:sz w:val="20"/>
          <w:szCs w:val="20"/>
        </w:rPr>
        <w:t xml:space="preserve"> και </w:t>
      </w:r>
      <w:r w:rsidRPr="00480C95">
        <w:rPr>
          <w:rFonts w:asciiTheme="majorHAnsi" w:hAnsiTheme="majorHAnsi"/>
          <w:sz w:val="20"/>
          <w:szCs w:val="20"/>
          <w:lang w:val="en-US"/>
        </w:rPr>
        <w:t>Chakrabarti</w:t>
      </w:r>
      <w:r w:rsidRPr="00480C95">
        <w:rPr>
          <w:rFonts w:asciiTheme="majorHAnsi" w:hAnsiTheme="majorHAnsi"/>
          <w:sz w:val="20"/>
          <w:szCs w:val="20"/>
        </w:rPr>
        <w:t xml:space="preserve"> (1996,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cited</w:t>
      </w:r>
      <w:r w:rsidR="00C64174" w:rsidRPr="00480C95">
        <w:rPr>
          <w:rFonts w:asciiTheme="majorHAnsi" w:hAnsiTheme="majorHAnsi"/>
          <w:sz w:val="20"/>
          <w:szCs w:val="20"/>
        </w:rPr>
        <w:t xml:space="preserve">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in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Choi</w:t>
      </w:r>
      <w:r w:rsidRPr="00480C95">
        <w:rPr>
          <w:rFonts w:asciiTheme="majorHAnsi" w:hAnsiTheme="majorHAnsi"/>
          <w:sz w:val="20"/>
          <w:szCs w:val="20"/>
        </w:rPr>
        <w:t xml:space="preserve">, </w:t>
      </w:r>
      <w:r w:rsidRPr="00480C95">
        <w:rPr>
          <w:rFonts w:asciiTheme="majorHAnsi" w:hAnsiTheme="majorHAnsi"/>
          <w:sz w:val="20"/>
          <w:szCs w:val="20"/>
          <w:lang w:val="en-US"/>
        </w:rPr>
        <w:t>Poon</w:t>
      </w:r>
      <w:r w:rsidRPr="00480C95">
        <w:rPr>
          <w:rFonts w:asciiTheme="majorHAnsi" w:hAnsiTheme="majorHAnsi"/>
          <w:sz w:val="20"/>
          <w:szCs w:val="20"/>
        </w:rPr>
        <w:t xml:space="preserve"> και </w:t>
      </w:r>
      <w:r w:rsidRPr="00480C95">
        <w:rPr>
          <w:rFonts w:asciiTheme="majorHAnsi" w:hAnsiTheme="majorHAnsi"/>
          <w:sz w:val="20"/>
          <w:szCs w:val="20"/>
          <w:lang w:val="en-US"/>
        </w:rPr>
        <w:t>Davis</w:t>
      </w:r>
      <w:r w:rsidRPr="00480C95">
        <w:rPr>
          <w:rFonts w:asciiTheme="majorHAnsi" w:hAnsiTheme="majorHAnsi"/>
          <w:sz w:val="20"/>
          <w:szCs w:val="20"/>
        </w:rPr>
        <w:t xml:space="preserve">, σελ. 237), διαπίστωσαν συμπληρωματική σχέση μεταξύ στρατηγικών </w:t>
      </w:r>
      <w:r w:rsidRPr="00480C95">
        <w:rPr>
          <w:rFonts w:asciiTheme="majorHAnsi" w:hAnsiTheme="majorHAnsi"/>
          <w:sz w:val="20"/>
          <w:szCs w:val="20"/>
          <w:lang w:val="en-US"/>
        </w:rPr>
        <w:t>KM</w:t>
      </w:r>
      <w:r w:rsidRPr="00480C95">
        <w:rPr>
          <w:rFonts w:asciiTheme="majorHAnsi" w:hAnsiTheme="majorHAnsi"/>
          <w:sz w:val="20"/>
          <w:szCs w:val="20"/>
        </w:rPr>
        <w:t xml:space="preserve">, ενώ </w:t>
      </w:r>
      <w:r w:rsidR="00F47835" w:rsidRPr="00480C95">
        <w:rPr>
          <w:rFonts w:asciiTheme="majorHAnsi" w:hAnsiTheme="majorHAnsi"/>
          <w:sz w:val="20"/>
          <w:szCs w:val="20"/>
        </w:rPr>
        <w:t xml:space="preserve">οι </w:t>
      </w:r>
      <w:r w:rsidRPr="00480C95">
        <w:rPr>
          <w:rFonts w:asciiTheme="majorHAnsi" w:hAnsiTheme="majorHAnsi"/>
          <w:sz w:val="20"/>
          <w:szCs w:val="20"/>
          <w:lang w:val="en-US"/>
        </w:rPr>
        <w:t>Hansen</w:t>
      </w:r>
      <w:r w:rsidRPr="00480C95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480C95">
        <w:rPr>
          <w:rFonts w:asciiTheme="majorHAnsi" w:hAnsiTheme="majorHAnsi"/>
          <w:sz w:val="20"/>
          <w:szCs w:val="20"/>
          <w:lang w:val="en-US"/>
        </w:rPr>
        <w:t>Nohria</w:t>
      </w:r>
      <w:proofErr w:type="spellEnd"/>
      <w:r w:rsidRPr="00480C95">
        <w:rPr>
          <w:rFonts w:asciiTheme="majorHAnsi" w:hAnsiTheme="majorHAnsi"/>
          <w:sz w:val="20"/>
          <w:szCs w:val="20"/>
        </w:rPr>
        <w:t xml:space="preserve"> και </w:t>
      </w:r>
      <w:r w:rsidRPr="00480C95">
        <w:rPr>
          <w:rFonts w:asciiTheme="majorHAnsi" w:hAnsiTheme="majorHAnsi"/>
          <w:sz w:val="20"/>
          <w:szCs w:val="20"/>
          <w:lang w:val="en-US"/>
        </w:rPr>
        <w:t>Tierney</w:t>
      </w:r>
      <w:r w:rsidR="00F47835" w:rsidRPr="00480C95">
        <w:rPr>
          <w:rFonts w:asciiTheme="majorHAnsi" w:hAnsiTheme="majorHAnsi"/>
          <w:sz w:val="20"/>
          <w:szCs w:val="20"/>
        </w:rPr>
        <w:t xml:space="preserve"> (1999,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cited</w:t>
      </w:r>
      <w:r w:rsidR="00C64174" w:rsidRPr="00480C95">
        <w:rPr>
          <w:rFonts w:asciiTheme="majorHAnsi" w:hAnsiTheme="majorHAnsi"/>
          <w:sz w:val="20"/>
          <w:szCs w:val="20"/>
        </w:rPr>
        <w:t xml:space="preserve"> </w:t>
      </w:r>
      <w:r w:rsidR="00C64174" w:rsidRPr="00480C95">
        <w:rPr>
          <w:rFonts w:asciiTheme="majorHAnsi" w:hAnsiTheme="majorHAnsi"/>
          <w:sz w:val="20"/>
          <w:szCs w:val="20"/>
          <w:lang w:val="en-US"/>
        </w:rPr>
        <w:t>in</w:t>
      </w:r>
      <w:r w:rsidR="00F47835" w:rsidRPr="00480C95">
        <w:rPr>
          <w:rFonts w:asciiTheme="majorHAnsi" w:hAnsiTheme="majorHAnsi"/>
          <w:sz w:val="20"/>
          <w:szCs w:val="20"/>
        </w:rPr>
        <w:t xml:space="preserve"> </w:t>
      </w:r>
      <w:r w:rsidR="00F47835" w:rsidRPr="00480C95">
        <w:rPr>
          <w:rFonts w:asciiTheme="majorHAnsi" w:hAnsiTheme="majorHAnsi"/>
          <w:sz w:val="20"/>
          <w:szCs w:val="20"/>
          <w:lang w:val="en-US"/>
        </w:rPr>
        <w:t>Choi</w:t>
      </w:r>
      <w:r w:rsidR="00F47835" w:rsidRPr="00480C95">
        <w:rPr>
          <w:rFonts w:asciiTheme="majorHAnsi" w:hAnsiTheme="majorHAnsi"/>
          <w:sz w:val="20"/>
          <w:szCs w:val="20"/>
        </w:rPr>
        <w:t xml:space="preserve">, </w:t>
      </w:r>
      <w:r w:rsidRPr="00480C95">
        <w:rPr>
          <w:rFonts w:asciiTheme="majorHAnsi" w:hAnsiTheme="majorHAnsi"/>
          <w:sz w:val="20"/>
          <w:szCs w:val="20"/>
          <w:lang w:val="en-US"/>
        </w:rPr>
        <w:t>Poon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and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Davis</w:t>
      </w:r>
      <w:r w:rsidRPr="00480C95">
        <w:rPr>
          <w:rFonts w:asciiTheme="majorHAnsi" w:hAnsiTheme="majorHAnsi"/>
          <w:sz w:val="20"/>
          <w:szCs w:val="20"/>
        </w:rPr>
        <w:t xml:space="preserve">, σελ. 237), </w:t>
      </w:r>
      <w:r w:rsidR="008C5415">
        <w:rPr>
          <w:rFonts w:asciiTheme="majorHAnsi" w:hAnsiTheme="majorHAnsi"/>
          <w:sz w:val="20"/>
          <w:szCs w:val="20"/>
        </w:rPr>
        <w:t>συμπεραίνουν</w:t>
      </w:r>
      <w:r w:rsidR="00F324DF">
        <w:rPr>
          <w:rFonts w:asciiTheme="majorHAnsi" w:hAnsiTheme="majorHAnsi"/>
          <w:sz w:val="20"/>
          <w:szCs w:val="20"/>
        </w:rPr>
        <w:t xml:space="preserve"> τ</w:t>
      </w:r>
      <w:r w:rsidRPr="00480C95">
        <w:rPr>
          <w:rFonts w:asciiTheme="majorHAnsi" w:hAnsiTheme="majorHAnsi"/>
          <w:sz w:val="20"/>
          <w:szCs w:val="20"/>
        </w:rPr>
        <w:t>ο αντίθετο</w:t>
      </w:r>
      <w:r w:rsidR="00F324DF">
        <w:rPr>
          <w:rFonts w:asciiTheme="majorHAnsi" w:hAnsiTheme="majorHAnsi"/>
          <w:sz w:val="20"/>
          <w:szCs w:val="20"/>
        </w:rPr>
        <w:t xml:space="preserve">. </w:t>
      </w:r>
      <w:r w:rsidRPr="00480C95">
        <w:rPr>
          <w:rFonts w:asciiTheme="majorHAnsi" w:hAnsiTheme="majorHAnsi"/>
          <w:sz w:val="20"/>
          <w:szCs w:val="20"/>
        </w:rPr>
        <w:t xml:space="preserve">Επομένως, </w:t>
      </w:r>
      <w:r w:rsidR="00F324DF">
        <w:rPr>
          <w:rFonts w:asciiTheme="majorHAnsi" w:hAnsiTheme="majorHAnsi"/>
          <w:sz w:val="20"/>
          <w:szCs w:val="20"/>
        </w:rPr>
        <w:t xml:space="preserve">κατά τους συγγραφείς </w:t>
      </w:r>
      <w:r w:rsidRPr="00480C95">
        <w:rPr>
          <w:rFonts w:asciiTheme="majorHAnsi" w:hAnsiTheme="majorHAnsi"/>
          <w:sz w:val="20"/>
          <w:szCs w:val="20"/>
        </w:rPr>
        <w:t>η συμπληρωματικότητα των στρατηγικών π</w:t>
      </w:r>
      <w:r w:rsidR="00E227B9" w:rsidRPr="00480C95">
        <w:rPr>
          <w:rFonts w:asciiTheme="majorHAnsi" w:hAnsiTheme="majorHAnsi"/>
          <w:sz w:val="20"/>
          <w:szCs w:val="20"/>
        </w:rPr>
        <w:t xml:space="preserve">ρέπει να </w:t>
      </w:r>
      <w:r w:rsidR="00B67F33" w:rsidRPr="00480C95">
        <w:rPr>
          <w:rFonts w:asciiTheme="majorHAnsi" w:hAnsiTheme="majorHAnsi"/>
          <w:sz w:val="20"/>
          <w:szCs w:val="20"/>
        </w:rPr>
        <w:t xml:space="preserve">μελετηθεί </w:t>
      </w:r>
      <w:r w:rsidR="00E227B9" w:rsidRPr="00480C95">
        <w:rPr>
          <w:rFonts w:asciiTheme="majorHAnsi" w:hAnsiTheme="majorHAnsi"/>
          <w:sz w:val="20"/>
          <w:szCs w:val="20"/>
        </w:rPr>
        <w:t>περαιτέρω.</w:t>
      </w:r>
    </w:p>
    <w:p w14:paraId="084D16C9" w14:textId="77777777" w:rsidR="004F638A" w:rsidRPr="00552401" w:rsidRDefault="004F638A" w:rsidP="004F638A">
      <w:pPr>
        <w:jc w:val="both"/>
        <w:rPr>
          <w:rFonts w:asciiTheme="majorHAnsi" w:hAnsiTheme="majorHAnsi"/>
          <w:b/>
          <w:sz w:val="20"/>
          <w:szCs w:val="20"/>
        </w:rPr>
      </w:pPr>
      <w:r w:rsidRPr="00552401">
        <w:rPr>
          <w:rFonts w:asciiTheme="majorHAnsi" w:hAnsiTheme="majorHAnsi"/>
          <w:b/>
          <w:sz w:val="20"/>
          <w:szCs w:val="20"/>
        </w:rPr>
        <w:t>3. Εμπειρική απόδειξη (</w:t>
      </w:r>
      <w:proofErr w:type="spellStart"/>
      <w:r w:rsidRPr="00552401">
        <w:rPr>
          <w:rFonts w:asciiTheme="majorHAnsi" w:hAnsiTheme="majorHAnsi"/>
          <w:b/>
          <w:sz w:val="20"/>
          <w:szCs w:val="20"/>
        </w:rPr>
        <w:t>Empirical</w:t>
      </w:r>
      <w:proofErr w:type="spellEnd"/>
      <w:r w:rsidRPr="00552401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552401">
        <w:rPr>
          <w:rFonts w:asciiTheme="majorHAnsi" w:hAnsiTheme="majorHAnsi"/>
          <w:b/>
          <w:sz w:val="20"/>
          <w:szCs w:val="20"/>
        </w:rPr>
        <w:t>evidence</w:t>
      </w:r>
      <w:proofErr w:type="spellEnd"/>
      <w:r w:rsidRPr="00552401">
        <w:rPr>
          <w:rFonts w:asciiTheme="majorHAnsi" w:hAnsiTheme="majorHAnsi"/>
          <w:b/>
          <w:sz w:val="20"/>
          <w:szCs w:val="20"/>
        </w:rPr>
        <w:t xml:space="preserve">) της χρησιμότητας της θεωρίας </w:t>
      </w:r>
    </w:p>
    <w:p w14:paraId="106FC76F" w14:textId="77777777" w:rsidR="000900CD" w:rsidRPr="00480C95" w:rsidRDefault="004F638A" w:rsidP="00F3635D">
      <w:pPr>
        <w:jc w:val="both"/>
        <w:rPr>
          <w:rFonts w:asciiTheme="majorHAnsi" w:hAnsiTheme="majorHAnsi"/>
          <w:sz w:val="20"/>
          <w:szCs w:val="20"/>
        </w:rPr>
      </w:pPr>
      <w:r w:rsidRPr="00480C95">
        <w:rPr>
          <w:rFonts w:asciiTheme="majorHAnsi" w:hAnsiTheme="majorHAnsi"/>
          <w:sz w:val="20"/>
          <w:szCs w:val="20"/>
        </w:rPr>
        <w:t xml:space="preserve">Τα αποτελέσματα της </w:t>
      </w:r>
      <w:r w:rsidR="00B67F33" w:rsidRPr="00480C95">
        <w:rPr>
          <w:rFonts w:asciiTheme="majorHAnsi" w:hAnsiTheme="majorHAnsi"/>
          <w:sz w:val="20"/>
          <w:szCs w:val="20"/>
        </w:rPr>
        <w:t xml:space="preserve">μελέτης της συμπληρωματικότητας των </w:t>
      </w:r>
      <w:r w:rsidRPr="00480C95">
        <w:rPr>
          <w:rFonts w:asciiTheme="majorHAnsi" w:hAnsiTheme="majorHAnsi"/>
          <w:sz w:val="20"/>
          <w:szCs w:val="20"/>
          <w:lang w:val="en-US"/>
        </w:rPr>
        <w:t>Choi</w:t>
      </w:r>
      <w:r w:rsidRPr="00480C95">
        <w:rPr>
          <w:rFonts w:asciiTheme="majorHAnsi" w:hAnsiTheme="majorHAnsi"/>
          <w:sz w:val="20"/>
          <w:szCs w:val="20"/>
        </w:rPr>
        <w:t xml:space="preserve">, </w:t>
      </w:r>
      <w:r w:rsidRPr="00480C95">
        <w:rPr>
          <w:rFonts w:asciiTheme="majorHAnsi" w:hAnsiTheme="majorHAnsi"/>
          <w:sz w:val="20"/>
          <w:szCs w:val="20"/>
          <w:lang w:val="en-US"/>
        </w:rPr>
        <w:t>Poon</w:t>
      </w:r>
      <w:r w:rsidRPr="00480C95">
        <w:rPr>
          <w:rFonts w:asciiTheme="majorHAnsi" w:hAnsiTheme="majorHAnsi"/>
          <w:sz w:val="20"/>
          <w:szCs w:val="20"/>
        </w:rPr>
        <w:t xml:space="preserve"> και </w:t>
      </w:r>
      <w:r w:rsidRPr="00480C95">
        <w:rPr>
          <w:rFonts w:asciiTheme="majorHAnsi" w:hAnsiTheme="majorHAnsi"/>
          <w:sz w:val="20"/>
          <w:szCs w:val="20"/>
          <w:lang w:val="en-US"/>
        </w:rPr>
        <w:t>Davis</w:t>
      </w:r>
      <w:r w:rsidR="00B67F33" w:rsidRPr="00480C95">
        <w:rPr>
          <w:rFonts w:asciiTheme="majorHAnsi" w:hAnsiTheme="majorHAnsi"/>
          <w:sz w:val="20"/>
          <w:szCs w:val="20"/>
        </w:rPr>
        <w:t xml:space="preserve"> (σ</w:t>
      </w:r>
      <w:r w:rsidR="00531CF3" w:rsidRPr="00480C95">
        <w:rPr>
          <w:rFonts w:asciiTheme="majorHAnsi" w:hAnsiTheme="majorHAnsi"/>
          <w:sz w:val="20"/>
          <w:szCs w:val="20"/>
        </w:rPr>
        <w:t>ελ. 243-245)</w:t>
      </w:r>
      <w:r w:rsidRPr="00480C95">
        <w:rPr>
          <w:rFonts w:asciiTheme="majorHAnsi" w:hAnsiTheme="majorHAnsi"/>
          <w:sz w:val="20"/>
          <w:szCs w:val="20"/>
        </w:rPr>
        <w:t xml:space="preserve"> φαίνονται στον πίνακα 2.</w:t>
      </w:r>
    </w:p>
    <w:p w14:paraId="2B429975" w14:textId="77777777" w:rsidR="007167AE" w:rsidRPr="00480C95" w:rsidRDefault="00531CF3" w:rsidP="00F3635D">
      <w:pPr>
        <w:jc w:val="both"/>
        <w:rPr>
          <w:rFonts w:asciiTheme="majorHAnsi" w:hAnsiTheme="majorHAnsi"/>
          <w:sz w:val="20"/>
          <w:szCs w:val="20"/>
        </w:rPr>
      </w:pPr>
      <w:r w:rsidRPr="00480C95">
        <w:rPr>
          <w:rFonts w:asciiTheme="majorHAnsi" w:hAnsiTheme="majorHAnsi"/>
          <w:sz w:val="20"/>
          <w:szCs w:val="20"/>
        </w:rPr>
        <w:t>Η</w:t>
      </w:r>
      <w:r w:rsidR="004F638A" w:rsidRPr="00480C95">
        <w:rPr>
          <w:rFonts w:asciiTheme="majorHAnsi" w:hAnsiTheme="majorHAnsi"/>
          <w:sz w:val="20"/>
          <w:szCs w:val="20"/>
        </w:rPr>
        <w:t xml:space="preserve"> συνδυασμένη </w:t>
      </w:r>
      <w:r w:rsidR="007167AE" w:rsidRPr="00480C95">
        <w:rPr>
          <w:rFonts w:asciiTheme="majorHAnsi" w:hAnsiTheme="majorHAnsi"/>
          <w:sz w:val="20"/>
          <w:szCs w:val="20"/>
        </w:rPr>
        <w:t xml:space="preserve">χρήση </w:t>
      </w:r>
      <w:r w:rsidR="004F638A" w:rsidRPr="00480C95">
        <w:rPr>
          <w:rFonts w:asciiTheme="majorHAnsi" w:hAnsiTheme="majorHAnsi"/>
          <w:sz w:val="20"/>
          <w:szCs w:val="20"/>
        </w:rPr>
        <w:t xml:space="preserve">KM </w:t>
      </w:r>
      <w:proofErr w:type="spellStart"/>
      <w:r w:rsidR="004F638A" w:rsidRPr="00480C95">
        <w:rPr>
          <w:rFonts w:asciiTheme="majorHAnsi" w:hAnsiTheme="majorHAnsi"/>
          <w:sz w:val="20"/>
          <w:szCs w:val="20"/>
        </w:rPr>
        <w:t>focus</w:t>
      </w:r>
      <w:proofErr w:type="spellEnd"/>
      <w:r w:rsidR="004F638A" w:rsidRPr="00480C95">
        <w:rPr>
          <w:rFonts w:asciiTheme="majorHAnsi" w:hAnsiTheme="majorHAnsi"/>
          <w:sz w:val="20"/>
          <w:szCs w:val="20"/>
        </w:rPr>
        <w:t xml:space="preserve"> &amp; KM </w:t>
      </w:r>
      <w:proofErr w:type="spellStart"/>
      <w:r w:rsidR="004F638A" w:rsidRPr="00480C95">
        <w:rPr>
          <w:rFonts w:asciiTheme="majorHAnsi" w:hAnsiTheme="majorHAnsi"/>
          <w:sz w:val="20"/>
          <w:szCs w:val="20"/>
        </w:rPr>
        <w:t>source</w:t>
      </w:r>
      <w:proofErr w:type="spellEnd"/>
      <w:r w:rsidR="004F638A" w:rsidRPr="00480C95">
        <w:rPr>
          <w:rFonts w:asciiTheme="majorHAnsi" w:hAnsiTheme="majorHAnsi"/>
          <w:sz w:val="20"/>
          <w:szCs w:val="20"/>
        </w:rPr>
        <w:t xml:space="preserve"> στρατηγικών οδηγεί </w:t>
      </w:r>
      <w:r w:rsidR="001C70A7" w:rsidRPr="00480C95">
        <w:rPr>
          <w:rFonts w:asciiTheme="majorHAnsi" w:hAnsiTheme="majorHAnsi"/>
          <w:sz w:val="20"/>
          <w:szCs w:val="20"/>
        </w:rPr>
        <w:t xml:space="preserve">σε </w:t>
      </w:r>
      <w:r w:rsidR="007167AE" w:rsidRPr="00480C95">
        <w:rPr>
          <w:rFonts w:asciiTheme="majorHAnsi" w:hAnsiTheme="majorHAnsi"/>
          <w:sz w:val="20"/>
          <w:szCs w:val="20"/>
        </w:rPr>
        <w:t>περίπτωση ασύμμετρης συμπληρωματικότητας</w:t>
      </w:r>
      <w:r w:rsidR="001C70A7" w:rsidRPr="00480C95">
        <w:rPr>
          <w:rFonts w:asciiTheme="majorHAnsi" w:hAnsiTheme="majorHAnsi"/>
          <w:sz w:val="20"/>
          <w:szCs w:val="20"/>
        </w:rPr>
        <w:t xml:space="preserve">. </w:t>
      </w:r>
      <w:r w:rsidR="009331F0" w:rsidRPr="00480C95">
        <w:rPr>
          <w:rFonts w:asciiTheme="majorHAnsi" w:hAnsiTheme="majorHAnsi"/>
          <w:sz w:val="20"/>
          <w:szCs w:val="20"/>
        </w:rPr>
        <w:t xml:space="preserve">Οι συγγραφείς συμπεραίνουν ότι </w:t>
      </w:r>
      <w:r w:rsidR="001C70A7" w:rsidRPr="00480C95">
        <w:rPr>
          <w:rFonts w:asciiTheme="majorHAnsi" w:hAnsiTheme="majorHAnsi"/>
          <w:sz w:val="20"/>
          <w:szCs w:val="20"/>
        </w:rPr>
        <w:t>«οι εταιρείες μπορούν να αυξήσουν την πιθανότητα να επιτύχουν υψηλότερ</w:t>
      </w:r>
      <w:r w:rsidR="008600A9" w:rsidRPr="00480C95">
        <w:rPr>
          <w:rFonts w:asciiTheme="majorHAnsi" w:hAnsiTheme="majorHAnsi"/>
          <w:sz w:val="20"/>
          <w:szCs w:val="20"/>
        </w:rPr>
        <w:t xml:space="preserve">η απόδοση </w:t>
      </w:r>
      <w:r w:rsidR="001C70A7" w:rsidRPr="00480C95">
        <w:rPr>
          <w:rFonts w:asciiTheme="majorHAnsi" w:hAnsiTheme="majorHAnsi"/>
          <w:sz w:val="20"/>
          <w:szCs w:val="20"/>
        </w:rPr>
        <w:t>συνδυάζοντας υψηλή στρατηγική προσανατολισμένη σε ρητή-εξωτερική γνώση με υψηλή στρατηγική προσανατολισμένη σε άρρητη-εσωτερική γνώση»</w:t>
      </w:r>
      <w:r w:rsidR="007167AE" w:rsidRPr="00480C95">
        <w:rPr>
          <w:rFonts w:asciiTheme="majorHAnsi" w:hAnsiTheme="majorHAnsi"/>
          <w:sz w:val="20"/>
          <w:szCs w:val="20"/>
        </w:rPr>
        <w:t>.</w:t>
      </w:r>
    </w:p>
    <w:p w14:paraId="3505F6D2" w14:textId="77777777" w:rsidR="00776C7E" w:rsidRPr="00552401" w:rsidRDefault="00776C7E" w:rsidP="00AE4C3C">
      <w:pPr>
        <w:jc w:val="both"/>
        <w:rPr>
          <w:rFonts w:asciiTheme="majorHAnsi" w:hAnsiTheme="majorHAnsi"/>
          <w:b/>
          <w:sz w:val="20"/>
          <w:szCs w:val="20"/>
        </w:rPr>
      </w:pPr>
      <w:r w:rsidRPr="00552401">
        <w:rPr>
          <w:rFonts w:asciiTheme="majorHAnsi" w:hAnsiTheme="majorHAnsi"/>
          <w:b/>
          <w:sz w:val="20"/>
          <w:szCs w:val="20"/>
        </w:rPr>
        <w:t>4. Συζήτηση του άρθρου στο πλαίσιο τ</w:t>
      </w:r>
      <w:r w:rsidR="005065AA" w:rsidRPr="00552401">
        <w:rPr>
          <w:rFonts w:asciiTheme="majorHAnsi" w:hAnsiTheme="majorHAnsi"/>
          <w:b/>
          <w:sz w:val="20"/>
          <w:szCs w:val="20"/>
        </w:rPr>
        <w:t>ης Διαχείρισης Γνώσης και τ</w:t>
      </w:r>
      <w:r w:rsidRPr="00552401">
        <w:rPr>
          <w:rFonts w:asciiTheme="majorHAnsi" w:hAnsiTheme="majorHAnsi"/>
          <w:b/>
          <w:sz w:val="20"/>
          <w:szCs w:val="20"/>
        </w:rPr>
        <w:t xml:space="preserve">ου μαθήματος </w:t>
      </w:r>
    </w:p>
    <w:p w14:paraId="40DA9D8C" w14:textId="77777777" w:rsidR="00DD50FA" w:rsidRDefault="00776C7E" w:rsidP="00506F66">
      <w:pPr>
        <w:jc w:val="both"/>
        <w:rPr>
          <w:rFonts w:asciiTheme="majorHAnsi" w:hAnsiTheme="majorHAnsi"/>
          <w:sz w:val="20"/>
          <w:szCs w:val="20"/>
          <w:lang w:val="en-US"/>
        </w:rPr>
      </w:pPr>
      <w:r w:rsidRPr="00480C95">
        <w:rPr>
          <w:rFonts w:asciiTheme="majorHAnsi" w:hAnsiTheme="majorHAnsi"/>
          <w:sz w:val="20"/>
          <w:szCs w:val="20"/>
        </w:rPr>
        <w:t xml:space="preserve">Τα αποτελέσματα είναι χρήσιμα για εταιρείες που επιθυμούν να </w:t>
      </w:r>
      <w:r w:rsidR="009331F0" w:rsidRPr="00480C95">
        <w:rPr>
          <w:rFonts w:asciiTheme="majorHAnsi" w:hAnsiTheme="majorHAnsi"/>
          <w:sz w:val="20"/>
          <w:szCs w:val="20"/>
        </w:rPr>
        <w:t xml:space="preserve">επιλέξουν </w:t>
      </w:r>
      <w:r w:rsidRPr="00480C95">
        <w:rPr>
          <w:rFonts w:asciiTheme="majorHAnsi" w:hAnsiTheme="majorHAnsi"/>
          <w:sz w:val="20"/>
          <w:szCs w:val="20"/>
        </w:rPr>
        <w:t xml:space="preserve">ποιες στρατηγικές </w:t>
      </w:r>
      <w:r w:rsidRPr="00480C95">
        <w:rPr>
          <w:rFonts w:asciiTheme="majorHAnsi" w:hAnsiTheme="majorHAnsi"/>
          <w:sz w:val="20"/>
          <w:szCs w:val="20"/>
          <w:lang w:val="en-US"/>
        </w:rPr>
        <w:t>KM</w:t>
      </w:r>
      <w:r w:rsidRPr="00480C95">
        <w:rPr>
          <w:rFonts w:asciiTheme="majorHAnsi" w:hAnsiTheme="majorHAnsi"/>
          <w:sz w:val="20"/>
          <w:szCs w:val="20"/>
        </w:rPr>
        <w:t xml:space="preserve"> θα υιοθετήσουν. Είναι ενδιαφέρον</w:t>
      </w:r>
      <w:r w:rsidR="009331F0" w:rsidRPr="00480C95">
        <w:rPr>
          <w:rFonts w:asciiTheme="majorHAnsi" w:hAnsiTheme="majorHAnsi"/>
          <w:sz w:val="20"/>
          <w:szCs w:val="20"/>
        </w:rPr>
        <w:t>/</w:t>
      </w:r>
      <w:r w:rsidRPr="00480C95">
        <w:rPr>
          <w:rFonts w:asciiTheme="majorHAnsi" w:hAnsiTheme="majorHAnsi"/>
          <w:sz w:val="20"/>
          <w:szCs w:val="20"/>
        </w:rPr>
        <w:t xml:space="preserve">«παράδοξο» το ότι στρατηγικές </w:t>
      </w:r>
      <w:r w:rsidR="00552401">
        <w:rPr>
          <w:rFonts w:asciiTheme="majorHAnsi" w:hAnsiTheme="majorHAnsi"/>
          <w:sz w:val="20"/>
          <w:szCs w:val="20"/>
        </w:rPr>
        <w:t xml:space="preserve">διαχείρισης </w:t>
      </w:r>
      <w:r w:rsidRPr="00480C95">
        <w:rPr>
          <w:rFonts w:asciiTheme="majorHAnsi" w:hAnsiTheme="majorHAnsi"/>
          <w:sz w:val="20"/>
          <w:szCs w:val="20"/>
        </w:rPr>
        <w:t>άρρητη</w:t>
      </w:r>
      <w:r w:rsidR="00552401">
        <w:rPr>
          <w:rFonts w:asciiTheme="majorHAnsi" w:hAnsiTheme="majorHAnsi"/>
          <w:sz w:val="20"/>
          <w:szCs w:val="20"/>
        </w:rPr>
        <w:t>ς</w:t>
      </w:r>
      <w:r w:rsidRPr="00480C95">
        <w:rPr>
          <w:rFonts w:asciiTheme="majorHAnsi" w:hAnsiTheme="majorHAnsi"/>
          <w:sz w:val="20"/>
          <w:szCs w:val="20"/>
        </w:rPr>
        <w:t xml:space="preserve"> γνώση</w:t>
      </w:r>
      <w:r w:rsidR="00552401">
        <w:rPr>
          <w:rFonts w:asciiTheme="majorHAnsi" w:hAnsiTheme="majorHAnsi"/>
          <w:sz w:val="20"/>
          <w:szCs w:val="20"/>
        </w:rPr>
        <w:t>ς</w:t>
      </w:r>
      <w:r w:rsidRPr="00480C95">
        <w:rPr>
          <w:rFonts w:asciiTheme="majorHAnsi" w:hAnsiTheme="majorHAnsi"/>
          <w:sz w:val="20"/>
          <w:szCs w:val="20"/>
        </w:rPr>
        <w:t xml:space="preserve"> (</w:t>
      </w:r>
      <w:r w:rsidRPr="00480C95">
        <w:rPr>
          <w:rFonts w:asciiTheme="majorHAnsi" w:hAnsiTheme="majorHAnsi"/>
          <w:sz w:val="20"/>
          <w:szCs w:val="20"/>
          <w:lang w:val="en-US"/>
        </w:rPr>
        <w:t>tacit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oriented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strategies</w:t>
      </w:r>
      <w:r w:rsidRPr="00480C95">
        <w:rPr>
          <w:rFonts w:asciiTheme="majorHAnsi" w:hAnsiTheme="majorHAnsi"/>
          <w:sz w:val="20"/>
          <w:szCs w:val="20"/>
        </w:rPr>
        <w:t xml:space="preserve">) δε φαίνεται να συμβάλλουν πολύ στην </w:t>
      </w:r>
      <w:proofErr w:type="spellStart"/>
      <w:r w:rsidRPr="00480C95">
        <w:rPr>
          <w:rFonts w:asciiTheme="majorHAnsi" w:hAnsiTheme="majorHAnsi"/>
          <w:sz w:val="20"/>
          <w:szCs w:val="20"/>
        </w:rPr>
        <w:t>οργανωσιακή</w:t>
      </w:r>
      <w:proofErr w:type="spellEnd"/>
      <w:r w:rsidRPr="00480C95">
        <w:rPr>
          <w:rFonts w:asciiTheme="majorHAnsi" w:hAnsiTheme="majorHAnsi"/>
          <w:sz w:val="20"/>
          <w:szCs w:val="20"/>
        </w:rPr>
        <w:t xml:space="preserve"> απόδοση και, επιπλέον,  ότι δεν είναι συμπληρωματικές με στρατηγικές </w:t>
      </w:r>
      <w:r w:rsidR="00552401">
        <w:rPr>
          <w:rFonts w:asciiTheme="majorHAnsi" w:hAnsiTheme="majorHAnsi"/>
          <w:sz w:val="20"/>
          <w:szCs w:val="20"/>
        </w:rPr>
        <w:t xml:space="preserve">διαχείρισης </w:t>
      </w:r>
      <w:r w:rsidRPr="00480C95">
        <w:rPr>
          <w:rFonts w:asciiTheme="majorHAnsi" w:hAnsiTheme="majorHAnsi"/>
          <w:sz w:val="20"/>
          <w:szCs w:val="20"/>
        </w:rPr>
        <w:t>ρητή</w:t>
      </w:r>
      <w:r w:rsidR="00552401">
        <w:rPr>
          <w:rFonts w:asciiTheme="majorHAnsi" w:hAnsiTheme="majorHAnsi"/>
          <w:sz w:val="20"/>
          <w:szCs w:val="20"/>
        </w:rPr>
        <w:t>ς</w:t>
      </w:r>
      <w:r w:rsidRPr="00480C95">
        <w:rPr>
          <w:rFonts w:asciiTheme="majorHAnsi" w:hAnsiTheme="majorHAnsi"/>
          <w:sz w:val="20"/>
          <w:szCs w:val="20"/>
        </w:rPr>
        <w:t xml:space="preserve"> γνώση</w:t>
      </w:r>
      <w:r w:rsidR="00552401">
        <w:rPr>
          <w:rFonts w:asciiTheme="majorHAnsi" w:hAnsiTheme="majorHAnsi"/>
          <w:sz w:val="20"/>
          <w:szCs w:val="20"/>
        </w:rPr>
        <w:t>ς</w:t>
      </w:r>
      <w:r w:rsidRPr="00480C95">
        <w:rPr>
          <w:rFonts w:asciiTheme="majorHAnsi" w:hAnsiTheme="majorHAnsi"/>
          <w:sz w:val="20"/>
          <w:szCs w:val="20"/>
        </w:rPr>
        <w:t xml:space="preserve"> (</w:t>
      </w:r>
      <w:r w:rsidRPr="00480C95">
        <w:rPr>
          <w:rFonts w:asciiTheme="majorHAnsi" w:hAnsiTheme="majorHAnsi"/>
          <w:sz w:val="20"/>
          <w:szCs w:val="20"/>
          <w:lang w:val="en-US"/>
        </w:rPr>
        <w:t>explicit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oriented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strategies</w:t>
      </w:r>
      <w:r w:rsidRPr="00480C95">
        <w:rPr>
          <w:rFonts w:asciiTheme="majorHAnsi" w:hAnsiTheme="majorHAnsi"/>
          <w:sz w:val="20"/>
          <w:szCs w:val="20"/>
        </w:rPr>
        <w:t xml:space="preserve">). </w:t>
      </w:r>
      <w:r w:rsidR="00552401">
        <w:rPr>
          <w:rFonts w:asciiTheme="majorHAnsi" w:hAnsiTheme="majorHAnsi"/>
          <w:sz w:val="20"/>
          <w:szCs w:val="20"/>
        </w:rPr>
        <w:t xml:space="preserve">Οι συγγραφείς εκτιμούν ότι </w:t>
      </w:r>
      <w:r w:rsidRPr="00480C95">
        <w:rPr>
          <w:rFonts w:asciiTheme="majorHAnsi" w:hAnsiTheme="majorHAnsi"/>
          <w:sz w:val="20"/>
          <w:szCs w:val="20"/>
        </w:rPr>
        <w:t>μπορεί να οφείλεται στο γεγονός ότι συχνά οι δύο στρατηγικές (</w:t>
      </w:r>
      <w:r w:rsidRPr="00480C95">
        <w:rPr>
          <w:rFonts w:asciiTheme="majorHAnsi" w:hAnsiTheme="majorHAnsi"/>
          <w:sz w:val="20"/>
          <w:szCs w:val="20"/>
          <w:lang w:val="en-US"/>
        </w:rPr>
        <w:t>tacit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oriented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and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explicit</w:t>
      </w:r>
      <w:r w:rsidRPr="00480C95">
        <w:rPr>
          <w:rFonts w:asciiTheme="majorHAnsi" w:hAnsiTheme="majorHAnsi"/>
          <w:sz w:val="20"/>
          <w:szCs w:val="20"/>
        </w:rPr>
        <w:t>-</w:t>
      </w:r>
      <w:r w:rsidRPr="00480C95">
        <w:rPr>
          <w:rFonts w:asciiTheme="majorHAnsi" w:hAnsiTheme="majorHAnsi"/>
          <w:sz w:val="20"/>
          <w:szCs w:val="20"/>
          <w:lang w:val="en-US"/>
        </w:rPr>
        <w:t>oriented</w:t>
      </w:r>
      <w:r w:rsidRPr="00480C95">
        <w:rPr>
          <w:rFonts w:asciiTheme="majorHAnsi" w:hAnsiTheme="majorHAnsi"/>
          <w:sz w:val="20"/>
          <w:szCs w:val="20"/>
        </w:rPr>
        <w:t>) χρησιμοποιούν «αντι</w:t>
      </w:r>
      <w:r w:rsidR="005065AA" w:rsidRPr="00480C95">
        <w:rPr>
          <w:rFonts w:asciiTheme="majorHAnsi" w:hAnsiTheme="majorHAnsi"/>
          <w:sz w:val="20"/>
          <w:szCs w:val="20"/>
        </w:rPr>
        <w:t>κρουόμενες</w:t>
      </w:r>
      <w:r w:rsidRPr="00480C95">
        <w:rPr>
          <w:rFonts w:asciiTheme="majorHAnsi" w:hAnsiTheme="majorHAnsi"/>
          <w:sz w:val="20"/>
          <w:szCs w:val="20"/>
        </w:rPr>
        <w:t>» μεθόδους (</w:t>
      </w:r>
      <w:r w:rsidRPr="00480C95">
        <w:rPr>
          <w:rFonts w:asciiTheme="majorHAnsi" w:hAnsiTheme="majorHAnsi"/>
          <w:sz w:val="20"/>
          <w:szCs w:val="20"/>
          <w:lang w:val="en-US"/>
        </w:rPr>
        <w:t>contradictory</w:t>
      </w:r>
      <w:r w:rsidRPr="00480C95">
        <w:rPr>
          <w:rFonts w:asciiTheme="majorHAnsi" w:hAnsiTheme="majorHAnsi"/>
          <w:sz w:val="20"/>
          <w:szCs w:val="20"/>
        </w:rPr>
        <w:t xml:space="preserve"> </w:t>
      </w:r>
      <w:r w:rsidRPr="00480C95">
        <w:rPr>
          <w:rFonts w:asciiTheme="majorHAnsi" w:hAnsiTheme="majorHAnsi"/>
          <w:sz w:val="20"/>
          <w:szCs w:val="20"/>
          <w:lang w:val="en-US"/>
        </w:rPr>
        <w:t>methods</w:t>
      </w:r>
      <w:r w:rsidRPr="00480C95">
        <w:rPr>
          <w:rFonts w:asciiTheme="majorHAnsi" w:hAnsiTheme="majorHAnsi"/>
          <w:sz w:val="20"/>
          <w:szCs w:val="20"/>
        </w:rPr>
        <w:t>)</w:t>
      </w:r>
      <w:r w:rsidR="009331F0" w:rsidRPr="00480C95">
        <w:rPr>
          <w:rFonts w:asciiTheme="majorHAnsi" w:hAnsiTheme="majorHAnsi"/>
          <w:sz w:val="20"/>
          <w:szCs w:val="20"/>
        </w:rPr>
        <w:t xml:space="preserve"> (</w:t>
      </w:r>
      <w:r w:rsidRPr="00480C95">
        <w:rPr>
          <w:rFonts w:asciiTheme="majorHAnsi" w:hAnsiTheme="majorHAnsi"/>
          <w:sz w:val="20"/>
          <w:szCs w:val="20"/>
        </w:rPr>
        <w:t>σελ. 246)</w:t>
      </w:r>
      <w:r w:rsidR="00C15448">
        <w:rPr>
          <w:rFonts w:asciiTheme="majorHAnsi" w:hAnsiTheme="majorHAnsi"/>
          <w:sz w:val="20"/>
          <w:szCs w:val="20"/>
        </w:rPr>
        <w:t xml:space="preserve">. Μπορεί, επίσης, να οφείλεται στη </w:t>
      </w:r>
      <w:r w:rsidRPr="00480C95">
        <w:rPr>
          <w:rFonts w:asciiTheme="majorHAnsi" w:hAnsiTheme="majorHAnsi"/>
          <w:sz w:val="20"/>
          <w:szCs w:val="20"/>
        </w:rPr>
        <w:t xml:space="preserve">γενική δυσκολία </w:t>
      </w:r>
      <w:r w:rsidR="005065AA" w:rsidRPr="00480C95">
        <w:rPr>
          <w:rFonts w:asciiTheme="majorHAnsi" w:hAnsiTheme="majorHAnsi"/>
          <w:sz w:val="20"/>
          <w:szCs w:val="20"/>
        </w:rPr>
        <w:t xml:space="preserve">να εντοπιστεί η άρρητη </w:t>
      </w:r>
      <w:r w:rsidRPr="00480C95">
        <w:rPr>
          <w:rFonts w:asciiTheme="majorHAnsi" w:hAnsiTheme="majorHAnsi"/>
          <w:sz w:val="20"/>
          <w:szCs w:val="20"/>
        </w:rPr>
        <w:t xml:space="preserve">γνώση. </w:t>
      </w:r>
      <w:r w:rsidR="00C15448">
        <w:rPr>
          <w:rFonts w:asciiTheme="majorHAnsi" w:hAnsiTheme="majorHAnsi"/>
          <w:sz w:val="20"/>
          <w:szCs w:val="20"/>
        </w:rPr>
        <w:t>Τέλος, θ</w:t>
      </w:r>
      <w:r w:rsidRPr="00480C95">
        <w:rPr>
          <w:rFonts w:asciiTheme="majorHAnsi" w:hAnsiTheme="majorHAnsi"/>
          <w:sz w:val="20"/>
          <w:szCs w:val="20"/>
        </w:rPr>
        <w:t xml:space="preserve">α ήταν χρήσιμο να </w:t>
      </w:r>
      <w:r w:rsidR="009331F0" w:rsidRPr="00480C95">
        <w:rPr>
          <w:rFonts w:asciiTheme="majorHAnsi" w:hAnsiTheme="majorHAnsi"/>
          <w:sz w:val="20"/>
          <w:szCs w:val="20"/>
        </w:rPr>
        <w:t xml:space="preserve">μελετηθεί </w:t>
      </w:r>
      <w:r w:rsidRPr="00480C95">
        <w:rPr>
          <w:rFonts w:asciiTheme="majorHAnsi" w:hAnsiTheme="majorHAnsi"/>
          <w:sz w:val="20"/>
          <w:szCs w:val="20"/>
        </w:rPr>
        <w:t>δείγμα εταιρειών από όλο τον κόσμο</w:t>
      </w:r>
      <w:r w:rsidR="00552401">
        <w:rPr>
          <w:rFonts w:asciiTheme="majorHAnsi" w:hAnsiTheme="majorHAnsi"/>
          <w:sz w:val="20"/>
          <w:szCs w:val="20"/>
        </w:rPr>
        <w:t xml:space="preserve"> αλλά και </w:t>
      </w:r>
      <w:r w:rsidRPr="00480C95">
        <w:rPr>
          <w:rFonts w:asciiTheme="majorHAnsi" w:hAnsiTheme="majorHAnsi"/>
          <w:sz w:val="20"/>
          <w:szCs w:val="20"/>
        </w:rPr>
        <w:t xml:space="preserve">εταιρείες </w:t>
      </w:r>
      <w:r w:rsidR="00552401">
        <w:rPr>
          <w:rFonts w:asciiTheme="majorHAnsi" w:hAnsiTheme="majorHAnsi"/>
          <w:sz w:val="20"/>
          <w:szCs w:val="20"/>
        </w:rPr>
        <w:t xml:space="preserve">που χρησιμοποιούν με επιτυχία την </w:t>
      </w:r>
      <w:r w:rsidR="005065AA" w:rsidRPr="00480C95">
        <w:rPr>
          <w:rFonts w:asciiTheme="majorHAnsi" w:hAnsiTheme="majorHAnsi"/>
          <w:sz w:val="20"/>
          <w:szCs w:val="20"/>
        </w:rPr>
        <w:t>άρρητη γνώση</w:t>
      </w:r>
      <w:r w:rsidR="009331F0" w:rsidRPr="00480C95">
        <w:rPr>
          <w:rFonts w:asciiTheme="majorHAnsi" w:hAnsiTheme="majorHAnsi"/>
          <w:sz w:val="20"/>
          <w:szCs w:val="20"/>
        </w:rPr>
        <w:t xml:space="preserve">.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098"/>
        <w:gridCol w:w="2835"/>
      </w:tblGrid>
      <w:tr w:rsidR="00571D39" w:rsidRPr="00480C95" w14:paraId="7951C1F5" w14:textId="77777777" w:rsidTr="003F314D">
        <w:tc>
          <w:tcPr>
            <w:tcW w:w="5098" w:type="dxa"/>
          </w:tcPr>
          <w:p w14:paraId="1DDAD3BC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bookmarkStart w:id="0" w:name="_GoBack"/>
            <w:bookmarkEnd w:id="0"/>
            <w:r w:rsidRPr="00571D39">
              <w:rPr>
                <w:rFonts w:asciiTheme="majorHAnsi" w:hAnsiTheme="majorHAnsi"/>
                <w:sz w:val="18"/>
                <w:szCs w:val="18"/>
              </w:rPr>
              <w:t>Στρατηγικές</w:t>
            </w:r>
          </w:p>
        </w:tc>
        <w:tc>
          <w:tcPr>
            <w:tcW w:w="2835" w:type="dxa"/>
          </w:tcPr>
          <w:p w14:paraId="6EF99EE6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</w:rPr>
              <w:t>Υποκατηγορίες</w:t>
            </w:r>
          </w:p>
        </w:tc>
      </w:tr>
      <w:tr w:rsidR="00571D39" w:rsidRPr="00480C95" w14:paraId="4156C509" w14:textId="77777777" w:rsidTr="003F314D">
        <w:tc>
          <w:tcPr>
            <w:tcW w:w="5098" w:type="dxa"/>
            <w:vMerge w:val="restart"/>
          </w:tcPr>
          <w:p w14:paraId="508ABD21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KM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focus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>. Στρατηγικές προσανατολισμένες  Εσωτερικά στον Οργανισμό –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tacit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explicit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–</w:t>
            </w:r>
          </w:p>
        </w:tc>
        <w:tc>
          <w:tcPr>
            <w:tcW w:w="2835" w:type="dxa"/>
          </w:tcPr>
          <w:p w14:paraId="75866ED5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</w:rPr>
              <w:t xml:space="preserve">1.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explicit-oriented strategies</w:t>
            </w:r>
          </w:p>
        </w:tc>
      </w:tr>
      <w:tr w:rsidR="00571D39" w:rsidRPr="00480C95" w14:paraId="5AE48209" w14:textId="77777777" w:rsidTr="003F314D">
        <w:tc>
          <w:tcPr>
            <w:tcW w:w="5098" w:type="dxa"/>
            <w:vMerge/>
            <w:tcBorders>
              <w:bottom w:val="single" w:sz="4" w:space="0" w:color="auto"/>
            </w:tcBorders>
          </w:tcPr>
          <w:p w14:paraId="38D1B439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FFBD342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</w:rPr>
              <w:t xml:space="preserve">2.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tacit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>-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oriented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strategies</w:t>
            </w:r>
          </w:p>
        </w:tc>
      </w:tr>
      <w:tr w:rsidR="00571D39" w:rsidRPr="00480C95" w14:paraId="75EBAAC2" w14:textId="77777777" w:rsidTr="003F314D">
        <w:tc>
          <w:tcPr>
            <w:tcW w:w="5098" w:type="dxa"/>
            <w:vMerge w:val="restart"/>
            <w:tcBorders>
              <w:top w:val="single" w:sz="4" w:space="0" w:color="auto"/>
            </w:tcBorders>
          </w:tcPr>
          <w:p w14:paraId="0B5D852A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KM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source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. Στρατηγικές προσανατολισμένες σε Πηγή –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external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.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Internal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–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DCA5355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</w:rPr>
              <w:t xml:space="preserve">3.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external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>-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oriented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strategies</w:t>
            </w:r>
          </w:p>
        </w:tc>
      </w:tr>
      <w:tr w:rsidR="00571D39" w:rsidRPr="00480C95" w14:paraId="0C3F4CD8" w14:textId="77777777" w:rsidTr="003F314D">
        <w:tc>
          <w:tcPr>
            <w:tcW w:w="5098" w:type="dxa"/>
            <w:vMerge/>
          </w:tcPr>
          <w:p w14:paraId="6D02CE3C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1FAEB415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</w:rPr>
              <w:t xml:space="preserve">4,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internal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>-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oriented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strategies</w:t>
            </w:r>
          </w:p>
        </w:tc>
      </w:tr>
    </w:tbl>
    <w:p w14:paraId="7373AB52" w14:textId="77777777" w:rsidR="00571D39" w:rsidRDefault="00571D39" w:rsidP="00506F66">
      <w:pPr>
        <w:jc w:val="both"/>
        <w:rPr>
          <w:rFonts w:asciiTheme="majorHAnsi" w:hAnsiTheme="majorHAnsi"/>
          <w:sz w:val="20"/>
          <w:szCs w:val="20"/>
          <w:lang w:val="en-US"/>
        </w:rPr>
      </w:pPr>
      <w:r w:rsidRPr="00480C95">
        <w:rPr>
          <w:rFonts w:asciiTheme="majorHAnsi" w:hAnsiTheme="majorHAnsi"/>
          <w:sz w:val="20"/>
          <w:szCs w:val="20"/>
        </w:rPr>
        <w:t>Πίνακας 1. Κατηγοριοποίηση στρατηγικών διαχείρισης γνώσης</w:t>
      </w:r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1418"/>
        <w:gridCol w:w="2126"/>
      </w:tblGrid>
      <w:tr w:rsidR="00571D39" w:rsidRPr="00480C95" w14:paraId="7CFEE085" w14:textId="77777777" w:rsidTr="003F314D">
        <w:tc>
          <w:tcPr>
            <w:tcW w:w="1271" w:type="dxa"/>
          </w:tcPr>
          <w:p w14:paraId="3780531D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Strategy</w:t>
            </w:r>
          </w:p>
        </w:tc>
        <w:tc>
          <w:tcPr>
            <w:tcW w:w="3260" w:type="dxa"/>
          </w:tcPr>
          <w:p w14:paraId="51014FC8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Strategy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>-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subcategories</w:t>
            </w:r>
          </w:p>
        </w:tc>
        <w:tc>
          <w:tcPr>
            <w:tcW w:w="1418" w:type="dxa"/>
          </w:tcPr>
          <w:p w14:paraId="3A5E9A1A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organizational performance</w:t>
            </w:r>
          </w:p>
        </w:tc>
        <w:tc>
          <w:tcPr>
            <w:tcW w:w="2126" w:type="dxa"/>
          </w:tcPr>
          <w:p w14:paraId="5A4AA73E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Results</w:t>
            </w:r>
          </w:p>
        </w:tc>
      </w:tr>
      <w:tr w:rsidR="00571D39" w:rsidRPr="00480C95" w14:paraId="0A8663E2" w14:textId="77777777" w:rsidTr="003F314D">
        <w:tc>
          <w:tcPr>
            <w:tcW w:w="1271" w:type="dxa"/>
            <w:vMerge w:val="restart"/>
          </w:tcPr>
          <w:p w14:paraId="58F836D7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KM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focus</w:t>
            </w:r>
          </w:p>
        </w:tc>
        <w:tc>
          <w:tcPr>
            <w:tcW w:w="3260" w:type="dxa"/>
          </w:tcPr>
          <w:p w14:paraId="455CBEEE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explicit-oriented strategies</w:t>
            </w:r>
          </w:p>
        </w:tc>
        <w:tc>
          <w:tcPr>
            <w:tcW w:w="1418" w:type="dxa"/>
          </w:tcPr>
          <w:p w14:paraId="12158EB9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Increase </w:t>
            </w:r>
          </w:p>
        </w:tc>
        <w:tc>
          <w:tcPr>
            <w:tcW w:w="2126" w:type="dxa"/>
          </w:tcPr>
          <w:p w14:paraId="60111603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571D39" w:rsidRPr="00480C95" w14:paraId="437F232F" w14:textId="77777777" w:rsidTr="003F314D">
        <w:tc>
          <w:tcPr>
            <w:tcW w:w="1271" w:type="dxa"/>
            <w:vMerge/>
          </w:tcPr>
          <w:p w14:paraId="60B29311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DC0D555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tacit-oriented strategies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C4F5C5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Decrease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41562E2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571D39" w:rsidRPr="00480C95" w14:paraId="32392164" w14:textId="77777777" w:rsidTr="003F314D"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7F75ACEB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077B452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combination of explicit-tacit--oriented strategies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B4D9EDB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Decrease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BD41512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non-complementary</w:t>
            </w:r>
          </w:p>
        </w:tc>
      </w:tr>
      <w:tr w:rsidR="00571D39" w:rsidRPr="00480C95" w14:paraId="12A262C7" w14:textId="77777777" w:rsidTr="003F314D">
        <w:tc>
          <w:tcPr>
            <w:tcW w:w="1271" w:type="dxa"/>
            <w:vMerge w:val="restart"/>
            <w:tcBorders>
              <w:top w:val="single" w:sz="4" w:space="0" w:color="auto"/>
            </w:tcBorders>
          </w:tcPr>
          <w:p w14:paraId="54C2C89A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KM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source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F969C87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external-oriented strategies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FFFC60D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Increase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25DC6D9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571D39" w:rsidRPr="00480C95" w14:paraId="6E7BBC07" w14:textId="77777777" w:rsidTr="003F314D">
        <w:tc>
          <w:tcPr>
            <w:tcW w:w="1271" w:type="dxa"/>
            <w:vMerge/>
          </w:tcPr>
          <w:p w14:paraId="7AB42E27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6D5B8168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internal-oriented strategies</w:t>
            </w:r>
          </w:p>
        </w:tc>
        <w:tc>
          <w:tcPr>
            <w:tcW w:w="1418" w:type="dxa"/>
          </w:tcPr>
          <w:p w14:paraId="6A805AB4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Increase</w:t>
            </w:r>
          </w:p>
        </w:tc>
        <w:tc>
          <w:tcPr>
            <w:tcW w:w="2126" w:type="dxa"/>
          </w:tcPr>
          <w:p w14:paraId="5924A932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</w:tr>
      <w:tr w:rsidR="00571D39" w:rsidRPr="00480C95" w14:paraId="127F955A" w14:textId="77777777" w:rsidTr="003F314D">
        <w:tc>
          <w:tcPr>
            <w:tcW w:w="1271" w:type="dxa"/>
            <w:vMerge/>
          </w:tcPr>
          <w:p w14:paraId="1BE942B8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5EB14F27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combination of external- internal-oriented strategies</w:t>
            </w:r>
          </w:p>
        </w:tc>
        <w:tc>
          <w:tcPr>
            <w:tcW w:w="1418" w:type="dxa"/>
          </w:tcPr>
          <w:p w14:paraId="533681DB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Increase</w:t>
            </w:r>
          </w:p>
        </w:tc>
        <w:tc>
          <w:tcPr>
            <w:tcW w:w="2126" w:type="dxa"/>
          </w:tcPr>
          <w:p w14:paraId="6D207D9B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non-critical symmetric complementarity</w:t>
            </w:r>
          </w:p>
        </w:tc>
      </w:tr>
      <w:tr w:rsidR="00571D39" w:rsidRPr="00480C95" w14:paraId="3966D2B4" w14:textId="77777777" w:rsidTr="003F314D">
        <w:trPr>
          <w:trHeight w:val="573"/>
        </w:trPr>
        <w:tc>
          <w:tcPr>
            <w:tcW w:w="1271" w:type="dxa"/>
          </w:tcPr>
          <w:p w14:paraId="439162DB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KM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focus &amp; KM</w:t>
            </w:r>
            <w:r w:rsidRPr="00571D3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>source</w:t>
            </w:r>
          </w:p>
        </w:tc>
        <w:tc>
          <w:tcPr>
            <w:tcW w:w="3260" w:type="dxa"/>
          </w:tcPr>
          <w:p w14:paraId="3B8A3823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Combination  explicit-external-oriented  tacit-internal-oriented  </w:t>
            </w:r>
          </w:p>
        </w:tc>
        <w:tc>
          <w:tcPr>
            <w:tcW w:w="1418" w:type="dxa"/>
          </w:tcPr>
          <w:p w14:paraId="4098629E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10C2150" w14:textId="77777777" w:rsidR="00571D39" w:rsidRPr="00571D39" w:rsidRDefault="00571D39" w:rsidP="003F314D">
            <w:pPr>
              <w:jc w:val="bot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571D39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asymmetric complementarity</w:t>
            </w:r>
          </w:p>
        </w:tc>
      </w:tr>
    </w:tbl>
    <w:p w14:paraId="38AE18A9" w14:textId="77777777" w:rsidR="00571D39" w:rsidRPr="00571D39" w:rsidRDefault="00571D39" w:rsidP="00506F66">
      <w:pPr>
        <w:jc w:val="both"/>
        <w:rPr>
          <w:rFonts w:asciiTheme="majorHAnsi" w:hAnsiTheme="majorHAnsi"/>
          <w:sz w:val="20"/>
          <w:szCs w:val="20"/>
          <w:lang w:val="en-US"/>
        </w:rPr>
      </w:pPr>
      <w:r w:rsidRPr="00480C95">
        <w:rPr>
          <w:rFonts w:asciiTheme="majorHAnsi" w:hAnsiTheme="majorHAnsi"/>
          <w:sz w:val="20"/>
          <w:szCs w:val="20"/>
        </w:rPr>
        <w:t>Πίνακας 2. Συμπληρωματικότητα στρατηγικών</w:t>
      </w:r>
    </w:p>
    <w:sectPr w:rsidR="00571D39" w:rsidRPr="00571D39" w:rsidSect="003806F6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06755" w14:textId="77777777" w:rsidR="000F4B2B" w:rsidRDefault="000F4B2B" w:rsidP="00327FE8">
      <w:pPr>
        <w:spacing w:after="0" w:line="240" w:lineRule="auto"/>
      </w:pPr>
      <w:r>
        <w:separator/>
      </w:r>
    </w:p>
  </w:endnote>
  <w:endnote w:type="continuationSeparator" w:id="0">
    <w:p w14:paraId="690193EF" w14:textId="77777777" w:rsidR="000F4B2B" w:rsidRDefault="000F4B2B" w:rsidP="0032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221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6E97D" w14:textId="77777777" w:rsidR="00327FE8" w:rsidRDefault="00A25C77">
        <w:pPr>
          <w:pStyle w:val="Footer"/>
          <w:jc w:val="center"/>
        </w:pPr>
        <w:r>
          <w:fldChar w:fldCharType="begin"/>
        </w:r>
        <w:r w:rsidR="00327FE8">
          <w:instrText xml:space="preserve"> PAGE   \* MERGEFORMAT </w:instrText>
        </w:r>
        <w:r>
          <w:fldChar w:fldCharType="separate"/>
        </w:r>
        <w:r w:rsidR="008C54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9813BD" w14:textId="77777777" w:rsidR="00327FE8" w:rsidRDefault="00327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4D9FF" w14:textId="77777777" w:rsidR="000F4B2B" w:rsidRDefault="000F4B2B" w:rsidP="00327FE8">
      <w:pPr>
        <w:spacing w:after="0" w:line="240" w:lineRule="auto"/>
      </w:pPr>
      <w:r>
        <w:separator/>
      </w:r>
    </w:p>
  </w:footnote>
  <w:footnote w:type="continuationSeparator" w:id="0">
    <w:p w14:paraId="0ADBC963" w14:textId="77777777" w:rsidR="000F4B2B" w:rsidRDefault="000F4B2B" w:rsidP="00327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60C1"/>
    <w:multiLevelType w:val="multilevel"/>
    <w:tmpl w:val="1FEE6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9561A4"/>
    <w:multiLevelType w:val="hybridMultilevel"/>
    <w:tmpl w:val="4552E6F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C58C1"/>
    <w:multiLevelType w:val="hybridMultilevel"/>
    <w:tmpl w:val="E734743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16322"/>
    <w:multiLevelType w:val="multilevel"/>
    <w:tmpl w:val="457C2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E607ABC"/>
    <w:multiLevelType w:val="hybridMultilevel"/>
    <w:tmpl w:val="8F145C3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E39AA"/>
    <w:multiLevelType w:val="multilevel"/>
    <w:tmpl w:val="E27AE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0630B"/>
    <w:multiLevelType w:val="hybridMultilevel"/>
    <w:tmpl w:val="548E2A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8E"/>
    <w:rsid w:val="00001842"/>
    <w:rsid w:val="00065762"/>
    <w:rsid w:val="00082D98"/>
    <w:rsid w:val="000900CD"/>
    <w:rsid w:val="000B09CE"/>
    <w:rsid w:val="000B39A7"/>
    <w:rsid w:val="000B68EE"/>
    <w:rsid w:val="000C32B3"/>
    <w:rsid w:val="000C58D7"/>
    <w:rsid w:val="000D21FB"/>
    <w:rsid w:val="000D7406"/>
    <w:rsid w:val="000F4B2B"/>
    <w:rsid w:val="0010778C"/>
    <w:rsid w:val="0012330F"/>
    <w:rsid w:val="0013717F"/>
    <w:rsid w:val="001446F0"/>
    <w:rsid w:val="001527C1"/>
    <w:rsid w:val="00166114"/>
    <w:rsid w:val="00167611"/>
    <w:rsid w:val="00173EC6"/>
    <w:rsid w:val="001A597C"/>
    <w:rsid w:val="001B02FB"/>
    <w:rsid w:val="001B7D33"/>
    <w:rsid w:val="001C3641"/>
    <w:rsid w:val="001C70A7"/>
    <w:rsid w:val="001E6E8B"/>
    <w:rsid w:val="00201CC0"/>
    <w:rsid w:val="00243382"/>
    <w:rsid w:val="0026266C"/>
    <w:rsid w:val="00294E30"/>
    <w:rsid w:val="002B5C73"/>
    <w:rsid w:val="00304D36"/>
    <w:rsid w:val="00313802"/>
    <w:rsid w:val="00327A4B"/>
    <w:rsid w:val="00327FE8"/>
    <w:rsid w:val="00337609"/>
    <w:rsid w:val="00350BF2"/>
    <w:rsid w:val="003806F6"/>
    <w:rsid w:val="00392044"/>
    <w:rsid w:val="003A0A38"/>
    <w:rsid w:val="003B47B6"/>
    <w:rsid w:val="003B621C"/>
    <w:rsid w:val="0040016B"/>
    <w:rsid w:val="00431788"/>
    <w:rsid w:val="0043610A"/>
    <w:rsid w:val="00444237"/>
    <w:rsid w:val="00472C5B"/>
    <w:rsid w:val="00480C95"/>
    <w:rsid w:val="004C2FED"/>
    <w:rsid w:val="004D367F"/>
    <w:rsid w:val="004F638A"/>
    <w:rsid w:val="005065AA"/>
    <w:rsid w:val="00506F66"/>
    <w:rsid w:val="00507F74"/>
    <w:rsid w:val="005142D6"/>
    <w:rsid w:val="00525D86"/>
    <w:rsid w:val="00531CF3"/>
    <w:rsid w:val="0053402F"/>
    <w:rsid w:val="00535162"/>
    <w:rsid w:val="0053725B"/>
    <w:rsid w:val="00552401"/>
    <w:rsid w:val="00555BF6"/>
    <w:rsid w:val="00563051"/>
    <w:rsid w:val="00571D39"/>
    <w:rsid w:val="00577294"/>
    <w:rsid w:val="00590AD3"/>
    <w:rsid w:val="005D153A"/>
    <w:rsid w:val="005D55D3"/>
    <w:rsid w:val="005F16DA"/>
    <w:rsid w:val="005F69D0"/>
    <w:rsid w:val="006064F9"/>
    <w:rsid w:val="006223DF"/>
    <w:rsid w:val="006411AE"/>
    <w:rsid w:val="00653B5C"/>
    <w:rsid w:val="006570B8"/>
    <w:rsid w:val="0068485D"/>
    <w:rsid w:val="006C7E1C"/>
    <w:rsid w:val="006F55EA"/>
    <w:rsid w:val="007020E1"/>
    <w:rsid w:val="00714EED"/>
    <w:rsid w:val="007167AE"/>
    <w:rsid w:val="0075485C"/>
    <w:rsid w:val="00776C7E"/>
    <w:rsid w:val="00785B53"/>
    <w:rsid w:val="0079223A"/>
    <w:rsid w:val="007A0B01"/>
    <w:rsid w:val="007D38FA"/>
    <w:rsid w:val="007F30A6"/>
    <w:rsid w:val="00802E7F"/>
    <w:rsid w:val="008354B4"/>
    <w:rsid w:val="008600A9"/>
    <w:rsid w:val="00866B44"/>
    <w:rsid w:val="0087228E"/>
    <w:rsid w:val="008C5415"/>
    <w:rsid w:val="008C6C63"/>
    <w:rsid w:val="008D7293"/>
    <w:rsid w:val="008E7312"/>
    <w:rsid w:val="008F720F"/>
    <w:rsid w:val="009331F0"/>
    <w:rsid w:val="00942067"/>
    <w:rsid w:val="00980AFA"/>
    <w:rsid w:val="00990199"/>
    <w:rsid w:val="009D1016"/>
    <w:rsid w:val="009E11DE"/>
    <w:rsid w:val="009E1B83"/>
    <w:rsid w:val="009E6AB6"/>
    <w:rsid w:val="009E7F46"/>
    <w:rsid w:val="009F1FA4"/>
    <w:rsid w:val="00A12D67"/>
    <w:rsid w:val="00A1575A"/>
    <w:rsid w:val="00A200CC"/>
    <w:rsid w:val="00A25C77"/>
    <w:rsid w:val="00A86020"/>
    <w:rsid w:val="00AA72F4"/>
    <w:rsid w:val="00AC05E5"/>
    <w:rsid w:val="00AD3885"/>
    <w:rsid w:val="00AE4C3C"/>
    <w:rsid w:val="00AF5112"/>
    <w:rsid w:val="00B17527"/>
    <w:rsid w:val="00B36B60"/>
    <w:rsid w:val="00B67F33"/>
    <w:rsid w:val="00BC79AF"/>
    <w:rsid w:val="00C15448"/>
    <w:rsid w:val="00C25D76"/>
    <w:rsid w:val="00C427A5"/>
    <w:rsid w:val="00C54B1F"/>
    <w:rsid w:val="00C64174"/>
    <w:rsid w:val="00C84708"/>
    <w:rsid w:val="00C95AC4"/>
    <w:rsid w:val="00CA2A36"/>
    <w:rsid w:val="00CC26C6"/>
    <w:rsid w:val="00CD1595"/>
    <w:rsid w:val="00CE39AF"/>
    <w:rsid w:val="00CE60E5"/>
    <w:rsid w:val="00D04572"/>
    <w:rsid w:val="00D1295C"/>
    <w:rsid w:val="00DA0D6A"/>
    <w:rsid w:val="00DA5B51"/>
    <w:rsid w:val="00DD50FA"/>
    <w:rsid w:val="00DE3066"/>
    <w:rsid w:val="00DE79B8"/>
    <w:rsid w:val="00E02A00"/>
    <w:rsid w:val="00E07794"/>
    <w:rsid w:val="00E227B9"/>
    <w:rsid w:val="00E4286E"/>
    <w:rsid w:val="00E62F5D"/>
    <w:rsid w:val="00E8316D"/>
    <w:rsid w:val="00F00C01"/>
    <w:rsid w:val="00F0339D"/>
    <w:rsid w:val="00F05DF9"/>
    <w:rsid w:val="00F324DF"/>
    <w:rsid w:val="00F3635D"/>
    <w:rsid w:val="00F45091"/>
    <w:rsid w:val="00F46B67"/>
    <w:rsid w:val="00F47835"/>
    <w:rsid w:val="00F63534"/>
    <w:rsid w:val="00F8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ED75"/>
  <w15:docId w15:val="{534398A1-156A-4269-8B2A-4AADD229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06F6"/>
  </w:style>
  <w:style w:type="paragraph" w:styleId="Heading1">
    <w:name w:val="heading 1"/>
    <w:basedOn w:val="Normal"/>
    <w:next w:val="Normal"/>
    <w:link w:val="Heading1Char"/>
    <w:uiPriority w:val="9"/>
    <w:qFormat/>
    <w:rsid w:val="003B6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2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7B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6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62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4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5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D045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27F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FE8"/>
  </w:style>
  <w:style w:type="paragraph" w:styleId="Footer">
    <w:name w:val="footer"/>
    <w:basedOn w:val="Normal"/>
    <w:link w:val="FooterChar"/>
    <w:uiPriority w:val="99"/>
    <w:unhideWhenUsed/>
    <w:rsid w:val="00327F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E8"/>
  </w:style>
  <w:style w:type="paragraph" w:styleId="BalloonText">
    <w:name w:val="Balloon Text"/>
    <w:basedOn w:val="Normal"/>
    <w:link w:val="BalloonTextChar"/>
    <w:uiPriority w:val="99"/>
    <w:semiHidden/>
    <w:unhideWhenUsed/>
    <w:rsid w:val="00327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E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sctg2">
    <w:name w:val="gs_ctg2"/>
    <w:basedOn w:val="DefaultParagraphFont"/>
    <w:rsid w:val="002B5C73"/>
  </w:style>
  <w:style w:type="character" w:customStyle="1" w:styleId="gsct1">
    <w:name w:val="gs_ct1"/>
    <w:basedOn w:val="DefaultParagraphFont"/>
    <w:rsid w:val="002B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F957-150A-4FAB-995A-577EC640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1049</Words>
  <Characters>5665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pirli</dc:creator>
  <cp:lastModifiedBy>Christos</cp:lastModifiedBy>
  <cp:revision>2</cp:revision>
  <cp:lastPrinted>2018-11-08T12:46:00Z</cp:lastPrinted>
  <dcterms:created xsi:type="dcterms:W3CDTF">2019-10-31T10:11:00Z</dcterms:created>
  <dcterms:modified xsi:type="dcterms:W3CDTF">2019-10-31T10:11:00Z</dcterms:modified>
</cp:coreProperties>
</file>