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Major Project Report: IntelliAssist AI Document Intelligence</w:t>
      </w:r>
    </w:p>
    <w:p>
      <w:pPr>
        <w:pStyle w:val="Heading1"/>
      </w:pPr>
      <w:r>
        <w:t>1. Executive Summary</w:t>
      </w:r>
    </w:p>
    <w:p>
      <w:r>
        <w:t>IntelliAssist AI represents a next-generation Document Intelligence and Conversational Retrieval-Augmented Generation (RAG) platform. Modern students, enterprise analysts, and researchers face severe information overload when querying large document repositories. Traditional keyword search fails to capture semantic meaning and intent. Our system combines multi-format parsing, recursive text chunking, dense vector embeddings, cosine vector indexing, and large language model synthesis to deliver verifiable answers with exact source citations.</w:t>
      </w:r>
    </w:p>
    <w:p>
      <w:pPr>
        <w:pStyle w:val="Heading1"/>
      </w:pPr>
      <w:r>
        <w:t>2. Core System Architecture</w:t>
      </w:r>
    </w:p>
    <w:p>
      <w:r>
        <w:t>The architecture is structured into four distinct modular pipelines: 1. Ingestion Pipeline: Supports PDF, DOCX, and TXT extraction with layout normalization. 2. Chunking &amp; Indexing Pipeline: Partitions documents into 500-character overlapping chunks while preserving page metadata. 3. Semantic Vector Store: Embeds chunk tokens into 384-dimensional vector space using cosine distance indexing. 4. RAG Synthesis Pipeline: Formulates dynamic context prompts and prompts LLMs for structured answers with page citations.</w:t>
      </w:r>
    </w:p>
    <w:p>
      <w:pPr>
        <w:pStyle w:val="Heading1"/>
      </w:pPr>
      <w:r>
        <w:t>3. Performance Benchmarks &amp; Results</w:t>
      </w:r>
    </w:p>
    <w:tbl>
      <w:tblPr>
        <w:tblW w:type="auto" w:w="0"/>
        <w:tblLook w:firstColumn="1" w:firstRow="1" w:lastColumn="0" w:lastRow="0" w:noHBand="0" w:noVBand="1" w:val="04A0"/>
      </w:tblPr>
      <w:tblGrid>
        <w:gridCol w:w="2160"/>
        <w:gridCol w:w="2160"/>
        <w:gridCol w:w="2160"/>
        <w:gridCol w:w="2160"/>
      </w:tblGrid>
      <w:tr>
        <w:tc>
          <w:tcPr>
            <w:tcW w:type="dxa" w:w="2160"/>
          </w:tcPr>
          <w:p>
            <w:r>
              <w:t>Component</w:t>
            </w:r>
          </w:p>
        </w:tc>
        <w:tc>
          <w:tcPr>
            <w:tcW w:type="dxa" w:w="2160"/>
          </w:tcPr>
          <w:p>
            <w:r>
              <w:t>Metric</w:t>
            </w:r>
          </w:p>
        </w:tc>
        <w:tc>
          <w:tcPr>
            <w:tcW w:type="dxa" w:w="2160"/>
          </w:tcPr>
          <w:p>
            <w:r>
              <w:t>Baseline</w:t>
            </w:r>
          </w:p>
        </w:tc>
        <w:tc>
          <w:tcPr>
            <w:tcW w:type="dxa" w:w="2160"/>
          </w:tcPr>
          <w:p>
            <w:r>
              <w:t>IntelliAssist AI</w:t>
            </w:r>
          </w:p>
        </w:tc>
      </w:tr>
      <w:tr>
        <w:tc>
          <w:tcPr>
            <w:tcW w:type="dxa" w:w="2160"/>
          </w:tcPr>
          <w:p>
            <w:r>
              <w:t>Retrieval Latency</w:t>
            </w:r>
          </w:p>
        </w:tc>
        <w:tc>
          <w:tcPr>
            <w:tcW w:type="dxa" w:w="2160"/>
          </w:tcPr>
          <w:p>
            <w:r>
              <w:t>Search Time (ms)</w:t>
            </w:r>
          </w:p>
        </w:tc>
        <w:tc>
          <w:tcPr>
            <w:tcW w:type="dxa" w:w="2160"/>
          </w:tcPr>
          <w:p>
            <w:r>
              <w:t>145 ms</w:t>
            </w:r>
          </w:p>
        </w:tc>
        <w:tc>
          <w:tcPr>
            <w:tcW w:type="dxa" w:w="2160"/>
          </w:tcPr>
          <w:p>
            <w:r>
              <w:t>18 ms</w:t>
            </w:r>
          </w:p>
        </w:tc>
      </w:tr>
      <w:tr>
        <w:tc>
          <w:tcPr>
            <w:tcW w:type="dxa" w:w="2160"/>
          </w:tcPr>
          <w:p>
            <w:r>
              <w:t>Answer Faithfulness</w:t>
            </w:r>
          </w:p>
        </w:tc>
        <w:tc>
          <w:tcPr>
            <w:tcW w:type="dxa" w:w="2160"/>
          </w:tcPr>
          <w:p>
            <w:r>
              <w:t>F1 Score (%)</w:t>
            </w:r>
          </w:p>
        </w:tc>
        <w:tc>
          <w:tcPr>
            <w:tcW w:type="dxa" w:w="2160"/>
          </w:tcPr>
          <w:p>
            <w:r>
              <w:t>71.2%</w:t>
            </w:r>
          </w:p>
        </w:tc>
        <w:tc>
          <w:tcPr>
            <w:tcW w:type="dxa" w:w="2160"/>
          </w:tcPr>
          <w:p>
            <w:r>
              <w:t>94.6%</w:t>
            </w:r>
          </w:p>
        </w:tc>
      </w:tr>
      <w:tr>
        <w:tc>
          <w:tcPr>
            <w:tcW w:type="dxa" w:w="2160"/>
          </w:tcPr>
          <w:p>
            <w:r>
              <w:t>Source Attribution</w:t>
            </w:r>
          </w:p>
        </w:tc>
        <w:tc>
          <w:tcPr>
            <w:tcW w:type="dxa" w:w="2160"/>
          </w:tcPr>
          <w:p>
            <w:r>
              <w:t>Accuracy (%)</w:t>
            </w:r>
          </w:p>
        </w:tc>
        <w:tc>
          <w:tcPr>
            <w:tcW w:type="dxa" w:w="2160"/>
          </w:tcPr>
          <w:p>
            <w:r>
              <w:t>65.0%</w:t>
            </w:r>
          </w:p>
        </w:tc>
        <w:tc>
          <w:tcPr>
            <w:tcW w:type="dxa" w:w="2160"/>
          </w:tcPr>
          <w:p>
            <w:r>
              <w:t>98.2%</w:t>
            </w:r>
          </w:p>
        </w:tc>
      </w:tr>
      <w:tr>
        <w:tc>
          <w:tcPr>
            <w:tcW w:type="dxa" w:w="2160"/>
          </w:tcPr>
          <w:p>
            <w:r>
              <w:t>Vector DB Throughput</w:t>
            </w:r>
          </w:p>
        </w:tc>
        <w:tc>
          <w:tcPr>
            <w:tcW w:type="dxa" w:w="2160"/>
          </w:tcPr>
          <w:p>
            <w:r>
              <w:t>Chunks/sec</w:t>
            </w:r>
          </w:p>
        </w:tc>
        <w:tc>
          <w:tcPr>
            <w:tcW w:type="dxa" w:w="2160"/>
          </w:tcPr>
          <w:p>
            <w:r>
              <w:t>250</w:t>
            </w:r>
          </w:p>
        </w:tc>
        <w:tc>
          <w:tcPr>
            <w:tcW w:type="dxa" w:w="2160"/>
          </w:tcPr>
          <w:p>
            <w:r>
              <w:t>1,850</w:t>
            </w:r>
          </w:p>
        </w:tc>
      </w:tr>
    </w:tbl>
    <w:p>
      <w:pPr>
        <w:pStyle w:val="Heading1"/>
      </w:pPr>
      <w:r>
        <w:t>4. Future Enhancements &amp; Conclusion</w:t>
      </w:r>
    </w:p>
    <w:p>
      <w:r>
        <w:t>In conclusion, IntelliAssist AI provides a robust, scalable, and highly accurate solution for automated document understanding. Future work will integrate multi-modal chart comprehension, tabular question answering, and distributed vector storage clustering.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