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031D" w14:textId="42675653" w:rsidR="00592237" w:rsidRDefault="00A222B4" w:rsidP="00A222B4">
      <w:pPr>
        <w:pStyle w:val="Title"/>
      </w:pPr>
      <w:r>
        <w:t xml:space="preserve">Synthèse de l’analyse du département </w:t>
      </w:r>
      <w:r w:rsidR="000B3091">
        <w:t>IC et R&amp;I</w:t>
      </w:r>
    </w:p>
    <w:p w14:paraId="67E94301" w14:textId="77777777" w:rsidR="00A222B4" w:rsidRDefault="00A222B4" w:rsidP="00A222B4">
      <w:pPr>
        <w:pStyle w:val="Auteurs"/>
        <w:rPr>
          <w:lang w:val="fr-FR"/>
        </w:rPr>
      </w:pPr>
      <w:r w:rsidRPr="00A222B4">
        <w:rPr>
          <w:lang w:val="fr-FR"/>
        </w:rPr>
        <w:t xml:space="preserve">Mathieu </w:t>
      </w:r>
      <w:proofErr w:type="spellStart"/>
      <w:r w:rsidRPr="00A222B4">
        <w:rPr>
          <w:lang w:val="fr-FR"/>
        </w:rPr>
        <w:t>Azenkde</w:t>
      </w:r>
      <w:proofErr w:type="spellEnd"/>
      <w:r w:rsidRPr="00A222B4">
        <w:rPr>
          <w:lang w:val="fr-FR"/>
        </w:rPr>
        <w:t xml:space="preserve">, Gaël </w:t>
      </w:r>
      <w:proofErr w:type="spellStart"/>
      <w:r w:rsidRPr="00A222B4">
        <w:rPr>
          <w:lang w:val="fr-FR"/>
        </w:rPr>
        <w:t>Saussereau</w:t>
      </w:r>
      <w:proofErr w:type="spellEnd"/>
      <w:r w:rsidRPr="00A222B4">
        <w:rPr>
          <w:lang w:val="fr-FR"/>
        </w:rPr>
        <w:t xml:space="preserve">, Mahdi, </w:t>
      </w:r>
      <w:r>
        <w:rPr>
          <w:lang w:val="fr-FR"/>
        </w:rPr>
        <w:t>Tanguy Manescau</w:t>
      </w:r>
    </w:p>
    <w:p w14:paraId="7ABC6489" w14:textId="77777777" w:rsidR="00A222B4" w:rsidRDefault="00A222B4" w:rsidP="00A222B4">
      <w:pPr>
        <w:pStyle w:val="Heading1"/>
      </w:pPr>
      <w:r w:rsidRPr="00AD664E">
        <w:rPr>
          <w:lang w:val="fr-FR"/>
        </w:rPr>
        <w:t xml:space="preserve"> </w:t>
      </w:r>
      <w:proofErr w:type="spellStart"/>
      <w:r>
        <w:t>Contexte</w:t>
      </w:r>
      <w:proofErr w:type="spellEnd"/>
    </w:p>
    <w:p w14:paraId="2869E08B" w14:textId="77777777" w:rsidR="00A222B4" w:rsidRPr="003C08C9" w:rsidRDefault="00A222B4" w:rsidP="00A222B4">
      <w:pPr>
        <w:rPr>
          <w:i/>
          <w:iCs/>
        </w:rPr>
      </w:pPr>
      <w:r w:rsidRPr="003C08C9">
        <w:rPr>
          <w:i/>
          <w:iCs/>
        </w:rPr>
        <w:t>Expliquer ce qu’on a fait. Pourquoi, avec qui ? Le déroulé.</w:t>
      </w:r>
      <w:r w:rsidR="002B4C92" w:rsidRPr="003C08C9">
        <w:rPr>
          <w:i/>
          <w:iCs/>
        </w:rPr>
        <w:t xml:space="preserve"> Objectifs de recrutement. Donner envie de lire le rapport. </w:t>
      </w:r>
    </w:p>
    <w:p w14:paraId="1062EE96" w14:textId="144588FB" w:rsidR="009A137F" w:rsidRDefault="009A137F" w:rsidP="009A137F">
      <w:pPr>
        <w:pStyle w:val="ListParagraph"/>
        <w:numPr>
          <w:ilvl w:val="0"/>
          <w:numId w:val="31"/>
        </w:numPr>
      </w:pPr>
      <w:r>
        <w:t xml:space="preserve">Objectif : Comprendre les étapes </w:t>
      </w:r>
      <w:r w:rsidR="00811CDB">
        <w:t>de la gestion des intercontrats</w:t>
      </w:r>
      <w:r>
        <w:t xml:space="preserve"> et identifier les éléments quantifiables primaires permettant le passage d’une étape à l’autre. Ainsi que l’identification sur chacune des étapes des éléments non quantifiables </w:t>
      </w:r>
      <w:r w:rsidR="003C08C9">
        <w:t>exerçant</w:t>
      </w:r>
      <w:r>
        <w:t xml:space="preserve"> une influence</w:t>
      </w:r>
      <w:r w:rsidR="000D5B14">
        <w:t>.</w:t>
      </w:r>
    </w:p>
    <w:p w14:paraId="0C82D694" w14:textId="0D9E3D83" w:rsidR="009A137F" w:rsidRDefault="009A137F" w:rsidP="009A137F">
      <w:pPr>
        <w:pStyle w:val="ListParagraph"/>
        <w:numPr>
          <w:ilvl w:val="0"/>
          <w:numId w:val="31"/>
        </w:numPr>
      </w:pPr>
      <w:r>
        <w:t xml:space="preserve">Entretien avec </w:t>
      </w:r>
      <w:r w:rsidR="00811CDB">
        <w:t>Aurélien NOVELLI</w:t>
      </w:r>
    </w:p>
    <w:p w14:paraId="3E5F7FAF" w14:textId="61189A1E" w:rsidR="009A137F" w:rsidRDefault="009A137F" w:rsidP="007D4A48">
      <w:pPr>
        <w:pStyle w:val="ListParagraph"/>
        <w:numPr>
          <w:ilvl w:val="0"/>
          <w:numId w:val="31"/>
        </w:numPr>
      </w:pPr>
      <w:r>
        <w:t>Déroulé :</w:t>
      </w:r>
    </w:p>
    <w:p w14:paraId="4F002C5B" w14:textId="77777777" w:rsidR="00E85677" w:rsidRDefault="000B3091" w:rsidP="008028EA">
      <w:r>
        <w:t>Sur cette séance l’équipe a pu exercer et capitaliser sur la méthode apprise</w:t>
      </w:r>
      <w:r w:rsidR="008028EA">
        <w:t xml:space="preserve"> </w:t>
      </w:r>
      <w:r w:rsidR="003A0CC2">
        <w:t>pour mener un</w:t>
      </w:r>
      <w:r w:rsidR="008028EA">
        <w:t xml:space="preserve"> entretien d’approche dynamique des systèmes. Tous les participants ont pris les notes qui leurs paraissaient intéressantes. </w:t>
      </w:r>
      <w:r w:rsidR="003A0CC2">
        <w:t>L’équipe</w:t>
      </w:r>
      <w:r w:rsidR="008028EA">
        <w:t xml:space="preserve"> a pris </w:t>
      </w:r>
      <w:r w:rsidR="003A0CC2">
        <w:t xml:space="preserve">la main </w:t>
      </w:r>
      <w:r w:rsidR="008028EA">
        <w:t xml:space="preserve">sur le tableau afin de </w:t>
      </w:r>
      <w:r w:rsidR="003A0CC2">
        <w:t>s’exercer à la méthode</w:t>
      </w:r>
      <w:r w:rsidR="008028EA">
        <w:t xml:space="preserve"> de capture des informations</w:t>
      </w:r>
      <w:r w:rsidR="003A0CC2">
        <w:t xml:space="preserve"> sous la supervision du formateur</w:t>
      </w:r>
      <w:r w:rsidR="008028EA">
        <w:t>.</w:t>
      </w:r>
      <w:r w:rsidR="00E85677">
        <w:t xml:space="preserve"> </w:t>
      </w:r>
      <w:r w:rsidR="008028EA">
        <w:t xml:space="preserve">A l’issue de l’entretien, un échange d’une demi-heure a permis de débriefer l’évènement et de déterminer la structure </w:t>
      </w:r>
      <w:r w:rsidR="00E85677">
        <w:t>théorique du modèle. Le formateur a en complément présenté le modèle complet (Recrutement – Commerce) réalisé sur Stella représentant l’état de l’art de l’étude précédemment réalisé. Ainsi que la mise en lumière des verrous identifiés :</w:t>
      </w:r>
    </w:p>
    <w:p w14:paraId="5F04978A" w14:textId="42D2F523" w:rsidR="00E85677" w:rsidRDefault="00E85677" w:rsidP="00E85677">
      <w:pPr>
        <w:pStyle w:val="ListParagraph"/>
        <w:numPr>
          <w:ilvl w:val="0"/>
          <w:numId w:val="34"/>
        </w:numPr>
      </w:pPr>
      <w:r>
        <w:t>Complexité à résoudre des singularités produites aberrantes (</w:t>
      </w:r>
      <w:r w:rsidR="00884EFD">
        <w:t xml:space="preserve">En simulation : </w:t>
      </w:r>
      <w:r>
        <w:t>Nombre de missions staffés pour une semaine &lt; 0)</w:t>
      </w:r>
    </w:p>
    <w:p w14:paraId="46A16AEE" w14:textId="46B6F160" w:rsidR="00E85677" w:rsidRDefault="00E85677" w:rsidP="00884EFD">
      <w:pPr>
        <w:pStyle w:val="ListParagraph"/>
        <w:numPr>
          <w:ilvl w:val="0"/>
          <w:numId w:val="34"/>
        </w:numPr>
      </w:pPr>
      <w:r>
        <w:t xml:space="preserve">Complexité à </w:t>
      </w:r>
      <w:r w:rsidR="00884EFD">
        <w:t>rapprocher la représentation théorique des données réelles :</w:t>
      </w:r>
    </w:p>
    <w:p w14:paraId="6487F783" w14:textId="3CA1D7DE" w:rsidR="00884EFD" w:rsidRDefault="00884EFD" w:rsidP="00884EFD">
      <w:pPr>
        <w:pStyle w:val="ListParagraph"/>
        <w:numPr>
          <w:ilvl w:val="1"/>
          <w:numId w:val="34"/>
        </w:numPr>
      </w:pPr>
      <w:r>
        <w:t>Chargement de données possibles mais peu souple (ingestion de fichier Excel)</w:t>
      </w:r>
    </w:p>
    <w:p w14:paraId="50164521" w14:textId="78BA54E8" w:rsidR="00884EFD" w:rsidRDefault="002B6291" w:rsidP="00884EFD">
      <w:pPr>
        <w:pStyle w:val="ListParagraph"/>
        <w:numPr>
          <w:ilvl w:val="1"/>
          <w:numId w:val="34"/>
        </w:numPr>
      </w:pPr>
      <w:r>
        <w:t>Nécessité potentielle d’ajouter une brique supplémentaire non modélisée jusqu’à présent</w:t>
      </w:r>
    </w:p>
    <w:p w14:paraId="0F28C48E" w14:textId="59F5D2B6" w:rsidR="008028EA" w:rsidRDefault="008028EA" w:rsidP="008028EA">
      <w:r>
        <w:t xml:space="preserve"> Ce rapport de synthèse est un livrable majeur de la méthode. </w:t>
      </w:r>
    </w:p>
    <w:p w14:paraId="2A093090" w14:textId="091B0DA9" w:rsidR="008028EA" w:rsidRDefault="008028EA" w:rsidP="008028EA">
      <w:pPr>
        <w:pStyle w:val="ListParagraph"/>
        <w:numPr>
          <w:ilvl w:val="0"/>
          <w:numId w:val="29"/>
        </w:numPr>
      </w:pPr>
      <w:r>
        <w:t>Il témoigne du travail accompli et pourra être communiqué et présenté aux sponsors du projet</w:t>
      </w:r>
    </w:p>
    <w:p w14:paraId="3D98C7E6" w14:textId="0B39A318" w:rsidR="008028EA" w:rsidRDefault="008028EA" w:rsidP="008028EA">
      <w:pPr>
        <w:pStyle w:val="ListParagraph"/>
        <w:numPr>
          <w:ilvl w:val="0"/>
          <w:numId w:val="29"/>
        </w:numPr>
      </w:pPr>
      <w:r>
        <w:t>Il formalise et synthétise les échanges et permet de s’assurer de la vision commune de l’équipe</w:t>
      </w:r>
    </w:p>
    <w:p w14:paraId="29399640" w14:textId="4A5AC76B" w:rsidR="008028EA" w:rsidRDefault="008028EA" w:rsidP="008028EA">
      <w:pPr>
        <w:pStyle w:val="ListParagraph"/>
        <w:numPr>
          <w:ilvl w:val="0"/>
          <w:numId w:val="29"/>
        </w:numPr>
      </w:pPr>
      <w:r>
        <w:t>Il permet de demander à tous les participants de s’investir dans la réalisation d’un modèle en dynamique des systèmes</w:t>
      </w:r>
    </w:p>
    <w:p w14:paraId="7FE27736" w14:textId="01764560" w:rsidR="008028EA" w:rsidRDefault="008028EA" w:rsidP="008028EA">
      <w:pPr>
        <w:pStyle w:val="ListParagraph"/>
        <w:numPr>
          <w:ilvl w:val="0"/>
          <w:numId w:val="29"/>
        </w:numPr>
      </w:pPr>
      <w:r>
        <w:t>Il servira de fichier d’entrée au LLM qui créera un modèle d’équations partielles</w:t>
      </w:r>
    </w:p>
    <w:p w14:paraId="20CDA157" w14:textId="77777777" w:rsidR="00C17DE8" w:rsidRDefault="00C17DE8" w:rsidP="00A222B4"/>
    <w:p w14:paraId="774EF7B6" w14:textId="77777777" w:rsidR="00C17DE8" w:rsidRDefault="00C17DE8" w:rsidP="00A222B4"/>
    <w:p w14:paraId="00D8093F" w14:textId="568B06F7" w:rsidR="00A222B4" w:rsidRPr="002B4C92" w:rsidRDefault="000B3091" w:rsidP="00A222B4">
      <w:pPr>
        <w:pStyle w:val="Heading1"/>
        <w:rPr>
          <w:lang w:val="fr-FR"/>
        </w:rPr>
      </w:pPr>
      <w:r>
        <w:rPr>
          <w:lang w:val="fr-FR"/>
        </w:rPr>
        <w:t>Effectif</w:t>
      </w:r>
    </w:p>
    <w:p w14:paraId="477E8C70" w14:textId="364B58B9" w:rsidR="004F2B73" w:rsidRDefault="000B3091" w:rsidP="00A222B4">
      <w:r>
        <w:t xml:space="preserve">Un Ressource manager : Aurélien. </w:t>
      </w:r>
      <w:r w:rsidR="003A0CC2">
        <w:t xml:space="preserve">Occupé à 60% sur la gestion du suivi des Intercontrats, et à 40% comme support au </w:t>
      </w:r>
      <w:proofErr w:type="spellStart"/>
      <w:r w:rsidR="003A0CC2">
        <w:t>staffing</w:t>
      </w:r>
      <w:proofErr w:type="spellEnd"/>
      <w:r w:rsidR="003A0CC2">
        <w:t>.</w:t>
      </w:r>
    </w:p>
    <w:p w14:paraId="640F4773" w14:textId="77777777" w:rsidR="003A0CC2" w:rsidRDefault="003A0CC2" w:rsidP="00A222B4"/>
    <w:p w14:paraId="17832BD6" w14:textId="5714754D" w:rsidR="00A222B4" w:rsidRDefault="00A222B4" w:rsidP="00A222B4">
      <w:pPr>
        <w:pStyle w:val="Heading1"/>
        <w:rPr>
          <w:lang w:val="fr-FR"/>
        </w:rPr>
      </w:pPr>
      <w:r w:rsidRPr="00A222B4">
        <w:rPr>
          <w:lang w:val="fr-FR"/>
        </w:rPr>
        <w:t>Le process</w:t>
      </w:r>
      <w:r>
        <w:rPr>
          <w:lang w:val="fr-FR"/>
        </w:rPr>
        <w:t>us</w:t>
      </w:r>
      <w:r w:rsidRPr="00A222B4">
        <w:rPr>
          <w:lang w:val="fr-FR"/>
        </w:rPr>
        <w:t xml:space="preserve"> de recrutement vu en dynamique des systèmes</w:t>
      </w:r>
    </w:p>
    <w:p w14:paraId="4792D03B" w14:textId="77777777" w:rsidR="009B5AF3" w:rsidRDefault="009B5AF3" w:rsidP="00A222B4"/>
    <w:p w14:paraId="0340F3C7" w14:textId="18BA8BD3" w:rsidR="00A222B4" w:rsidRDefault="00A222B4" w:rsidP="00A222B4">
      <w:r>
        <w:t>Description formelle de chaque activité</w:t>
      </w:r>
      <w:r w:rsidR="002B4C92">
        <w:t> :</w:t>
      </w:r>
    </w:p>
    <w:p w14:paraId="6DD4BA09" w14:textId="672B66F7" w:rsidR="002B4C92" w:rsidRDefault="002B6291" w:rsidP="002B4C92">
      <w:pPr>
        <w:pStyle w:val="ListParagraph"/>
        <w:numPr>
          <w:ilvl w:val="0"/>
          <w:numId w:val="28"/>
        </w:numPr>
      </w:pPr>
      <w:r>
        <w:t>Retour mission</w:t>
      </w:r>
    </w:p>
    <w:p w14:paraId="14F1D393" w14:textId="46C86DAE" w:rsidR="002B4C92" w:rsidRDefault="002B4C92" w:rsidP="002B4C92">
      <w:pPr>
        <w:pStyle w:val="ListParagraph"/>
        <w:numPr>
          <w:ilvl w:val="1"/>
          <w:numId w:val="28"/>
        </w:numPr>
      </w:pPr>
      <w:r>
        <w:t>Temps approximatif consacré par semaine</w:t>
      </w:r>
      <w:r w:rsidR="004F2B73">
        <w:t> :</w:t>
      </w:r>
      <w:r w:rsidR="006E3C50">
        <w:t xml:space="preserve"> </w:t>
      </w:r>
      <w:r w:rsidR="001F67BD">
        <w:t>Non connu.</w:t>
      </w:r>
    </w:p>
    <w:p w14:paraId="1C4E72F7" w14:textId="5EC8301C" w:rsidR="002B4C92" w:rsidRDefault="002B4C92" w:rsidP="002B4C92">
      <w:pPr>
        <w:pStyle w:val="ListParagraph"/>
        <w:numPr>
          <w:ilvl w:val="1"/>
          <w:numId w:val="28"/>
        </w:numPr>
      </w:pPr>
      <w:r>
        <w:t>Durée d’un évènement</w:t>
      </w:r>
      <w:r w:rsidR="004F2B73">
        <w:t xml:space="preserve"> : </w:t>
      </w:r>
      <w:r w:rsidR="006E3C50">
        <w:t>En moyenne 2 mois [Début de disponibilité – 2 mois]</w:t>
      </w:r>
    </w:p>
    <w:p w14:paraId="089D28ED" w14:textId="35E4CAB0" w:rsidR="002B4C92" w:rsidRDefault="002B4C92" w:rsidP="002B4C92">
      <w:pPr>
        <w:pStyle w:val="ListParagraph"/>
        <w:numPr>
          <w:ilvl w:val="1"/>
          <w:numId w:val="28"/>
        </w:numPr>
      </w:pPr>
      <w:r>
        <w:t>Rendement</w:t>
      </w:r>
      <w:r w:rsidR="004F2B73">
        <w:t xml:space="preserve"> : </w:t>
      </w:r>
      <w:r w:rsidR="006E3C50">
        <w:t xml:space="preserve">En moyenne </w:t>
      </w:r>
      <w:r w:rsidR="00634BB2">
        <w:t>1 Consultant / semaine</w:t>
      </w:r>
    </w:p>
    <w:p w14:paraId="1037D29C" w14:textId="57B50E25" w:rsidR="002B4C92" w:rsidRDefault="002B4C92" w:rsidP="002B4C92">
      <w:pPr>
        <w:pStyle w:val="ListParagraph"/>
        <w:numPr>
          <w:ilvl w:val="1"/>
          <w:numId w:val="28"/>
        </w:numPr>
      </w:pPr>
      <w:r>
        <w:t>Discussion d’éléments quali</w:t>
      </w:r>
      <w:r w:rsidR="00FC42E5">
        <w:t>tatifs</w:t>
      </w:r>
      <w:r w:rsidR="004F2B73">
        <w:t> :</w:t>
      </w:r>
    </w:p>
    <w:p w14:paraId="42433E67" w14:textId="60C9555B" w:rsidR="00634BB2" w:rsidRDefault="00634BB2" w:rsidP="00634BB2">
      <w:pPr>
        <w:pStyle w:val="ListParagraph"/>
        <w:numPr>
          <w:ilvl w:val="2"/>
          <w:numId w:val="28"/>
        </w:numPr>
      </w:pPr>
      <w:r>
        <w:t>2 mois en amont de la sortie démarrage du processus</w:t>
      </w:r>
    </w:p>
    <w:p w14:paraId="712A59C8" w14:textId="039BB436" w:rsidR="00634BB2" w:rsidRDefault="00634BB2" w:rsidP="00634BB2">
      <w:pPr>
        <w:pStyle w:val="ListParagraph"/>
        <w:numPr>
          <w:ilvl w:val="3"/>
          <w:numId w:val="28"/>
        </w:numPr>
      </w:pPr>
      <w:r>
        <w:t>Envoi Parcours de suivi</w:t>
      </w:r>
    </w:p>
    <w:p w14:paraId="0942851E" w14:textId="4EAE74BF" w:rsidR="00634BB2" w:rsidRDefault="00634BB2" w:rsidP="00634BB2">
      <w:pPr>
        <w:pStyle w:val="ListParagraph"/>
        <w:numPr>
          <w:ilvl w:val="3"/>
          <w:numId w:val="28"/>
        </w:numPr>
      </w:pPr>
      <w:r>
        <w:t>1’ Contact Consultant</w:t>
      </w:r>
      <w:r w:rsidR="006E3C50">
        <w:t> : [30min ;60 min]</w:t>
      </w:r>
    </w:p>
    <w:p w14:paraId="50204283" w14:textId="7E4859FC" w:rsidR="00634BB2" w:rsidRDefault="00634BB2" w:rsidP="00634BB2">
      <w:pPr>
        <w:pStyle w:val="ListParagraph"/>
        <w:numPr>
          <w:ilvl w:val="3"/>
          <w:numId w:val="28"/>
        </w:numPr>
      </w:pPr>
      <w:r>
        <w:t>2</w:t>
      </w:r>
      <w:r w:rsidRPr="00634BB2">
        <w:rPr>
          <w:vertAlign w:val="superscript"/>
        </w:rPr>
        <w:t>e</w:t>
      </w:r>
      <w:r>
        <w:t xml:space="preserve"> Contact Présentation profil aux commerciaux</w:t>
      </w:r>
      <w:r w:rsidR="006E3C50">
        <w:t xml:space="preserve"> [15 ; 30 min]</w:t>
      </w:r>
    </w:p>
    <w:p w14:paraId="032EE1B0" w14:textId="1A34B6E8" w:rsidR="00634BB2" w:rsidRDefault="00634BB2" w:rsidP="00634BB2">
      <w:pPr>
        <w:pStyle w:val="ListParagraph"/>
        <w:numPr>
          <w:ilvl w:val="3"/>
          <w:numId w:val="28"/>
        </w:numPr>
      </w:pPr>
      <w:r>
        <w:t>Bilan Fin de mission – Identifier les axes d’amélioration pour définir le parcours de formation (Team Leader)</w:t>
      </w:r>
    </w:p>
    <w:p w14:paraId="389526A2" w14:textId="77777777" w:rsidR="002B6291" w:rsidRDefault="002B6291" w:rsidP="002B6291">
      <w:pPr>
        <w:pStyle w:val="ListParagraph"/>
        <w:ind w:left="1440"/>
      </w:pPr>
    </w:p>
    <w:p w14:paraId="48975B3A" w14:textId="4B5B40DE" w:rsidR="002B4C92" w:rsidRDefault="002B6291" w:rsidP="002B4C92">
      <w:pPr>
        <w:pStyle w:val="ListParagraph"/>
        <w:numPr>
          <w:ilvl w:val="0"/>
          <w:numId w:val="28"/>
        </w:numPr>
      </w:pPr>
      <w:r>
        <w:t>Recrutement</w:t>
      </w:r>
    </w:p>
    <w:p w14:paraId="6776C428" w14:textId="321D37F3" w:rsidR="002B6291" w:rsidRDefault="002B6291" w:rsidP="002B6291">
      <w:pPr>
        <w:pStyle w:val="ListParagraph"/>
        <w:numPr>
          <w:ilvl w:val="1"/>
          <w:numId w:val="28"/>
        </w:numPr>
      </w:pPr>
      <w:r>
        <w:t xml:space="preserve">Temps approximatif consacré par semaine : </w:t>
      </w:r>
      <w:r w:rsidR="001F67BD">
        <w:t>Non connu</w:t>
      </w:r>
    </w:p>
    <w:p w14:paraId="525017D5" w14:textId="70461747" w:rsidR="002B6291" w:rsidRDefault="002B6291" w:rsidP="002B6291">
      <w:pPr>
        <w:pStyle w:val="ListParagraph"/>
        <w:numPr>
          <w:ilvl w:val="1"/>
          <w:numId w:val="28"/>
        </w:numPr>
      </w:pPr>
      <w:r>
        <w:t>Durée d’un évènement :</w:t>
      </w:r>
      <w:r w:rsidR="009B5AF3">
        <w:t xml:space="preserve"> 10jr (Info Recrutement)</w:t>
      </w:r>
      <w:r>
        <w:t xml:space="preserve"> </w:t>
      </w:r>
    </w:p>
    <w:p w14:paraId="7E53342D" w14:textId="10941DA3" w:rsidR="00313CB3" w:rsidRDefault="002B6291" w:rsidP="00313CB3">
      <w:pPr>
        <w:pStyle w:val="ListParagraph"/>
        <w:numPr>
          <w:ilvl w:val="1"/>
          <w:numId w:val="28"/>
        </w:numPr>
      </w:pPr>
      <w:r>
        <w:t xml:space="preserve">Rendement : </w:t>
      </w:r>
      <w:r w:rsidR="001F67BD">
        <w:t xml:space="preserve">En moyenne 36 candidats sur 52 semaine </w:t>
      </w:r>
      <w:r w:rsidR="00313CB3">
        <w:t>pour 3 recruteurs =&gt; Soit 0.2 candidats/semaine/recruteur</w:t>
      </w:r>
    </w:p>
    <w:p w14:paraId="69F13B6A" w14:textId="77777777" w:rsidR="001F67BD" w:rsidRDefault="002B6291" w:rsidP="001F67BD">
      <w:pPr>
        <w:pStyle w:val="ListParagraph"/>
        <w:numPr>
          <w:ilvl w:val="1"/>
          <w:numId w:val="28"/>
        </w:numPr>
      </w:pPr>
      <w:r>
        <w:t>Discussion d’éléments qualitatifs :</w:t>
      </w:r>
      <w:r w:rsidR="001F67BD" w:rsidRPr="001F67BD">
        <w:t xml:space="preserve"> </w:t>
      </w:r>
    </w:p>
    <w:p w14:paraId="722288E0" w14:textId="193D9105" w:rsidR="001F67BD" w:rsidRDefault="001F67BD" w:rsidP="001F67BD">
      <w:pPr>
        <w:pStyle w:val="ListParagraph"/>
        <w:numPr>
          <w:ilvl w:val="2"/>
          <w:numId w:val="28"/>
        </w:numPr>
      </w:pPr>
      <w:r>
        <w:t>Pour les nouveaux recrutés :</w:t>
      </w:r>
    </w:p>
    <w:p w14:paraId="31E9E2A7" w14:textId="77777777" w:rsidR="001F67BD" w:rsidRDefault="001F67BD" w:rsidP="001F67BD">
      <w:pPr>
        <w:pStyle w:val="ListParagraph"/>
        <w:numPr>
          <w:ilvl w:val="3"/>
          <w:numId w:val="28"/>
        </w:numPr>
      </w:pPr>
      <w:r>
        <w:t>Parcours Nouveau consultant en amont de l’arrivée</w:t>
      </w:r>
    </w:p>
    <w:p w14:paraId="340198B8" w14:textId="77777777" w:rsidR="00B15B16" w:rsidRDefault="00B15B16" w:rsidP="00B15B16">
      <w:pPr>
        <w:pStyle w:val="ListParagraph"/>
      </w:pPr>
    </w:p>
    <w:p w14:paraId="336EA89E" w14:textId="7EEEBA20" w:rsidR="002B4C92" w:rsidRDefault="002B6291" w:rsidP="002B4C92">
      <w:pPr>
        <w:pStyle w:val="ListParagraph"/>
        <w:numPr>
          <w:ilvl w:val="0"/>
          <w:numId w:val="28"/>
        </w:numPr>
      </w:pPr>
      <w:r>
        <w:t>Départ</w:t>
      </w:r>
    </w:p>
    <w:p w14:paraId="1A50A07B" w14:textId="2E99EF9E" w:rsidR="002B6291" w:rsidRDefault="002B6291" w:rsidP="002B6291">
      <w:pPr>
        <w:pStyle w:val="ListParagraph"/>
        <w:numPr>
          <w:ilvl w:val="1"/>
          <w:numId w:val="28"/>
        </w:numPr>
      </w:pPr>
      <w:r>
        <w:t>Temps approximatif consacré par semaine :</w:t>
      </w:r>
      <w:r w:rsidR="00E46A2E">
        <w:t xml:space="preserve"> Non connu</w:t>
      </w:r>
      <w:r>
        <w:t xml:space="preserve"> </w:t>
      </w:r>
    </w:p>
    <w:p w14:paraId="222958B7" w14:textId="7B064451" w:rsidR="002B6291" w:rsidRDefault="002B6291" w:rsidP="002B6291">
      <w:pPr>
        <w:pStyle w:val="ListParagraph"/>
        <w:numPr>
          <w:ilvl w:val="1"/>
          <w:numId w:val="28"/>
        </w:numPr>
      </w:pPr>
      <w:r>
        <w:t xml:space="preserve">Durée d’un évènement : </w:t>
      </w:r>
      <w:r w:rsidR="00E46A2E">
        <w:t>Non connu</w:t>
      </w:r>
    </w:p>
    <w:p w14:paraId="273D29A4" w14:textId="3F2B1990" w:rsidR="002B6291" w:rsidRDefault="002B6291" w:rsidP="002B6291">
      <w:pPr>
        <w:pStyle w:val="ListParagraph"/>
        <w:numPr>
          <w:ilvl w:val="1"/>
          <w:numId w:val="28"/>
        </w:numPr>
      </w:pPr>
      <w:r>
        <w:t xml:space="preserve">Rendement : </w:t>
      </w:r>
      <w:r w:rsidR="00E46A2E">
        <w:t>En moyenne 5%</w:t>
      </w:r>
    </w:p>
    <w:p w14:paraId="70734527" w14:textId="77777777" w:rsidR="002B6291" w:rsidRDefault="002B6291" w:rsidP="002B6291">
      <w:pPr>
        <w:pStyle w:val="ListParagraph"/>
        <w:numPr>
          <w:ilvl w:val="1"/>
          <w:numId w:val="28"/>
        </w:numPr>
      </w:pPr>
      <w:r>
        <w:t>Discussion d’éléments qualitatifs :</w:t>
      </w:r>
    </w:p>
    <w:p w14:paraId="57CC0B3E" w14:textId="77777777" w:rsidR="002B6291" w:rsidRDefault="002B6291" w:rsidP="002B6291"/>
    <w:p w14:paraId="5231552D" w14:textId="7DBBFF95" w:rsidR="002B6291" w:rsidRDefault="002B6291" w:rsidP="002B6291">
      <w:pPr>
        <w:pStyle w:val="ListParagraph"/>
        <w:numPr>
          <w:ilvl w:val="0"/>
          <w:numId w:val="28"/>
        </w:numPr>
      </w:pPr>
      <w:r>
        <w:t>Intercontrat impliqué en R &amp; I</w:t>
      </w:r>
    </w:p>
    <w:p w14:paraId="499D701F" w14:textId="4C00B10C" w:rsidR="002B6291" w:rsidRDefault="002B6291" w:rsidP="002B6291">
      <w:pPr>
        <w:pStyle w:val="ListParagraph"/>
        <w:numPr>
          <w:ilvl w:val="1"/>
          <w:numId w:val="28"/>
        </w:numPr>
      </w:pPr>
      <w:r>
        <w:t xml:space="preserve">Temps approximatif consacré par semaine : </w:t>
      </w:r>
      <w:r w:rsidR="009B5AF3">
        <w:t>2-3jr/5</w:t>
      </w:r>
    </w:p>
    <w:p w14:paraId="37E327C2" w14:textId="42BA7966" w:rsidR="002B6291" w:rsidRDefault="002B6291" w:rsidP="002B6291">
      <w:pPr>
        <w:pStyle w:val="ListParagraph"/>
        <w:numPr>
          <w:ilvl w:val="1"/>
          <w:numId w:val="28"/>
        </w:numPr>
      </w:pPr>
      <w:r>
        <w:t xml:space="preserve">Durée d’un évènement : </w:t>
      </w:r>
      <w:r w:rsidR="009B5AF3">
        <w:t>Durée d’IC – [1-2 semaines d’</w:t>
      </w:r>
      <w:proofErr w:type="spellStart"/>
      <w:r w:rsidR="009B5AF3">
        <w:t>Onboarding</w:t>
      </w:r>
      <w:proofErr w:type="spellEnd"/>
      <w:r w:rsidR="009B5AF3">
        <w:t>] (Cible)</w:t>
      </w:r>
    </w:p>
    <w:p w14:paraId="207916CB" w14:textId="2D85D2A2" w:rsidR="002B6291" w:rsidRDefault="002B6291" w:rsidP="002B6291">
      <w:pPr>
        <w:pStyle w:val="ListParagraph"/>
        <w:numPr>
          <w:ilvl w:val="1"/>
          <w:numId w:val="28"/>
        </w:numPr>
      </w:pPr>
      <w:r>
        <w:lastRenderedPageBreak/>
        <w:t xml:space="preserve">Rendement : </w:t>
      </w:r>
      <w:r w:rsidR="009B5AF3">
        <w:t>En moyenne 50% (mais objectif 80%)</w:t>
      </w:r>
    </w:p>
    <w:p w14:paraId="606C3100" w14:textId="77777777" w:rsidR="002B6291" w:rsidRDefault="002B6291" w:rsidP="002B6291">
      <w:pPr>
        <w:pStyle w:val="ListParagraph"/>
        <w:numPr>
          <w:ilvl w:val="1"/>
          <w:numId w:val="28"/>
        </w:numPr>
      </w:pPr>
      <w:r>
        <w:t>Discussion d’éléments qualitatifs :</w:t>
      </w:r>
    </w:p>
    <w:p w14:paraId="1F56720A" w14:textId="7C757FF3" w:rsidR="009450DD" w:rsidRDefault="009450DD" w:rsidP="009450DD">
      <w:pPr>
        <w:pStyle w:val="ListParagraph"/>
        <w:numPr>
          <w:ilvl w:val="2"/>
          <w:numId w:val="28"/>
        </w:numPr>
      </w:pPr>
      <w:r>
        <w:t>Objectif : 80% voir 100% des IC affectés sur la R&amp;I</w:t>
      </w:r>
    </w:p>
    <w:p w14:paraId="31A0C33D" w14:textId="1F14061E" w:rsidR="002B6291" w:rsidRDefault="009450DD" w:rsidP="009450DD">
      <w:pPr>
        <w:pStyle w:val="ListParagraph"/>
        <w:numPr>
          <w:ilvl w:val="2"/>
          <w:numId w:val="28"/>
        </w:numPr>
      </w:pPr>
      <w:r>
        <w:t xml:space="preserve">Impact sur le financement Crédit Impôt Recherche </w:t>
      </w:r>
    </w:p>
    <w:p w14:paraId="27D30A34" w14:textId="77777777" w:rsidR="009450DD" w:rsidRDefault="009450DD" w:rsidP="009450DD">
      <w:pPr>
        <w:pStyle w:val="ListParagraph"/>
        <w:ind w:left="1080"/>
      </w:pPr>
    </w:p>
    <w:p w14:paraId="1A5F0B51" w14:textId="77777777" w:rsidR="002B6291" w:rsidRDefault="002B6291" w:rsidP="002B6291">
      <w:pPr>
        <w:pStyle w:val="ListParagraph"/>
        <w:ind w:left="1440"/>
      </w:pPr>
    </w:p>
    <w:p w14:paraId="7EF3C51A" w14:textId="185CD33F" w:rsidR="002B4C92" w:rsidRDefault="002B6291" w:rsidP="002B4C92">
      <w:pPr>
        <w:pStyle w:val="ListParagraph"/>
        <w:numPr>
          <w:ilvl w:val="0"/>
          <w:numId w:val="28"/>
        </w:numPr>
      </w:pPr>
      <w:r>
        <w:t>Départ mission (sort du périmètre IC)</w:t>
      </w:r>
    </w:p>
    <w:p w14:paraId="4CF7E3D3" w14:textId="0C7E202B" w:rsidR="002B6291" w:rsidRDefault="002B6291" w:rsidP="002B6291">
      <w:pPr>
        <w:pStyle w:val="ListParagraph"/>
        <w:numPr>
          <w:ilvl w:val="1"/>
          <w:numId w:val="28"/>
        </w:numPr>
      </w:pPr>
      <w:r>
        <w:t xml:space="preserve">Temps approximatif consacré par semaine : </w:t>
      </w:r>
      <w:r w:rsidR="009B5AF3">
        <w:t>2-3jr</w:t>
      </w:r>
    </w:p>
    <w:p w14:paraId="5CEC00B9" w14:textId="6FFF9629" w:rsidR="002B6291" w:rsidRDefault="002B6291" w:rsidP="002B6291">
      <w:pPr>
        <w:pStyle w:val="ListParagraph"/>
        <w:numPr>
          <w:ilvl w:val="1"/>
          <w:numId w:val="28"/>
        </w:numPr>
      </w:pPr>
      <w:r>
        <w:t xml:space="preserve">Durée d’un évènement : </w:t>
      </w:r>
      <w:r w:rsidR="00810DD2">
        <w:t>35 jr</w:t>
      </w:r>
    </w:p>
    <w:p w14:paraId="4097554E" w14:textId="7BA080CF" w:rsidR="009450DD" w:rsidRDefault="002B6291" w:rsidP="002B6291">
      <w:pPr>
        <w:pStyle w:val="ListParagraph"/>
        <w:numPr>
          <w:ilvl w:val="1"/>
          <w:numId w:val="28"/>
        </w:numPr>
      </w:pPr>
      <w:r>
        <w:t xml:space="preserve">Rendement : </w:t>
      </w:r>
      <w:r w:rsidR="009450DD">
        <w:t>1 Consultant /semaine</w:t>
      </w:r>
    </w:p>
    <w:p w14:paraId="64E4A8B3" w14:textId="1EB11967" w:rsidR="002B6291" w:rsidRDefault="00A71D10" w:rsidP="009450DD">
      <w:pPr>
        <w:pStyle w:val="ListParagraph"/>
        <w:numPr>
          <w:ilvl w:val="2"/>
          <w:numId w:val="28"/>
        </w:numPr>
      </w:pPr>
      <w:r>
        <w:t>Est</w:t>
      </w:r>
      <w:r w:rsidR="009450DD">
        <w:t xml:space="preserve"> fonction de l’Efficacité de la KLIF (en moyenne 2 qualifs client/candidats pour un retour mission).</w:t>
      </w:r>
    </w:p>
    <w:p w14:paraId="0021443E" w14:textId="7E95520C" w:rsidR="009450DD" w:rsidRDefault="009450DD" w:rsidP="009450DD">
      <w:pPr>
        <w:pStyle w:val="ListParagraph"/>
        <w:numPr>
          <w:ilvl w:val="2"/>
          <w:numId w:val="28"/>
        </w:numPr>
      </w:pPr>
      <w:r>
        <w:t>Et du nombre de KLIF mission (Environ 2 qualifs client /semaine)</w:t>
      </w:r>
    </w:p>
    <w:p w14:paraId="3328BFA8" w14:textId="77777777" w:rsidR="002B6291" w:rsidRDefault="002B6291" w:rsidP="002B6291">
      <w:pPr>
        <w:pStyle w:val="ListParagraph"/>
        <w:numPr>
          <w:ilvl w:val="1"/>
          <w:numId w:val="28"/>
        </w:numPr>
      </w:pPr>
      <w:r>
        <w:t>Discussion d’éléments qualitatifs :</w:t>
      </w:r>
    </w:p>
    <w:p w14:paraId="10264BB8" w14:textId="26FA8F29" w:rsidR="009450DD" w:rsidRDefault="009450DD" w:rsidP="009450DD">
      <w:pPr>
        <w:pStyle w:val="ListParagraph"/>
        <w:numPr>
          <w:ilvl w:val="2"/>
          <w:numId w:val="28"/>
        </w:numPr>
      </w:pPr>
      <w:r>
        <w:t>En moyenne 35jr d’IC avant retour en mission</w:t>
      </w:r>
    </w:p>
    <w:p w14:paraId="2EE87DDB" w14:textId="77777777" w:rsidR="002B6291" w:rsidRDefault="002B6291" w:rsidP="002B6291"/>
    <w:p w14:paraId="779C0859" w14:textId="5FFB23A3" w:rsidR="002B6291" w:rsidRDefault="002B6291" w:rsidP="002B6291">
      <w:r>
        <w:t>Description formelle de chaque stock :</w:t>
      </w:r>
    </w:p>
    <w:p w14:paraId="18314C64" w14:textId="1FEBA51C" w:rsidR="002B6291" w:rsidRDefault="002B6291" w:rsidP="002B6291">
      <w:pPr>
        <w:pStyle w:val="ListParagraph"/>
        <w:numPr>
          <w:ilvl w:val="0"/>
          <w:numId w:val="28"/>
        </w:numPr>
      </w:pPr>
      <w:r>
        <w:t>Missions</w:t>
      </w:r>
    </w:p>
    <w:p w14:paraId="364C5E89" w14:textId="47C4C7E2" w:rsidR="002B6291" w:rsidRDefault="002B6291" w:rsidP="002B6291">
      <w:pPr>
        <w:pStyle w:val="ListParagraph"/>
        <w:numPr>
          <w:ilvl w:val="1"/>
          <w:numId w:val="28"/>
        </w:numPr>
      </w:pPr>
      <w:r>
        <w:t>Temps approximatif consacré par semaine :</w:t>
      </w:r>
      <w:r w:rsidR="00E46A2E">
        <w:t xml:space="preserve"> 5jr/5</w:t>
      </w:r>
      <w:r>
        <w:t xml:space="preserve"> </w:t>
      </w:r>
    </w:p>
    <w:p w14:paraId="2AD38F2E" w14:textId="45D495EB" w:rsidR="002B6291" w:rsidRDefault="002B6291" w:rsidP="002B6291">
      <w:pPr>
        <w:pStyle w:val="ListParagraph"/>
        <w:numPr>
          <w:ilvl w:val="1"/>
          <w:numId w:val="28"/>
        </w:numPr>
      </w:pPr>
      <w:r>
        <w:t xml:space="preserve">Durée d’un évènement : </w:t>
      </w:r>
      <w:r w:rsidR="00E46A2E">
        <w:t>en moyenne 2 ans</w:t>
      </w:r>
    </w:p>
    <w:p w14:paraId="11289049" w14:textId="3A2AD495" w:rsidR="002B6291" w:rsidRDefault="002B6291" w:rsidP="002B6291">
      <w:pPr>
        <w:pStyle w:val="ListParagraph"/>
        <w:numPr>
          <w:ilvl w:val="1"/>
          <w:numId w:val="28"/>
        </w:numPr>
      </w:pPr>
      <w:r>
        <w:t xml:space="preserve">Rendement : </w:t>
      </w:r>
      <w:r w:rsidR="00E46A2E">
        <w:t>Nombre total de consultant (140) – Nombre d’IC (17) / Nombre total de consultant = 88%</w:t>
      </w:r>
    </w:p>
    <w:p w14:paraId="5C33F950" w14:textId="77777777" w:rsidR="002B6291" w:rsidRDefault="002B6291" w:rsidP="002B6291">
      <w:pPr>
        <w:pStyle w:val="ListParagraph"/>
        <w:numPr>
          <w:ilvl w:val="1"/>
          <w:numId w:val="28"/>
        </w:numPr>
      </w:pPr>
      <w:r>
        <w:t>Discussion d’éléments qualitatifs :</w:t>
      </w:r>
    </w:p>
    <w:p w14:paraId="1A57D7DE" w14:textId="77777777" w:rsidR="002B6291" w:rsidRDefault="002B6291" w:rsidP="002B6291">
      <w:pPr>
        <w:pStyle w:val="ListParagraph"/>
        <w:ind w:left="1440"/>
      </w:pPr>
    </w:p>
    <w:p w14:paraId="50F06620" w14:textId="50666959" w:rsidR="002B6291" w:rsidRDefault="002B6291" w:rsidP="002B6291">
      <w:pPr>
        <w:pStyle w:val="ListParagraph"/>
        <w:numPr>
          <w:ilvl w:val="0"/>
          <w:numId w:val="28"/>
        </w:numPr>
      </w:pPr>
      <w:r>
        <w:t>Intercontrats</w:t>
      </w:r>
    </w:p>
    <w:p w14:paraId="318AC154" w14:textId="000E11E9" w:rsidR="002B6291" w:rsidRDefault="002B6291" w:rsidP="002B6291">
      <w:pPr>
        <w:pStyle w:val="ListParagraph"/>
        <w:numPr>
          <w:ilvl w:val="1"/>
          <w:numId w:val="28"/>
        </w:numPr>
      </w:pPr>
      <w:r>
        <w:t xml:space="preserve">Temps approximatif consacré par semaine : </w:t>
      </w:r>
      <w:r w:rsidR="00E46A2E">
        <w:t>5jr/5</w:t>
      </w:r>
    </w:p>
    <w:p w14:paraId="332775FA" w14:textId="2A90E412" w:rsidR="002B6291" w:rsidRDefault="002B6291" w:rsidP="002B6291">
      <w:pPr>
        <w:pStyle w:val="ListParagraph"/>
        <w:numPr>
          <w:ilvl w:val="1"/>
          <w:numId w:val="28"/>
        </w:numPr>
      </w:pPr>
      <w:r>
        <w:t xml:space="preserve">Durée d’un évènement : </w:t>
      </w:r>
      <w:r w:rsidR="00E46A2E">
        <w:t>En moyenne 35 jours</w:t>
      </w:r>
    </w:p>
    <w:p w14:paraId="0BE5D615" w14:textId="67C35C64" w:rsidR="002B6291" w:rsidRDefault="002B6291" w:rsidP="002B6291">
      <w:pPr>
        <w:pStyle w:val="ListParagraph"/>
        <w:numPr>
          <w:ilvl w:val="1"/>
          <w:numId w:val="28"/>
        </w:numPr>
      </w:pPr>
      <w:r>
        <w:t xml:space="preserve">Rendement : </w:t>
      </w:r>
      <w:r w:rsidR="00C43671">
        <w:t>12%</w:t>
      </w:r>
    </w:p>
    <w:p w14:paraId="0B52AA71" w14:textId="77777777" w:rsidR="002B6291" w:rsidRDefault="002B6291" w:rsidP="002B6291">
      <w:pPr>
        <w:pStyle w:val="ListParagraph"/>
        <w:numPr>
          <w:ilvl w:val="1"/>
          <w:numId w:val="28"/>
        </w:numPr>
      </w:pPr>
      <w:r>
        <w:t>Discussion d’éléments qualitatifs :</w:t>
      </w:r>
    </w:p>
    <w:p w14:paraId="726D81CD" w14:textId="77777777" w:rsidR="00C43671" w:rsidRDefault="00C43671" w:rsidP="00C43671">
      <w:pPr>
        <w:pStyle w:val="ListParagraph"/>
        <w:ind w:left="1440"/>
      </w:pPr>
    </w:p>
    <w:p w14:paraId="6BE330CA" w14:textId="5503B2E9" w:rsidR="002B6291" w:rsidRDefault="002B6291" w:rsidP="002B6291">
      <w:pPr>
        <w:pStyle w:val="ListParagraph"/>
        <w:numPr>
          <w:ilvl w:val="0"/>
          <w:numId w:val="28"/>
        </w:numPr>
      </w:pPr>
      <w:r>
        <w:t>Intercontrats en R &amp; I</w:t>
      </w:r>
    </w:p>
    <w:p w14:paraId="2064C022" w14:textId="6663ABE2" w:rsidR="00C43671" w:rsidRDefault="00C43671" w:rsidP="00C43671">
      <w:pPr>
        <w:pStyle w:val="ListParagraph"/>
        <w:numPr>
          <w:ilvl w:val="1"/>
          <w:numId w:val="28"/>
        </w:numPr>
      </w:pPr>
      <w:r>
        <w:t>Temps approximatif consacré par semaine : 2.5jr/semaine</w:t>
      </w:r>
    </w:p>
    <w:p w14:paraId="542BAEBE" w14:textId="555B0409" w:rsidR="00C43671" w:rsidRDefault="00C43671" w:rsidP="00C43671">
      <w:pPr>
        <w:pStyle w:val="ListParagraph"/>
        <w:numPr>
          <w:ilvl w:val="1"/>
          <w:numId w:val="28"/>
        </w:numPr>
      </w:pPr>
      <w:r>
        <w:t>Durée d’un évènement : En moyenne 35 jours – 10(</w:t>
      </w:r>
      <w:proofErr w:type="spellStart"/>
      <w:r>
        <w:t>Onboarding</w:t>
      </w:r>
      <w:proofErr w:type="spellEnd"/>
      <w:r>
        <w:t xml:space="preserve">) = 25jr </w:t>
      </w:r>
    </w:p>
    <w:p w14:paraId="2ADB996C" w14:textId="77777777" w:rsidR="00C43671" w:rsidRDefault="00C43671" w:rsidP="00C43671">
      <w:pPr>
        <w:pStyle w:val="ListParagraph"/>
        <w:numPr>
          <w:ilvl w:val="1"/>
          <w:numId w:val="28"/>
        </w:numPr>
      </w:pPr>
      <w:r>
        <w:t>Rendement : 12%</w:t>
      </w:r>
    </w:p>
    <w:p w14:paraId="45999B60" w14:textId="77777777" w:rsidR="00C43671" w:rsidRDefault="00C43671" w:rsidP="00C43671">
      <w:pPr>
        <w:pStyle w:val="ListParagraph"/>
        <w:numPr>
          <w:ilvl w:val="1"/>
          <w:numId w:val="28"/>
        </w:numPr>
      </w:pPr>
      <w:r>
        <w:t>Discussion d’éléments qualitatifs :</w:t>
      </w:r>
    </w:p>
    <w:p w14:paraId="0E70ED3B" w14:textId="0418FB4F" w:rsidR="00ED3ABE" w:rsidRDefault="00C43671" w:rsidP="00AE1511">
      <w:pPr>
        <w:pStyle w:val="ListParagraph"/>
        <w:numPr>
          <w:ilvl w:val="2"/>
          <w:numId w:val="28"/>
        </w:numPr>
      </w:pPr>
      <w:r>
        <w:t>Les 25jrs moyen est une estimation au doigt mouillé</w:t>
      </w:r>
    </w:p>
    <w:p w14:paraId="026EE72A" w14:textId="77777777" w:rsidR="00A71D10" w:rsidRPr="00AE1511" w:rsidRDefault="00A71D10" w:rsidP="00A71D10"/>
    <w:p w14:paraId="6C30362B" w14:textId="77777777" w:rsidR="00AE1511" w:rsidRDefault="00AE1511" w:rsidP="00AE1511">
      <w:pPr>
        <w:pStyle w:val="Heading1"/>
        <w:rPr>
          <w:lang w:val="fr-FR"/>
        </w:rPr>
      </w:pPr>
      <w:r>
        <w:rPr>
          <w:lang w:val="fr-FR"/>
        </w:rPr>
        <w:t xml:space="preserve"> Insight Maker Modeling</w:t>
      </w:r>
    </w:p>
    <w:p w14:paraId="2582F079" w14:textId="3D4C164C" w:rsidR="00ED3ABE" w:rsidRDefault="00AE1511" w:rsidP="00ED3ABE">
      <w:pPr>
        <w:pStyle w:val="Heading1"/>
        <w:numPr>
          <w:ilvl w:val="1"/>
          <w:numId w:val="22"/>
        </w:numPr>
        <w:rPr>
          <w:lang w:val="fr-FR"/>
        </w:rPr>
      </w:pPr>
      <w:r>
        <w:rPr>
          <w:lang w:val="fr-FR"/>
        </w:rPr>
        <w:t>General Model</w:t>
      </w:r>
      <w:r w:rsidR="00ED3ABE">
        <w:rPr>
          <w:lang w:val="fr-FR"/>
        </w:rPr>
        <w:t xml:space="preserve"> </w:t>
      </w:r>
    </w:p>
    <w:p w14:paraId="4376D6A1" w14:textId="77777777" w:rsidR="00ED3ABE" w:rsidRDefault="00ED3ABE" w:rsidP="00ED3ABE"/>
    <w:p w14:paraId="53D355F8" w14:textId="30260362" w:rsidR="00ED3ABE" w:rsidRDefault="009B5AF3" w:rsidP="00ED3ABE">
      <w:r w:rsidRPr="009B5AF3">
        <w:rPr>
          <w:noProof/>
        </w:rPr>
        <w:drawing>
          <wp:inline distT="0" distB="0" distL="0" distR="0" wp14:anchorId="3D5C86F7" wp14:editId="5B604EC4">
            <wp:extent cx="8892540" cy="4226560"/>
            <wp:effectExtent l="0" t="0" r="3810" b="2540"/>
            <wp:docPr id="554255618" name="Image 1" descr="Une image contenant diagramme, Dessin technique, Pl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55618" name="Image 1" descr="Une image contenant diagramme, Dessin technique, Plan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ABE" w:rsidSect="00ED3ABE">
      <w:footerReference w:type="default" r:id="rId12"/>
      <w:pgSz w:w="16838" w:h="11906" w:orient="landscape"/>
      <w:pgMar w:top="1417" w:right="1417" w:bottom="1417" w:left="1417" w:header="709" w:footer="2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9D9F1" w14:textId="77777777" w:rsidR="007C44DC" w:rsidRDefault="007C44DC" w:rsidP="003C4DD0">
      <w:pPr>
        <w:spacing w:before="0" w:after="0"/>
      </w:pPr>
      <w:r>
        <w:separator/>
      </w:r>
    </w:p>
  </w:endnote>
  <w:endnote w:type="continuationSeparator" w:id="0">
    <w:p w14:paraId="03E02A52" w14:textId="77777777" w:rsidR="007C44DC" w:rsidRDefault="007C44DC" w:rsidP="003C4DD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is SIL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8584239"/>
      <w:docPartObj>
        <w:docPartGallery w:val="Page Numbers (Bottom of Page)"/>
        <w:docPartUnique/>
      </w:docPartObj>
    </w:sdtPr>
    <w:sdtEndPr/>
    <w:sdtContent>
      <w:p w14:paraId="3498A56A" w14:textId="77777777" w:rsidR="00C13565" w:rsidRDefault="00C1356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EE7">
          <w:rPr>
            <w:noProof/>
          </w:rPr>
          <w:t>1</w:t>
        </w:r>
        <w:r>
          <w:fldChar w:fldCharType="end"/>
        </w:r>
      </w:p>
    </w:sdtContent>
  </w:sdt>
  <w:p w14:paraId="5F0E997D" w14:textId="77777777" w:rsidR="00060117" w:rsidRPr="001E617F" w:rsidRDefault="00060117">
    <w:pPr>
      <w:pStyle w:val="Footer"/>
      <w:jc w:val="right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20E0D" w14:textId="77777777" w:rsidR="007C44DC" w:rsidRDefault="007C44DC" w:rsidP="003C4DD0">
      <w:pPr>
        <w:spacing w:before="0" w:after="0"/>
      </w:pPr>
      <w:r>
        <w:separator/>
      </w:r>
    </w:p>
  </w:footnote>
  <w:footnote w:type="continuationSeparator" w:id="0">
    <w:p w14:paraId="472421C7" w14:textId="77777777" w:rsidR="007C44DC" w:rsidRDefault="007C44DC" w:rsidP="003C4DD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D84"/>
    <w:multiLevelType w:val="hybridMultilevel"/>
    <w:tmpl w:val="232A5B30"/>
    <w:lvl w:ilvl="0" w:tplc="8F16A590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34828"/>
    <w:multiLevelType w:val="hybridMultilevel"/>
    <w:tmpl w:val="E9BA0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81333"/>
    <w:multiLevelType w:val="hybridMultilevel"/>
    <w:tmpl w:val="6F6A9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F1934"/>
    <w:multiLevelType w:val="hybridMultilevel"/>
    <w:tmpl w:val="43961D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C3B2B"/>
    <w:multiLevelType w:val="hybridMultilevel"/>
    <w:tmpl w:val="2B54BA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F24A3"/>
    <w:multiLevelType w:val="hybridMultilevel"/>
    <w:tmpl w:val="2C54D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608E8"/>
    <w:multiLevelType w:val="hybridMultilevel"/>
    <w:tmpl w:val="CDEA0212"/>
    <w:lvl w:ilvl="0" w:tplc="A9FE27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5624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50C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A41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AC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060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F09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A03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6CD1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7A86DA7"/>
    <w:multiLevelType w:val="hybridMultilevel"/>
    <w:tmpl w:val="1AEC3F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A7C8E"/>
    <w:multiLevelType w:val="hybridMultilevel"/>
    <w:tmpl w:val="570CE728"/>
    <w:lvl w:ilvl="0" w:tplc="7ED64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C94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70F4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2DB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DA4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0F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1A9D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DED7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9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86F36A3"/>
    <w:multiLevelType w:val="hybridMultilevel"/>
    <w:tmpl w:val="85F6B8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56FC2"/>
    <w:multiLevelType w:val="hybridMultilevel"/>
    <w:tmpl w:val="5AAE5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A20A7"/>
    <w:multiLevelType w:val="hybridMultilevel"/>
    <w:tmpl w:val="48346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62FE68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224EF"/>
    <w:multiLevelType w:val="hybridMultilevel"/>
    <w:tmpl w:val="505A05F6"/>
    <w:lvl w:ilvl="0" w:tplc="41549256">
      <w:start w:val="1"/>
      <w:numFmt w:val="upperLetter"/>
      <w:pStyle w:val="Heading1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F090705"/>
    <w:multiLevelType w:val="hybridMultilevel"/>
    <w:tmpl w:val="03486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C36869"/>
    <w:multiLevelType w:val="hybridMultilevel"/>
    <w:tmpl w:val="8564E8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A5EFB"/>
    <w:multiLevelType w:val="hybridMultilevel"/>
    <w:tmpl w:val="20F243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5F64FE"/>
    <w:multiLevelType w:val="hybridMultilevel"/>
    <w:tmpl w:val="849E36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E1053"/>
    <w:multiLevelType w:val="hybridMultilevel"/>
    <w:tmpl w:val="F46A43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7707EB"/>
    <w:multiLevelType w:val="hybridMultilevel"/>
    <w:tmpl w:val="FDEAA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31ACD"/>
    <w:multiLevelType w:val="hybridMultilevel"/>
    <w:tmpl w:val="C59C870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81A03"/>
    <w:multiLevelType w:val="hybridMultilevel"/>
    <w:tmpl w:val="3F7CF672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133FCB"/>
    <w:multiLevelType w:val="hybridMultilevel"/>
    <w:tmpl w:val="3EF81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41181"/>
    <w:multiLevelType w:val="hybridMultilevel"/>
    <w:tmpl w:val="69D80F6A"/>
    <w:lvl w:ilvl="0" w:tplc="D598D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802AA6">
      <w:start w:val="31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CC29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A1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440E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B20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64D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AF2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64C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C7F060B"/>
    <w:multiLevelType w:val="hybridMultilevel"/>
    <w:tmpl w:val="A2623534"/>
    <w:lvl w:ilvl="0" w:tplc="4E5CA9D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34C83"/>
    <w:multiLevelType w:val="hybridMultilevel"/>
    <w:tmpl w:val="28D0FB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5A4A8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F1A05CF"/>
    <w:multiLevelType w:val="hybridMultilevel"/>
    <w:tmpl w:val="289679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93023"/>
    <w:multiLevelType w:val="hybridMultilevel"/>
    <w:tmpl w:val="C832D6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748DC"/>
    <w:multiLevelType w:val="hybridMultilevel"/>
    <w:tmpl w:val="EC0630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B2B35"/>
    <w:multiLevelType w:val="hybridMultilevel"/>
    <w:tmpl w:val="AEA8E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4A0710"/>
    <w:multiLevelType w:val="hybridMultilevel"/>
    <w:tmpl w:val="230CF312"/>
    <w:lvl w:ilvl="0" w:tplc="040C0015">
      <w:start w:val="1"/>
      <w:numFmt w:val="upp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F4F440F"/>
    <w:multiLevelType w:val="hybridMultilevel"/>
    <w:tmpl w:val="20EA2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759480">
    <w:abstractNumId w:val="14"/>
  </w:num>
  <w:num w:numId="2" w16cid:durableId="986469221">
    <w:abstractNumId w:val="13"/>
  </w:num>
  <w:num w:numId="3" w16cid:durableId="1140071569">
    <w:abstractNumId w:val="24"/>
  </w:num>
  <w:num w:numId="4" w16cid:durableId="305399807">
    <w:abstractNumId w:val="10"/>
  </w:num>
  <w:num w:numId="5" w16cid:durableId="1722972748">
    <w:abstractNumId w:val="3"/>
  </w:num>
  <w:num w:numId="6" w16cid:durableId="1273707292">
    <w:abstractNumId w:val="15"/>
  </w:num>
  <w:num w:numId="7" w16cid:durableId="201480945">
    <w:abstractNumId w:val="28"/>
  </w:num>
  <w:num w:numId="8" w16cid:durableId="30309556">
    <w:abstractNumId w:val="1"/>
  </w:num>
  <w:num w:numId="9" w16cid:durableId="1131359848">
    <w:abstractNumId w:val="21"/>
  </w:num>
  <w:num w:numId="10" w16cid:durableId="559681403">
    <w:abstractNumId w:val="31"/>
  </w:num>
  <w:num w:numId="11" w16cid:durableId="1358970045">
    <w:abstractNumId w:val="20"/>
  </w:num>
  <w:num w:numId="12" w16cid:durableId="969242232">
    <w:abstractNumId w:val="5"/>
  </w:num>
  <w:num w:numId="13" w16cid:durableId="2031370589">
    <w:abstractNumId w:val="4"/>
  </w:num>
  <w:num w:numId="14" w16cid:durableId="152067244">
    <w:abstractNumId w:val="2"/>
  </w:num>
  <w:num w:numId="15" w16cid:durableId="1534490164">
    <w:abstractNumId w:val="18"/>
  </w:num>
  <w:num w:numId="16" w16cid:durableId="1535846048">
    <w:abstractNumId w:val="27"/>
  </w:num>
  <w:num w:numId="17" w16cid:durableId="632566140">
    <w:abstractNumId w:val="6"/>
  </w:num>
  <w:num w:numId="18" w16cid:durableId="1368675476">
    <w:abstractNumId w:val="8"/>
  </w:num>
  <w:num w:numId="19" w16cid:durableId="1928923971">
    <w:abstractNumId w:val="22"/>
  </w:num>
  <w:num w:numId="20" w16cid:durableId="588005016">
    <w:abstractNumId w:val="9"/>
  </w:num>
  <w:num w:numId="21" w16cid:durableId="1062099410">
    <w:abstractNumId w:val="26"/>
  </w:num>
  <w:num w:numId="22" w16cid:durableId="1410615233">
    <w:abstractNumId w:val="12"/>
  </w:num>
  <w:num w:numId="23" w16cid:durableId="2035885805">
    <w:abstractNumId w:val="12"/>
  </w:num>
  <w:num w:numId="24" w16cid:durableId="1439522098">
    <w:abstractNumId w:val="25"/>
  </w:num>
  <w:num w:numId="25" w16cid:durableId="51583847">
    <w:abstractNumId w:val="19"/>
  </w:num>
  <w:num w:numId="26" w16cid:durableId="1201472725">
    <w:abstractNumId w:val="7"/>
  </w:num>
  <w:num w:numId="27" w16cid:durableId="1255015891">
    <w:abstractNumId w:val="17"/>
  </w:num>
  <w:num w:numId="28" w16cid:durableId="224878736">
    <w:abstractNumId w:val="11"/>
  </w:num>
  <w:num w:numId="29" w16cid:durableId="367994968">
    <w:abstractNumId w:val="29"/>
  </w:num>
  <w:num w:numId="30" w16cid:durableId="2046368640">
    <w:abstractNumId w:val="23"/>
  </w:num>
  <w:num w:numId="31" w16cid:durableId="193346488">
    <w:abstractNumId w:val="16"/>
  </w:num>
  <w:num w:numId="32" w16cid:durableId="1070536920">
    <w:abstractNumId w:val="12"/>
    <w:lvlOverride w:ilvl="0">
      <w:startOverride w:val="1"/>
    </w:lvlOverride>
  </w:num>
  <w:num w:numId="33" w16cid:durableId="1238322574">
    <w:abstractNumId w:val="30"/>
  </w:num>
  <w:num w:numId="34" w16cid:durableId="1500850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833"/>
    <w:rsid w:val="000056F3"/>
    <w:rsid w:val="0001655D"/>
    <w:rsid w:val="00021377"/>
    <w:rsid w:val="00024D24"/>
    <w:rsid w:val="00060117"/>
    <w:rsid w:val="000636B9"/>
    <w:rsid w:val="0007629E"/>
    <w:rsid w:val="000A3736"/>
    <w:rsid w:val="000B3091"/>
    <w:rsid w:val="000C76C4"/>
    <w:rsid w:val="000D5B14"/>
    <w:rsid w:val="001269F4"/>
    <w:rsid w:val="001325DA"/>
    <w:rsid w:val="00142C51"/>
    <w:rsid w:val="001A589D"/>
    <w:rsid w:val="001D10D9"/>
    <w:rsid w:val="001E2576"/>
    <w:rsid w:val="001E617F"/>
    <w:rsid w:val="001F67BD"/>
    <w:rsid w:val="001F72C6"/>
    <w:rsid w:val="002A2D5F"/>
    <w:rsid w:val="002B4C92"/>
    <w:rsid w:val="002B6291"/>
    <w:rsid w:val="002C3A92"/>
    <w:rsid w:val="002C613F"/>
    <w:rsid w:val="00313CB3"/>
    <w:rsid w:val="00315A57"/>
    <w:rsid w:val="00335C6B"/>
    <w:rsid w:val="00336F55"/>
    <w:rsid w:val="00360C55"/>
    <w:rsid w:val="003773BC"/>
    <w:rsid w:val="003A0CC2"/>
    <w:rsid w:val="003B2307"/>
    <w:rsid w:val="003C08C9"/>
    <w:rsid w:val="003C4DD0"/>
    <w:rsid w:val="003F149C"/>
    <w:rsid w:val="003F33DB"/>
    <w:rsid w:val="00403303"/>
    <w:rsid w:val="00460CEC"/>
    <w:rsid w:val="0047072D"/>
    <w:rsid w:val="004F05D7"/>
    <w:rsid w:val="004F2B73"/>
    <w:rsid w:val="004F6B6B"/>
    <w:rsid w:val="00517EB8"/>
    <w:rsid w:val="005235B8"/>
    <w:rsid w:val="00544594"/>
    <w:rsid w:val="00550EE7"/>
    <w:rsid w:val="00582056"/>
    <w:rsid w:val="00592237"/>
    <w:rsid w:val="005923AB"/>
    <w:rsid w:val="00605D50"/>
    <w:rsid w:val="00634BB2"/>
    <w:rsid w:val="00640128"/>
    <w:rsid w:val="00663F33"/>
    <w:rsid w:val="006760B5"/>
    <w:rsid w:val="00682981"/>
    <w:rsid w:val="0069021F"/>
    <w:rsid w:val="006B3EF7"/>
    <w:rsid w:val="006C0047"/>
    <w:rsid w:val="006D0CCE"/>
    <w:rsid w:val="006E3C50"/>
    <w:rsid w:val="00703B35"/>
    <w:rsid w:val="00720597"/>
    <w:rsid w:val="0074209A"/>
    <w:rsid w:val="00761510"/>
    <w:rsid w:val="007930A9"/>
    <w:rsid w:val="007962F4"/>
    <w:rsid w:val="007A5372"/>
    <w:rsid w:val="007C44DC"/>
    <w:rsid w:val="007E23BD"/>
    <w:rsid w:val="008028EA"/>
    <w:rsid w:val="00804881"/>
    <w:rsid w:val="00810DD2"/>
    <w:rsid w:val="00811CDB"/>
    <w:rsid w:val="00846B08"/>
    <w:rsid w:val="00856457"/>
    <w:rsid w:val="00872C0F"/>
    <w:rsid w:val="00884EFD"/>
    <w:rsid w:val="008B5D43"/>
    <w:rsid w:val="008C7552"/>
    <w:rsid w:val="008D425C"/>
    <w:rsid w:val="008E5319"/>
    <w:rsid w:val="008E6A3C"/>
    <w:rsid w:val="009054D9"/>
    <w:rsid w:val="009271A7"/>
    <w:rsid w:val="009440BE"/>
    <w:rsid w:val="00944171"/>
    <w:rsid w:val="009450DD"/>
    <w:rsid w:val="009521C2"/>
    <w:rsid w:val="009525D3"/>
    <w:rsid w:val="00953310"/>
    <w:rsid w:val="0097159E"/>
    <w:rsid w:val="0098345B"/>
    <w:rsid w:val="009A06DB"/>
    <w:rsid w:val="009A137F"/>
    <w:rsid w:val="009B5AF3"/>
    <w:rsid w:val="009C12FB"/>
    <w:rsid w:val="009C3E05"/>
    <w:rsid w:val="00A02BBD"/>
    <w:rsid w:val="00A03F7C"/>
    <w:rsid w:val="00A04493"/>
    <w:rsid w:val="00A05E1E"/>
    <w:rsid w:val="00A14357"/>
    <w:rsid w:val="00A222B4"/>
    <w:rsid w:val="00A33F13"/>
    <w:rsid w:val="00A612EE"/>
    <w:rsid w:val="00A71D10"/>
    <w:rsid w:val="00A73F8A"/>
    <w:rsid w:val="00A9758C"/>
    <w:rsid w:val="00AD1972"/>
    <w:rsid w:val="00AD664E"/>
    <w:rsid w:val="00AE1511"/>
    <w:rsid w:val="00AE4C64"/>
    <w:rsid w:val="00B065D8"/>
    <w:rsid w:val="00B1222A"/>
    <w:rsid w:val="00B15B16"/>
    <w:rsid w:val="00B44833"/>
    <w:rsid w:val="00B93AF4"/>
    <w:rsid w:val="00C0100E"/>
    <w:rsid w:val="00C13565"/>
    <w:rsid w:val="00C13DF2"/>
    <w:rsid w:val="00C17DE8"/>
    <w:rsid w:val="00C23A65"/>
    <w:rsid w:val="00C36A87"/>
    <w:rsid w:val="00C43671"/>
    <w:rsid w:val="00C71D0E"/>
    <w:rsid w:val="00C7247A"/>
    <w:rsid w:val="00CA05A0"/>
    <w:rsid w:val="00CC3731"/>
    <w:rsid w:val="00CC6EEE"/>
    <w:rsid w:val="00CD7834"/>
    <w:rsid w:val="00D16352"/>
    <w:rsid w:val="00D25B43"/>
    <w:rsid w:val="00D33C40"/>
    <w:rsid w:val="00D342D7"/>
    <w:rsid w:val="00D424AB"/>
    <w:rsid w:val="00D63C81"/>
    <w:rsid w:val="00D72AC1"/>
    <w:rsid w:val="00D75DAD"/>
    <w:rsid w:val="00DB61EA"/>
    <w:rsid w:val="00DC6C73"/>
    <w:rsid w:val="00E112D9"/>
    <w:rsid w:val="00E4419B"/>
    <w:rsid w:val="00E46A2E"/>
    <w:rsid w:val="00E51B11"/>
    <w:rsid w:val="00E547A4"/>
    <w:rsid w:val="00E56AC9"/>
    <w:rsid w:val="00E85677"/>
    <w:rsid w:val="00E901DD"/>
    <w:rsid w:val="00ED3ABE"/>
    <w:rsid w:val="00EF670B"/>
    <w:rsid w:val="00F00FC1"/>
    <w:rsid w:val="00F2445B"/>
    <w:rsid w:val="00F314C0"/>
    <w:rsid w:val="00F40CF8"/>
    <w:rsid w:val="00F424F7"/>
    <w:rsid w:val="00F75904"/>
    <w:rsid w:val="00FC42E5"/>
    <w:rsid w:val="00FD3E1F"/>
    <w:rsid w:val="00FF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62FB292"/>
  <w15:chartTrackingRefBased/>
  <w15:docId w15:val="{43B1A55F-892C-40BB-9012-A4982D7B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972"/>
    <w:pPr>
      <w:spacing w:before="120" w:after="12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171"/>
    <w:pPr>
      <w:numPr>
        <w:numId w:val="22"/>
      </w:numPr>
      <w:outlineLvl w:val="0"/>
    </w:pPr>
    <w:rPr>
      <w:rFonts w:eastAsia="Arial" w:cs="Arial"/>
      <w:b/>
      <w:color w:val="1F497D" w:themeColor="text2"/>
      <w:sz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EB8"/>
    <w:pPr>
      <w:outlineLvl w:val="1"/>
    </w:pPr>
    <w:rPr>
      <w:rFonts w:eastAsia="Arial" w:cs="Arial"/>
      <w:color w:val="404040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17EB8"/>
    <w:pPr>
      <w:outlineLvl w:val="2"/>
    </w:pPr>
    <w:rPr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171"/>
    <w:rPr>
      <w:rFonts w:ascii="Arial" w:eastAsia="Arial" w:hAnsi="Arial" w:cs="Arial"/>
      <w:b/>
      <w:color w:val="1F497D" w:themeColor="text2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17EB8"/>
    <w:rPr>
      <w:rFonts w:ascii="Arial" w:eastAsia="Arial" w:hAnsi="Arial" w:cs="Arial"/>
      <w:color w:val="404040"/>
      <w:sz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C4DD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4DD0"/>
  </w:style>
  <w:style w:type="paragraph" w:styleId="Footer">
    <w:name w:val="footer"/>
    <w:basedOn w:val="Normal"/>
    <w:link w:val="FooterChar"/>
    <w:uiPriority w:val="99"/>
    <w:unhideWhenUsed/>
    <w:rsid w:val="003C4DD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4DD0"/>
  </w:style>
  <w:style w:type="paragraph" w:styleId="Title">
    <w:name w:val="Title"/>
    <w:basedOn w:val="Normal"/>
    <w:next w:val="Normal"/>
    <w:link w:val="TitleChar"/>
    <w:uiPriority w:val="10"/>
    <w:qFormat/>
    <w:rsid w:val="00944171"/>
    <w:pPr>
      <w:spacing w:before="0"/>
      <w:contextualSpacing/>
    </w:pPr>
    <w:rPr>
      <w:rFonts w:ascii="Cambria" w:eastAsiaTheme="majorEastAsia" w:hAnsi="Cambria" w:cstheme="majorBidi"/>
      <w:b/>
      <w:color w:val="1F497D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171"/>
    <w:rPr>
      <w:rFonts w:ascii="Cambria" w:eastAsiaTheme="majorEastAsia" w:hAnsi="Cambria" w:cstheme="majorBidi"/>
      <w:b/>
      <w:color w:val="1F497D" w:themeColor="text2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117"/>
    <w:pPr>
      <w:numPr>
        <w:ilvl w:val="1"/>
      </w:numPr>
    </w:pPr>
    <w:rPr>
      <w:rFonts w:eastAsiaTheme="minorEastAsia"/>
      <w:cap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117"/>
    <w:rPr>
      <w:rFonts w:ascii="Arial" w:eastAsiaTheme="minorEastAsia" w:hAnsi="Arial"/>
      <w:caps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17EB8"/>
    <w:rPr>
      <w:rFonts w:ascii="Arial" w:eastAsia="Arial" w:hAnsi="Arial" w:cs="Arial"/>
      <w:color w:val="000000" w:themeColor="text1"/>
      <w:sz w:val="24"/>
      <w:lang w:val="en-US"/>
    </w:rPr>
  </w:style>
  <w:style w:type="paragraph" w:customStyle="1" w:styleId="Default">
    <w:name w:val="Default"/>
    <w:rsid w:val="00060117"/>
    <w:pPr>
      <w:autoSpaceDE w:val="0"/>
      <w:autoSpaceDN w:val="0"/>
      <w:adjustRightInd w:val="0"/>
      <w:spacing w:after="0" w:line="240" w:lineRule="auto"/>
    </w:pPr>
    <w:rPr>
      <w:rFonts w:ascii="Charis SIL" w:hAnsi="Charis SIL" w:cs="Charis SIL"/>
      <w:color w:val="00000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060117"/>
    <w:pPr>
      <w:ind w:left="862" w:right="862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117"/>
    <w:rPr>
      <w:rFonts w:ascii="Arial" w:hAnsi="Arial"/>
      <w:iCs/>
      <w:color w:val="404040" w:themeColor="text1" w:themeTint="BF"/>
    </w:rPr>
  </w:style>
  <w:style w:type="paragraph" w:customStyle="1" w:styleId="Auteurs">
    <w:name w:val="Auteurs"/>
    <w:basedOn w:val="Normal"/>
    <w:link w:val="AuteursCar"/>
    <w:qFormat/>
    <w:rsid w:val="00517EB8"/>
    <w:rPr>
      <w:color w:val="595959" w:themeColor="text1" w:themeTint="A6"/>
      <w:lang w:val="en-US"/>
    </w:rPr>
  </w:style>
  <w:style w:type="paragraph" w:styleId="NoSpacing">
    <w:name w:val="No Spacing"/>
    <w:uiPriority w:val="1"/>
    <w:qFormat/>
    <w:rsid w:val="00517EB8"/>
    <w:pPr>
      <w:spacing w:after="0" w:line="240" w:lineRule="auto"/>
    </w:pPr>
    <w:rPr>
      <w:rFonts w:ascii="Arial" w:hAnsi="Arial"/>
    </w:rPr>
  </w:style>
  <w:style w:type="character" w:customStyle="1" w:styleId="AuteursCar">
    <w:name w:val="Auteurs Car"/>
    <w:basedOn w:val="DefaultParagraphFont"/>
    <w:link w:val="Auteurs"/>
    <w:rsid w:val="00517EB8"/>
    <w:rPr>
      <w:rFonts w:ascii="Arial" w:hAnsi="Arial"/>
      <w:color w:val="595959" w:themeColor="text1" w:themeTint="A6"/>
      <w:lang w:val="en-US"/>
    </w:rPr>
  </w:style>
  <w:style w:type="paragraph" w:styleId="TOCHeading">
    <w:name w:val="TOC Heading"/>
    <w:basedOn w:val="Auteurs"/>
    <w:next w:val="Normal"/>
    <w:uiPriority w:val="39"/>
    <w:unhideWhenUsed/>
    <w:qFormat/>
    <w:rsid w:val="00517EB8"/>
    <w:rPr>
      <w:rFonts w:eastAsia="Arial" w:cs="Arial"/>
      <w:b/>
      <w:color w:val="8F0000"/>
      <w:sz w:val="32"/>
      <w:szCs w:val="27"/>
    </w:rPr>
  </w:style>
  <w:style w:type="paragraph" w:styleId="ListParagraph">
    <w:name w:val="List Paragraph"/>
    <w:basedOn w:val="Normal"/>
    <w:uiPriority w:val="34"/>
    <w:qFormat/>
    <w:rsid w:val="00B448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6B08"/>
    <w:rPr>
      <w:color w:val="808080"/>
    </w:rPr>
  </w:style>
  <w:style w:type="table" w:styleId="TableGrid">
    <w:name w:val="Table Grid"/>
    <w:basedOn w:val="TableNormal"/>
    <w:uiPriority w:val="39"/>
    <w:rsid w:val="007A5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901DD"/>
    <w:rPr>
      <w:color w:val="0000FF" w:themeColor="hyperlink"/>
      <w:u w:val="single"/>
    </w:rPr>
  </w:style>
  <w:style w:type="paragraph" w:customStyle="1" w:styleId="Main">
    <w:name w:val="Main"/>
    <w:basedOn w:val="Normal"/>
    <w:link w:val="MainCar"/>
    <w:qFormat/>
    <w:rsid w:val="00AD1972"/>
    <w:pPr>
      <w:spacing w:after="0"/>
    </w:pPr>
    <w:rPr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AD1972"/>
    <w:pPr>
      <w:spacing w:before="0" w:after="200"/>
    </w:pPr>
    <w:rPr>
      <w:i/>
      <w:iCs/>
      <w:color w:val="1F497D" w:themeColor="text2"/>
      <w:sz w:val="18"/>
      <w:szCs w:val="18"/>
    </w:rPr>
  </w:style>
  <w:style w:type="character" w:customStyle="1" w:styleId="MainCar">
    <w:name w:val="Main Car"/>
    <w:basedOn w:val="DefaultParagraphFont"/>
    <w:link w:val="Main"/>
    <w:rsid w:val="00AD1972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75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69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06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4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05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40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0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8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M257731\Documents\Mod&#232;les%20Office%20personnalis&#233;s\Suivi%20de%20Revue%20de%20Litt&#233;rature.dotx" TargetMode="External"/></Relationships>
</file>

<file path=word/theme/theme1.xml><?xml version="1.0" encoding="utf-8"?>
<a:theme xmlns:a="http://schemas.openxmlformats.org/drawingml/2006/main" name="Thèm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f42b86-89dd-4121-a8c0-5f991a0c63e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8A56A6E9737B4BAE14B68D858C2F86" ma:contentTypeVersion="11" ma:contentTypeDescription="Crée un document." ma:contentTypeScope="" ma:versionID="d36c4fcbe385274a7b19db77e588ea7e">
  <xsd:schema xmlns:xsd="http://www.w3.org/2001/XMLSchema" xmlns:xs="http://www.w3.org/2001/XMLSchema" xmlns:p="http://schemas.microsoft.com/office/2006/metadata/properties" xmlns:ns2="a0f42b86-89dd-4121-a8c0-5f991a0c63e0" xmlns:ns3="42988952-192d-4705-bae7-f014f058b596" targetNamespace="http://schemas.microsoft.com/office/2006/metadata/properties" ma:root="true" ma:fieldsID="c63f1a52ec3b9ba618e0c2ab8b516b2d" ns2:_="" ns3:_="">
    <xsd:import namespace="a0f42b86-89dd-4121-a8c0-5f991a0c63e0"/>
    <xsd:import namespace="42988952-192d-4705-bae7-f014f058b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f42b86-89dd-4121-a8c0-5f991a0c63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75357082-74da-4d8a-bb12-c6df2346d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988952-192d-4705-bae7-f014f058b59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D0A8C-26D1-4285-B19A-E008998721CE}">
  <ds:schemaRefs>
    <ds:schemaRef ds:uri="http://schemas.microsoft.com/office/2006/metadata/properties"/>
    <ds:schemaRef ds:uri="http://schemas.microsoft.com/office/infopath/2007/PartnerControls"/>
    <ds:schemaRef ds:uri="a0f42b86-89dd-4121-a8c0-5f991a0c63e0"/>
  </ds:schemaRefs>
</ds:datastoreItem>
</file>

<file path=customXml/itemProps2.xml><?xml version="1.0" encoding="utf-8"?>
<ds:datastoreItem xmlns:ds="http://schemas.openxmlformats.org/officeDocument/2006/customXml" ds:itemID="{B009E639-3AD2-4ECD-A505-7DC9F3D358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921B29-D565-4E84-9EA9-8DD5A4CE68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f42b86-89dd-4121-a8c0-5f991a0c63e0"/>
    <ds:schemaRef ds:uri="42988952-192d-4705-bae7-f014f058b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0ACCD7-3674-453E-A627-02D41F50E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C:\Users\TM257731\Documents\Modèles Office personnalisés\Suivi de Revue de Littérature.dotx</Template>
  <TotalTime>0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MANESCAU Tanguy</dc:creator>
  <cp:keywords/>
  <dc:description/>
  <cp:lastModifiedBy>Manoochehrtayebi Mahdi</cp:lastModifiedBy>
  <cp:revision>2</cp:revision>
  <dcterms:created xsi:type="dcterms:W3CDTF">2025-02-10T14:59:00Z</dcterms:created>
  <dcterms:modified xsi:type="dcterms:W3CDTF">2025-02-10T14:59:00Z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0x010100F68A56A6E9737B4BAE14B68D858C2F86</vt:lpwstr>
  </property>
</Properties>
</file>